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F708F" w:rsidTr="0010095E">
        <w:trPr>
          <w:trHeight w:hRule="exact" w:val="1418"/>
        </w:trPr>
        <w:tc>
          <w:tcPr>
            <w:tcW w:w="6804" w:type="dxa"/>
            <w:shd w:val="clear" w:color="auto" w:fill="auto"/>
            <w:vAlign w:val="center"/>
          </w:tcPr>
          <w:p w:rsidR="00751A4A" w:rsidRPr="009F708F" w:rsidRDefault="004D707A" w:rsidP="0010095E">
            <w:pPr>
              <w:pStyle w:val="EPName"/>
            </w:pPr>
            <w:r w:rsidRPr="009F708F">
              <w:t>Europees Parlement</w:t>
            </w:r>
          </w:p>
          <w:p w:rsidR="00751A4A" w:rsidRPr="009F708F" w:rsidRDefault="005F1B17" w:rsidP="005F1B17">
            <w:pPr>
              <w:pStyle w:val="EPTerm"/>
              <w:rPr>
                <w:rStyle w:val="HideTWBExt"/>
                <w:noProof w:val="0"/>
                <w:vanish w:val="0"/>
                <w:color w:val="auto"/>
              </w:rPr>
            </w:pPr>
            <w:r w:rsidRPr="009F708F">
              <w:t>2024</w:t>
            </w:r>
            <w:r w:rsidR="00817416" w:rsidRPr="009F708F">
              <w:t>-202</w:t>
            </w:r>
            <w:r w:rsidRPr="009F708F">
              <w:t>9</w:t>
            </w:r>
          </w:p>
        </w:tc>
        <w:tc>
          <w:tcPr>
            <w:tcW w:w="2268" w:type="dxa"/>
            <w:shd w:val="clear" w:color="auto" w:fill="auto"/>
          </w:tcPr>
          <w:p w:rsidR="00751A4A" w:rsidRPr="009F708F" w:rsidRDefault="00187494" w:rsidP="0010095E">
            <w:pPr>
              <w:pStyle w:val="EPLogo"/>
            </w:pPr>
            <w:r w:rsidRPr="009F708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F708F" w:rsidRDefault="00D058B8" w:rsidP="004C5D52">
      <w:pPr>
        <w:pStyle w:val="LineTop"/>
      </w:pPr>
    </w:p>
    <w:p w:rsidR="00680577" w:rsidRPr="009F708F" w:rsidRDefault="004D707A" w:rsidP="00680577">
      <w:pPr>
        <w:pStyle w:val="EPBodyTA1"/>
      </w:pPr>
      <w:r w:rsidRPr="009F708F">
        <w:t>AANGENOMEN TEKSTEN</w:t>
      </w:r>
    </w:p>
    <w:p w:rsidR="00D058B8" w:rsidRPr="009F708F" w:rsidRDefault="00D058B8" w:rsidP="00D058B8">
      <w:pPr>
        <w:pStyle w:val="LineBottom"/>
      </w:pPr>
    </w:p>
    <w:p w:rsidR="004D707A" w:rsidRPr="009F708F" w:rsidRDefault="004D707A" w:rsidP="004D707A">
      <w:pPr>
        <w:pStyle w:val="ATHeading1"/>
      </w:pPr>
      <w:bookmarkStart w:id="0" w:name="TANumber"/>
      <w:r w:rsidRPr="009F708F">
        <w:t>P10_</w:t>
      </w:r>
      <w:proofErr w:type="gramStart"/>
      <w:r w:rsidRPr="009F708F">
        <w:t>TA(</w:t>
      </w:r>
      <w:proofErr w:type="gramEnd"/>
      <w:r w:rsidRPr="009F708F">
        <w:t>2025)0</w:t>
      </w:r>
      <w:r w:rsidR="00DB4C94" w:rsidRPr="009F708F">
        <w:t>155</w:t>
      </w:r>
      <w:bookmarkEnd w:id="0"/>
    </w:p>
    <w:p w:rsidR="004D707A" w:rsidRPr="009F708F" w:rsidRDefault="004D707A" w:rsidP="004D707A">
      <w:pPr>
        <w:pStyle w:val="ATHeading2"/>
      </w:pPr>
      <w:bookmarkStart w:id="1" w:name="title"/>
      <w:r w:rsidRPr="009F708F">
        <w:t>Commissieverslagen van 2023 en 2024 over Albanië</w:t>
      </w:r>
      <w:bookmarkEnd w:id="1"/>
    </w:p>
    <w:p w:rsidR="004D707A" w:rsidRPr="009F708F" w:rsidRDefault="004D707A" w:rsidP="004D707A">
      <w:pPr>
        <w:rPr>
          <w:i/>
          <w:vanish/>
        </w:rPr>
      </w:pPr>
      <w:r w:rsidRPr="009F708F">
        <w:rPr>
          <w:i/>
        </w:rPr>
        <w:fldChar w:fldCharType="begin"/>
      </w:r>
      <w:r w:rsidRPr="009F708F">
        <w:rPr>
          <w:i/>
        </w:rPr>
        <w:instrText xml:space="preserve"> TC"(</w:instrText>
      </w:r>
      <w:bookmarkStart w:id="2" w:name="DocNumber"/>
      <w:r w:rsidRPr="009F708F">
        <w:rPr>
          <w:i/>
        </w:rPr>
        <w:instrText>A10-0106/2025</w:instrText>
      </w:r>
      <w:bookmarkEnd w:id="2"/>
      <w:r w:rsidRPr="009F708F">
        <w:rPr>
          <w:i/>
        </w:rPr>
        <w:instrText xml:space="preserve"> - Rapporteur: Andreas Schieder)"\l3 \n&gt; \* MERGEFORMAT </w:instrText>
      </w:r>
      <w:r w:rsidRPr="009F708F">
        <w:rPr>
          <w:i/>
        </w:rPr>
        <w:fldChar w:fldCharType="end"/>
      </w:r>
    </w:p>
    <w:p w:rsidR="004D707A" w:rsidRPr="009F708F" w:rsidRDefault="004D707A" w:rsidP="004D707A">
      <w:pPr>
        <w:rPr>
          <w:vanish/>
        </w:rPr>
      </w:pPr>
      <w:bookmarkStart w:id="3" w:name="Commission"/>
      <w:r w:rsidRPr="009F708F">
        <w:rPr>
          <w:vanish/>
        </w:rPr>
        <w:t>Commissie buitenlandse zaken</w:t>
      </w:r>
      <w:bookmarkEnd w:id="3"/>
    </w:p>
    <w:p w:rsidR="004D707A" w:rsidRPr="009F708F" w:rsidRDefault="004D707A" w:rsidP="004D707A">
      <w:pPr>
        <w:rPr>
          <w:vanish/>
        </w:rPr>
      </w:pPr>
      <w:bookmarkStart w:id="4" w:name="PE"/>
      <w:r w:rsidRPr="009F708F">
        <w:rPr>
          <w:vanish/>
        </w:rPr>
        <w:t>PE769.914</w:t>
      </w:r>
      <w:bookmarkEnd w:id="4"/>
    </w:p>
    <w:p w:rsidR="004D707A" w:rsidRPr="009F708F" w:rsidRDefault="004D707A" w:rsidP="004D707A">
      <w:pPr>
        <w:pStyle w:val="ATHeading3"/>
      </w:pPr>
      <w:bookmarkStart w:id="5" w:name="Sujet"/>
      <w:r w:rsidRPr="009F708F">
        <w:t xml:space="preserve">Resolutie van het Europees Parlement van </w:t>
      </w:r>
      <w:r w:rsidR="00554F46" w:rsidRPr="009F708F">
        <w:t>9</w:t>
      </w:r>
      <w:r w:rsidRPr="009F708F">
        <w:t xml:space="preserve"> juli 2025 over de Commissieverslagen van 2023 en 2024 over Albanië</w:t>
      </w:r>
      <w:bookmarkEnd w:id="5"/>
      <w:r w:rsidRPr="009F708F">
        <w:t xml:space="preserve"> </w:t>
      </w:r>
      <w:bookmarkStart w:id="6" w:name="References"/>
      <w:r w:rsidRPr="009F708F">
        <w:t>(2025/2017(INI))</w:t>
      </w:r>
      <w:bookmarkEnd w:id="6"/>
    </w:p>
    <w:p w:rsidR="00826AE4" w:rsidRPr="009F708F" w:rsidRDefault="00826AE4" w:rsidP="00826AE4">
      <w:pPr>
        <w:pStyle w:val="EPComma"/>
      </w:pPr>
      <w:r w:rsidRPr="009F708F">
        <w:rPr>
          <w:i/>
        </w:rPr>
        <w:t>Het Europees Parlement</w:t>
      </w:r>
      <w:r w:rsidRPr="009F708F">
        <w:t>,</w:t>
      </w:r>
    </w:p>
    <w:p w:rsidR="00826AE4" w:rsidRPr="009F708F" w:rsidRDefault="00826AE4" w:rsidP="00826AE4">
      <w:pPr>
        <w:pStyle w:val="NormalHanging12a"/>
      </w:pPr>
      <w:r w:rsidRPr="009F708F">
        <w:t>–</w:t>
      </w:r>
      <w:r w:rsidRPr="009F708F">
        <w:tab/>
        <w:t>gezien de Stabilisatie- en associatieovereenkomst tussen de Europese Gemeenschappen en hun lidstaten, enerzijds, en de Republiek Albanië, anderzijds</w:t>
      </w:r>
      <w:r w:rsidRPr="009F708F">
        <w:rPr>
          <w:rStyle w:val="FootnoteReference"/>
          <w:color w:val="000000"/>
        </w:rPr>
        <w:footnoteReference w:id="1"/>
      </w:r>
      <w:r w:rsidRPr="009F708F">
        <w:t>,</w:t>
      </w:r>
    </w:p>
    <w:p w:rsidR="00826AE4" w:rsidRPr="009F708F" w:rsidRDefault="00826AE4" w:rsidP="00826AE4">
      <w:pPr>
        <w:pStyle w:val="NormalHanging12a"/>
      </w:pPr>
      <w:r w:rsidRPr="009F708F">
        <w:t>–</w:t>
      </w:r>
      <w:r w:rsidRPr="009F708F">
        <w:tab/>
        <w:t>gezien het verzoek van Albanië om toetreding tot de EU, dat is</w:t>
      </w:r>
      <w:bookmarkStart w:id="7" w:name="_GoBack"/>
      <w:bookmarkEnd w:id="7"/>
      <w:r w:rsidRPr="009F708F">
        <w:t xml:space="preserve"> ingediend op 24 april 2009,</w:t>
      </w:r>
    </w:p>
    <w:p w:rsidR="00826AE4" w:rsidRPr="009F708F" w:rsidRDefault="00826AE4" w:rsidP="00826AE4">
      <w:pPr>
        <w:pStyle w:val="NormalHanging12a"/>
      </w:pPr>
      <w:r w:rsidRPr="009F708F">
        <w:t>–</w:t>
      </w:r>
      <w:r w:rsidRPr="009F708F">
        <w:tab/>
        <w:t>gezien Verordening (EU) 2021/1529 van het Europees Parlement en de Raad van 15 september 2021 tot vaststelling van het instrument voor pretoetredingssteun (IPA III)</w:t>
      </w:r>
      <w:r w:rsidRPr="009F708F">
        <w:rPr>
          <w:rStyle w:val="FootnoteReference"/>
          <w:color w:val="000000"/>
        </w:rPr>
        <w:footnoteReference w:id="2"/>
      </w:r>
      <w:r w:rsidRPr="009F708F">
        <w:t>,</w:t>
      </w:r>
    </w:p>
    <w:p w:rsidR="00826AE4" w:rsidRPr="009F708F" w:rsidRDefault="00826AE4" w:rsidP="00826AE4">
      <w:pPr>
        <w:pStyle w:val="NormalHanging12a"/>
      </w:pPr>
      <w:r w:rsidRPr="009F708F">
        <w:t>–</w:t>
      </w:r>
      <w:r w:rsidRPr="009F708F">
        <w:tab/>
        <w:t>gezien Verordening (EU) 2024/1449 van het Europees Parlement en de Raad van 14 mei 2024 tot oprichting van de hervormings- en groeifaciliteit voor de Westelijke Balkan</w:t>
      </w:r>
      <w:r w:rsidRPr="009F708F">
        <w:rPr>
          <w:rStyle w:val="FootnoteReference"/>
          <w:color w:val="000000"/>
        </w:rPr>
        <w:footnoteReference w:id="3"/>
      </w:r>
      <w:r w:rsidRPr="009F708F">
        <w:t>,</w:t>
      </w:r>
    </w:p>
    <w:p w:rsidR="00826AE4" w:rsidRPr="009F708F" w:rsidRDefault="00826AE4" w:rsidP="00826AE4">
      <w:pPr>
        <w:pStyle w:val="NormalHanging12a"/>
      </w:pPr>
      <w:r w:rsidRPr="009F708F">
        <w:t>–</w:t>
      </w:r>
      <w:r w:rsidRPr="009F708F">
        <w:tab/>
        <w:t>gezien de mededeling van de Commissie van 5 februari 2020, getiteld “Bevordering van het toetredingsproces – Een geloofwaardig EU-perspectief voor de Westelijke Balkan” (</w:t>
      </w:r>
      <w:proofErr w:type="gramStart"/>
      <w:r w:rsidRPr="009F708F">
        <w:t>COM(</w:t>
      </w:r>
      <w:proofErr w:type="gramEnd"/>
      <w:r w:rsidRPr="009F708F">
        <w:t>2020)0057),</w:t>
      </w:r>
    </w:p>
    <w:p w:rsidR="00826AE4" w:rsidRPr="009F708F" w:rsidRDefault="00826AE4" w:rsidP="00826AE4">
      <w:pPr>
        <w:pStyle w:val="NormalHanging12a"/>
      </w:pPr>
      <w:r w:rsidRPr="009F708F">
        <w:t>–</w:t>
      </w:r>
      <w:r w:rsidRPr="009F708F">
        <w:tab/>
        <w:t>gezien de mededeling van de Commissie van 8 november 2023, getiteld “Mededeling inzake het uitbreidingsbeleid van de EU voor 2023” (</w:t>
      </w:r>
      <w:proofErr w:type="gramStart"/>
      <w:r w:rsidRPr="009F708F">
        <w:t>COM(</w:t>
      </w:r>
      <w:proofErr w:type="gramEnd"/>
      <w:r w:rsidRPr="009F708F">
        <w:t>2023)0690) en het bijbehorende werkdocument van de diensten van de Commissie, getiteld “Albania 2023 Report” (Verslag 2023 over Albanië) (SWD(2023)0690),</w:t>
      </w:r>
    </w:p>
    <w:p w:rsidR="00826AE4" w:rsidRPr="009F708F" w:rsidRDefault="00826AE4" w:rsidP="00826AE4">
      <w:pPr>
        <w:pStyle w:val="NormalHanging12a"/>
      </w:pPr>
      <w:r w:rsidRPr="009F708F">
        <w:t>–</w:t>
      </w:r>
      <w:r w:rsidRPr="009F708F">
        <w:tab/>
        <w:t>gezien de mededeling van de Commissie van 8 november 2023, getiteld “Nieuw groeiplan voor de Westelijke Balkan” (</w:t>
      </w:r>
      <w:proofErr w:type="gramStart"/>
      <w:r w:rsidRPr="009F708F">
        <w:t>COM(</w:t>
      </w:r>
      <w:proofErr w:type="gramEnd"/>
      <w:r w:rsidRPr="009F708F">
        <w:t>2023)0691),</w:t>
      </w:r>
    </w:p>
    <w:p w:rsidR="00826AE4" w:rsidRPr="009F708F" w:rsidRDefault="00826AE4" w:rsidP="00826AE4">
      <w:pPr>
        <w:pStyle w:val="NormalHanging12a"/>
      </w:pPr>
      <w:r w:rsidRPr="009F708F">
        <w:t>–</w:t>
      </w:r>
      <w:r w:rsidRPr="009F708F">
        <w:tab/>
        <w:t>gezien de mededeling van de Commissie van 20 maart 2024 betreffende pretoetredingshervormingen en -beleidsevaluaties (</w:t>
      </w:r>
      <w:proofErr w:type="gramStart"/>
      <w:r w:rsidRPr="009F708F">
        <w:t>COM(</w:t>
      </w:r>
      <w:proofErr w:type="gramEnd"/>
      <w:r w:rsidRPr="009F708F">
        <w:t>2024)0146),</w:t>
      </w:r>
    </w:p>
    <w:p w:rsidR="00826AE4" w:rsidRPr="009F708F" w:rsidRDefault="00826AE4" w:rsidP="00826AE4">
      <w:pPr>
        <w:pStyle w:val="NormalHanging12a"/>
      </w:pPr>
      <w:r w:rsidRPr="009F708F">
        <w:lastRenderedPageBreak/>
        <w:t>–</w:t>
      </w:r>
      <w:r w:rsidRPr="009F708F">
        <w:tab/>
        <w:t>gezien de mededeling van de Commissie van 24 juli 2024, getiteld “Verslag over de rechtsstaat 2024” (</w:t>
      </w:r>
      <w:proofErr w:type="gramStart"/>
      <w:r w:rsidRPr="009F708F">
        <w:t>COM(</w:t>
      </w:r>
      <w:proofErr w:type="gramEnd"/>
      <w:r w:rsidRPr="009F708F">
        <w:t>2024)0800) en het bijbehorende werkdocument van de diensten van de Commissie, getiteld “2024 Rule of Law Report – Country Chapter on the rule of law situation in Albania” (Verslag over de rechtsstaat 2024 – Hoofdstuk over de situatie van de rechtsstaat in Albanië) (SWD(2024)0828),</w:t>
      </w:r>
    </w:p>
    <w:p w:rsidR="00826AE4" w:rsidRPr="009F708F" w:rsidRDefault="00826AE4" w:rsidP="00826AE4">
      <w:pPr>
        <w:pStyle w:val="NormalHanging12a"/>
      </w:pPr>
      <w:r w:rsidRPr="009F708F">
        <w:t>–</w:t>
      </w:r>
      <w:r w:rsidRPr="009F708F">
        <w:tab/>
        <w:t>gezien de mededeling van de Commissie van 30 oktober 2024, getiteld “Mededeling inzake het uitbreidingsbeleid van de EU voor 2024” (</w:t>
      </w:r>
      <w:proofErr w:type="gramStart"/>
      <w:r w:rsidRPr="009F708F">
        <w:t>COM(</w:t>
      </w:r>
      <w:proofErr w:type="gramEnd"/>
      <w:r w:rsidRPr="009F708F">
        <w:t>2024)0690) en het bijbehorende werkdocument van de diensten van de Commissie, getiteld “Albania 2024 Report” (Verslag 2024 over Albanië) (SWD(2024)0690),</w:t>
      </w:r>
    </w:p>
    <w:p w:rsidR="00826AE4" w:rsidRPr="009F708F" w:rsidRDefault="00826AE4" w:rsidP="00826AE4">
      <w:pPr>
        <w:pStyle w:val="NormalHanging12a"/>
      </w:pPr>
      <w:r w:rsidRPr="009F708F">
        <w:t>–</w:t>
      </w:r>
      <w:r w:rsidRPr="009F708F">
        <w:tab/>
        <w:t>gezien de hervormingsagenda van Albanië die is ingediend in het kader van de hervormings- en groeifaciliteit van de EU, zoals goedgekeurd door de Commissie op 23 oktober 2024,</w:t>
      </w:r>
    </w:p>
    <w:p w:rsidR="00826AE4" w:rsidRPr="009F708F" w:rsidRDefault="00826AE4" w:rsidP="00826AE4">
      <w:pPr>
        <w:pStyle w:val="NormalHanging12a"/>
      </w:pPr>
      <w:r w:rsidRPr="009F708F">
        <w:t>–</w:t>
      </w:r>
      <w:r w:rsidRPr="009F708F">
        <w:tab/>
        <w:t>gezien het eindverslag van de verkiezingswaarnemingsmissie van het Bureau voor Democratische Instellingen en Mensenrechten (ODIHR) van de Organisatie voor Veiligheid en Samenwerking in Europa (OVSE) van 29 september 2023 over de lokale verkiezingen in Albanië van 14 mei 2023,</w:t>
      </w:r>
    </w:p>
    <w:p w:rsidR="00826AE4" w:rsidRPr="009F708F" w:rsidRDefault="00826AE4" w:rsidP="00826AE4">
      <w:pPr>
        <w:pStyle w:val="NormalHanging12a"/>
        <w:rPr>
          <w:bCs/>
          <w:iCs/>
        </w:rPr>
      </w:pPr>
      <w:r w:rsidRPr="009F708F">
        <w:t>–</w:t>
      </w:r>
      <w:r w:rsidRPr="009F708F">
        <w:tab/>
        <w:t>gezien het eindverslag van de verkiezingswaarnemingsmissie van de OVSE/ODIHR van 26 juli 2021 over de parlementsverkiezingen in Albanië van 25 april 2021,</w:t>
      </w:r>
    </w:p>
    <w:p w:rsidR="00826AE4" w:rsidRPr="009F708F" w:rsidRDefault="00826AE4" w:rsidP="00826AE4">
      <w:pPr>
        <w:pStyle w:val="NormalHanging12a"/>
      </w:pPr>
      <w:r w:rsidRPr="009F708F">
        <w:t>–</w:t>
      </w:r>
      <w:r w:rsidRPr="009F708F">
        <w:tab/>
        <w:t>gezien het gezamenlijk advies van de Commissie van Venetië en de OVSE/ODIHR van 11 december 2020 inzake de wijziging van de Albanese grondwet van 30 juli 2020 en de wijziging van de Albanese kieswet van 5 oktober 2020,</w:t>
      </w:r>
    </w:p>
    <w:p w:rsidR="00826AE4" w:rsidRPr="009F708F" w:rsidRDefault="00826AE4" w:rsidP="00826AE4">
      <w:pPr>
        <w:pStyle w:val="NormalHanging12a"/>
        <w:rPr>
          <w:bCs/>
          <w:iCs/>
        </w:rPr>
      </w:pPr>
      <w:r w:rsidRPr="009F708F">
        <w:t>–</w:t>
      </w:r>
      <w:r w:rsidRPr="009F708F">
        <w:tab/>
        <w:t>gezien de tijdens de top EU-Westelijke Balkan van 17 mei 2018 aangenomen verklaring van Sofia en de hieraan gehechte prioriteitenagenda van Sofia,</w:t>
      </w:r>
    </w:p>
    <w:p w:rsidR="00826AE4" w:rsidRPr="009F708F" w:rsidRDefault="00826AE4" w:rsidP="00826AE4">
      <w:pPr>
        <w:pStyle w:val="NormalHanging12a"/>
        <w:rPr>
          <w:bCs/>
          <w:iCs/>
        </w:rPr>
      </w:pPr>
      <w:r w:rsidRPr="009F708F">
        <w:t>–</w:t>
      </w:r>
      <w:r w:rsidRPr="009F708F">
        <w:tab/>
        <w:t>gezien de Verklaring van Zagreb die werd aangenomen tijdens de top EU-Westelijke Balkan op 6 mei 2020,</w:t>
      </w:r>
    </w:p>
    <w:p w:rsidR="00826AE4" w:rsidRPr="009F708F" w:rsidRDefault="00826AE4" w:rsidP="00826AE4">
      <w:pPr>
        <w:pStyle w:val="NormalHanging12a"/>
      </w:pPr>
      <w:r w:rsidRPr="009F708F">
        <w:t>–</w:t>
      </w:r>
      <w:r w:rsidRPr="009F708F">
        <w:tab/>
        <w:t>gezien de verklaringen van de top EU-Westelijke Balkan van 13 december 2023 en 18 december 2024 in Brussel,</w:t>
      </w:r>
    </w:p>
    <w:p w:rsidR="00826AE4" w:rsidRPr="009F708F" w:rsidRDefault="00826AE4" w:rsidP="00826AE4">
      <w:pPr>
        <w:pStyle w:val="NormalHanging12a"/>
      </w:pPr>
      <w:r w:rsidRPr="009F708F">
        <w:t>–</w:t>
      </w:r>
      <w:r w:rsidRPr="009F708F">
        <w:tab/>
        <w:t>gezien het proces van Berlijn, dat op 28 augustus 2014 is gestart,</w:t>
      </w:r>
    </w:p>
    <w:p w:rsidR="00826AE4" w:rsidRPr="009F708F" w:rsidRDefault="00826AE4" w:rsidP="00826AE4">
      <w:pPr>
        <w:pStyle w:val="NormalHanging12a"/>
        <w:rPr>
          <w:bCs/>
          <w:iCs/>
        </w:rPr>
      </w:pPr>
      <w:r w:rsidRPr="009F708F">
        <w:t>–</w:t>
      </w:r>
      <w:r w:rsidRPr="009F708F">
        <w:tab/>
        <w:t>gezien de wereldindex voor persvrijheid van Verslaggevers zonder Grenzen van 2024,</w:t>
      </w:r>
    </w:p>
    <w:p w:rsidR="00826AE4" w:rsidRPr="009F708F" w:rsidRDefault="00826AE4" w:rsidP="00826AE4">
      <w:pPr>
        <w:pStyle w:val="NormalHanging12a"/>
        <w:rPr>
          <w:bCs/>
          <w:iCs/>
        </w:rPr>
      </w:pPr>
      <w:r w:rsidRPr="009F708F">
        <w:t>–</w:t>
      </w:r>
      <w:r w:rsidRPr="009F708F">
        <w:tab/>
        <w:t>gezien de corruptieperceptie-index 2024 van Transparency International,</w:t>
      </w:r>
    </w:p>
    <w:p w:rsidR="00826AE4" w:rsidRPr="009F708F" w:rsidRDefault="00826AE4" w:rsidP="00826AE4">
      <w:pPr>
        <w:pStyle w:val="NormalHanging12a"/>
        <w:rPr>
          <w:bCs/>
          <w:iCs/>
        </w:rPr>
      </w:pPr>
      <w:r w:rsidRPr="009F708F">
        <w:t>–</w:t>
      </w:r>
      <w:r w:rsidRPr="009F708F">
        <w:tab/>
        <w:t>gezien het Global Gender Gap Report 2024 van het Wereld Economisch Forum,</w:t>
      </w:r>
    </w:p>
    <w:p w:rsidR="00826AE4" w:rsidRPr="009F708F" w:rsidRDefault="00826AE4" w:rsidP="00826AE4">
      <w:pPr>
        <w:pStyle w:val="NormalHanging12a"/>
      </w:pPr>
      <w:r w:rsidRPr="009F708F">
        <w:t>–</w:t>
      </w:r>
      <w:r w:rsidRPr="009F708F">
        <w:tab/>
        <w:t>gezien zijn eerdere resoluties over Albanië,</w:t>
      </w:r>
    </w:p>
    <w:p w:rsidR="00826AE4" w:rsidRPr="009F708F" w:rsidRDefault="00826AE4" w:rsidP="00826AE4">
      <w:pPr>
        <w:pStyle w:val="NormalHanging12a"/>
      </w:pPr>
      <w:r w:rsidRPr="009F708F">
        <w:t>–</w:t>
      </w:r>
      <w:r w:rsidRPr="009F708F">
        <w:tab/>
        <w:t>gezien artikel 55 van zijn Reglement,</w:t>
      </w:r>
    </w:p>
    <w:p w:rsidR="00826AE4" w:rsidRPr="009F708F" w:rsidRDefault="00826AE4" w:rsidP="00826AE4">
      <w:pPr>
        <w:pStyle w:val="NormalHanging12a"/>
      </w:pPr>
      <w:r w:rsidRPr="009F708F">
        <w:t>–</w:t>
      </w:r>
      <w:r w:rsidRPr="009F708F">
        <w:tab/>
        <w:t>gezien het verslag van de Commissie buitenlandse zaken (A10-0106/2025),</w:t>
      </w:r>
    </w:p>
    <w:p w:rsidR="00826AE4" w:rsidRPr="009F708F" w:rsidRDefault="00826AE4" w:rsidP="00826AE4">
      <w:pPr>
        <w:pStyle w:val="NormalHanging12a"/>
      </w:pPr>
      <w:r w:rsidRPr="009F708F">
        <w:t>A.</w:t>
      </w:r>
      <w:r w:rsidRPr="009F708F">
        <w:tab/>
        <w:t>overwegende dat uitbreiding het meest doeltreffende instrument van het buitenlands beleid van de EU is en een geostrategische investering in langdurige vrede, democratie, stabiliteit en veiligheid op het Europees continent vormt;</w:t>
      </w:r>
    </w:p>
    <w:p w:rsidR="00826AE4" w:rsidRPr="009F708F" w:rsidRDefault="00826AE4" w:rsidP="00826AE4">
      <w:pPr>
        <w:pStyle w:val="NormalHanging12a"/>
        <w:rPr>
          <w:bCs/>
          <w:iCs/>
        </w:rPr>
      </w:pPr>
      <w:r w:rsidRPr="009F708F">
        <w:lastRenderedPageBreak/>
        <w:t>B.</w:t>
      </w:r>
      <w:r w:rsidRPr="009F708F">
        <w:tab/>
        <w:t>overwegende dat de EU de belangrijkste politieke en economische partner van de landen van de Westelijke Balkan blijft; overwegende dat de EU nog steeds verreweg de belangrijkste handels- en investeringspartner van Albanië is en de belangrijkste verstrekker van financiële bijstand;</w:t>
      </w:r>
    </w:p>
    <w:p w:rsidR="00826AE4" w:rsidRPr="009F708F" w:rsidRDefault="00826AE4" w:rsidP="00826AE4">
      <w:pPr>
        <w:pStyle w:val="NormalHanging12a"/>
      </w:pPr>
      <w:r w:rsidRPr="009F708F">
        <w:t>C.</w:t>
      </w:r>
      <w:r w:rsidRPr="009F708F">
        <w:tab/>
        <w:t>overwegende dat uitbreiding een op verdiensten gebaseerd proces is dat berust op de beginselen van democratie, de rechtsstaat en de grondrechten;</w:t>
      </w:r>
      <w:r w:rsidRPr="009F708F">
        <w:rPr>
          <w:b/>
          <w:i/>
        </w:rPr>
        <w:t xml:space="preserve"> </w:t>
      </w:r>
      <w:r w:rsidRPr="009F708F">
        <w:t>overwegende dat de toetreding van Albanië tot de EU afhangt van duurzame, grondige en onomkeerbare hervormingen op fundamentele gebieden, te beginnen bij de rechtsstaat en de werking van de democratische instellingen;</w:t>
      </w:r>
    </w:p>
    <w:p w:rsidR="00826AE4" w:rsidRPr="009F708F" w:rsidRDefault="00826AE4" w:rsidP="00826AE4">
      <w:pPr>
        <w:pStyle w:val="NormalHanging12a"/>
      </w:pPr>
      <w:r w:rsidRPr="009F708F">
        <w:t>D.</w:t>
      </w:r>
      <w:r w:rsidRPr="009F708F">
        <w:tab/>
        <w:t>overwegende dat Albanië sinds 2014 kandidaat-lidstaat van de EU is, in juli 2022 toetredingsonderhandelingen is begonnen en in november 2023 het screeningproces met succes heeft afgerond;</w:t>
      </w:r>
    </w:p>
    <w:p w:rsidR="00826AE4" w:rsidRPr="009F708F" w:rsidRDefault="00826AE4" w:rsidP="00826AE4">
      <w:pPr>
        <w:pStyle w:val="NormalHanging12a"/>
      </w:pPr>
      <w:r w:rsidRPr="009F708F">
        <w:t>E.</w:t>
      </w:r>
      <w:r w:rsidRPr="009F708F">
        <w:tab/>
        <w:t>overwegende dat Albanië op 15 oktober 2024 onderhandelingen heeft geopend over cluster 1 (fundamentele kwesties)</w:t>
      </w:r>
      <w:r w:rsidR="00C7328C" w:rsidRPr="009F708F">
        <w:t>,</w:t>
      </w:r>
      <w:r w:rsidRPr="009F708F">
        <w:t xml:space="preserve"> op 17 december 2024 over cluster 6 (externe betrekkingen)</w:t>
      </w:r>
      <w:r w:rsidR="00C55239" w:rsidRPr="009F708F">
        <w:t>, op 14 april 2025 over cluster 2 (interne markt), en op 22 mei 2025 over cluster 3 (concurrentievermogen en inclusieve groei)</w:t>
      </w:r>
      <w:r w:rsidRPr="009F708F">
        <w:t>;</w:t>
      </w:r>
    </w:p>
    <w:p w:rsidR="00826AE4" w:rsidRPr="009F708F" w:rsidRDefault="00826AE4" w:rsidP="00826AE4">
      <w:pPr>
        <w:pStyle w:val="NormalHanging12a"/>
      </w:pPr>
      <w:r w:rsidRPr="009F708F">
        <w:t>F.</w:t>
      </w:r>
      <w:r w:rsidRPr="009F708F">
        <w:tab/>
        <w:t>overwegende dat Albanië een betrouwbare partner op het gebied van buitenlands beleid is en zich volledig heeft aangesloten bij het gemeenschappelijk buitenlands en veiligheidsbeleid van de EU;</w:t>
      </w:r>
    </w:p>
    <w:p w:rsidR="00826AE4" w:rsidRPr="009F708F" w:rsidRDefault="00826AE4" w:rsidP="00826AE4">
      <w:pPr>
        <w:pStyle w:val="NormalHanging12a"/>
      </w:pPr>
      <w:r w:rsidRPr="009F708F">
        <w:t>G.</w:t>
      </w:r>
      <w:r w:rsidRPr="009F708F">
        <w:tab/>
        <w:t>overwegende dat Albanië het doelwit is geweest van buitenlandse kwaadwillige beïnvloedingscampagnes die erop gericht zijn verdeeldheid te zaaien, spanningen en geweld uit te lokken en de hele regio te destabiliseren, met inbegrip van Russische desinformatie en inmenging in verkiezingen, alsook twijfelachtige investeringen van actoren buiten de EU, zoals China; overwegende dat Russische en Iraanse cyberaanvallen tegen Albanië in 2022 en 2023 kritieke overheidsfuncties hebben verstoord, hetgeen het hybride dreigingsmilieu illustreert waarmee Albanië te maken heeft bij zijn voortgang op weg naar EU-integratie;</w:t>
      </w:r>
    </w:p>
    <w:p w:rsidR="00826AE4" w:rsidRPr="009F708F" w:rsidRDefault="00826AE4" w:rsidP="00826AE4">
      <w:pPr>
        <w:pStyle w:val="NormalHanging12a"/>
      </w:pPr>
      <w:r w:rsidRPr="009F708F">
        <w:t>H.</w:t>
      </w:r>
      <w:r w:rsidRPr="009F708F">
        <w:tab/>
        <w:t>overwegende dat er nog steeds sprake is van electorale tekortkomingen en ernstige kwetsbaarheden in het kiesstelsel van Albanië; overwegende dat de aanbevelingen van de OVSE/ODIHR om het verkiezingsproces in Albanië verder te verbeteren nog niet volledig zijn opgevolgd;</w:t>
      </w:r>
    </w:p>
    <w:p w:rsidR="00826AE4" w:rsidRPr="009F708F" w:rsidRDefault="00826AE4" w:rsidP="00826AE4">
      <w:pPr>
        <w:pStyle w:val="NormalHanging12a"/>
        <w:rPr>
          <w:bCs/>
          <w:iCs/>
        </w:rPr>
      </w:pPr>
      <w:r w:rsidRPr="009F708F">
        <w:t>I.</w:t>
      </w:r>
      <w:r w:rsidRPr="009F708F">
        <w:tab/>
        <w:t>overwegende dat Albanië deelneemt aan missies en operaties in het kader van het gemeenschappelijk veiligheids- en defensiebeleid van de EU, waaronder EUFOR Althea in Bosnië en Herzegovina;</w:t>
      </w:r>
    </w:p>
    <w:p w:rsidR="00826AE4" w:rsidRPr="009F708F" w:rsidRDefault="00826AE4" w:rsidP="00826AE4">
      <w:pPr>
        <w:pStyle w:val="NormalHanging12a"/>
      </w:pPr>
      <w:r w:rsidRPr="009F708F">
        <w:t>J.</w:t>
      </w:r>
      <w:r w:rsidRPr="009F708F">
        <w:tab/>
        <w:t>overwegende dat de bescherming van nationale en etnische minderheden cruciaal is voor landen die lid willen worden van de EU; overwegende dat de uitvoeringswetgeving inzake de vrije zelfidentificatie en het gebruik van minderheidstalen in Albanië is aangenomen;</w:t>
      </w:r>
    </w:p>
    <w:p w:rsidR="00826AE4" w:rsidRPr="009F708F" w:rsidRDefault="00826AE4" w:rsidP="00826AE4">
      <w:pPr>
        <w:pStyle w:val="NormalHanging12a"/>
        <w:rPr>
          <w:bCs/>
          <w:iCs/>
        </w:rPr>
      </w:pPr>
      <w:r w:rsidRPr="009F708F">
        <w:t>K.</w:t>
      </w:r>
      <w:r w:rsidRPr="009F708F">
        <w:tab/>
        <w:t>overwegende dat de Russische aanvalsoorlog tegen Oekraïne duidelijk maakt dat uitbreiding van de EU van cruciaal belang is om de veiligheid en stabiliteit op ons continent te waarborgen;</w:t>
      </w:r>
    </w:p>
    <w:p w:rsidR="00826AE4" w:rsidRPr="009F708F" w:rsidRDefault="00826AE4" w:rsidP="00826AE4">
      <w:pPr>
        <w:pStyle w:val="NormalHanging12a"/>
      </w:pPr>
      <w:r w:rsidRPr="009F708F">
        <w:t>1.</w:t>
      </w:r>
      <w:r w:rsidRPr="009F708F">
        <w:tab/>
        <w:t xml:space="preserve">stelt verheugd vast dat Albanië zich onverkort blijft inzetten voor integratie in de EU, hetgeen een weerspiegeling vormt van een consensus tussen alle politieke partijen, </w:t>
      </w:r>
      <w:r w:rsidRPr="009F708F">
        <w:lastRenderedPageBreak/>
        <w:t>zowel regerings- als oppositiepartijen, en overweldigende steun onder de burgers, en prijst het land voor zijn consequente volledige afstemming op het gemeenschappelijk buitenlands en veiligheidsbeleid van de EU en zijn bevordering van de op regels gebaseerde internationale orde, alsook zijn stellige reactie op de Russische aanvalsoorlog tegen Oekraïne door middel van zijn aansluiting bij de beperkende maatregelen van de EU tegen Rusland en Belarus; onderkent de actieve rol van het land in de regio en in regionale initiatieven;</w:t>
      </w:r>
    </w:p>
    <w:p w:rsidR="00826AE4" w:rsidRPr="009F708F" w:rsidRDefault="00826AE4" w:rsidP="00826AE4">
      <w:pPr>
        <w:pStyle w:val="NormalHanging12a"/>
      </w:pPr>
      <w:r w:rsidRPr="009F708F">
        <w:t>2.</w:t>
      </w:r>
      <w:r w:rsidRPr="009F708F">
        <w:tab/>
        <w:t>is ingenomen met de ambitie van Albanië om de toetredingsonderhandelingen uiterlijk eind 2027 af te ronden en met de snelle vooruitgang die de afgelopen jaren is geboekt, met name de opening van twee clusters van onderhandelingshoofdstukken in 2024</w:t>
      </w:r>
      <w:r w:rsidR="004744A9" w:rsidRPr="009F708F">
        <w:t xml:space="preserve"> alsook tot dusver twee andere clusters in 2025</w:t>
      </w:r>
      <w:r w:rsidRPr="009F708F">
        <w:t>; herinnert eraan dat kandidaat-lidstaten diepgaande transformaties doormaken om aan de criteria voor het EU-lidmaatschap te voldoen tijdens de toetredingsonderhandelingen, die zo lang duren als nodig is om de noodzakelijke hervormingen door te voeren; benadrukt dat de transparantie, verantwoordingsplicht en inclusiviteit van het toetredingsproces, met inbegrip van de parlementaire dimensie ervan, moeten worden versterkt; waarschuwt voor acties die het systeem van checks-and-balances kunnen ondermijnen;</w:t>
      </w:r>
    </w:p>
    <w:p w:rsidR="00826AE4" w:rsidRPr="009F708F" w:rsidRDefault="00826AE4" w:rsidP="00826AE4">
      <w:pPr>
        <w:pStyle w:val="NormalHanging12a"/>
      </w:pPr>
      <w:r w:rsidRPr="009F708F">
        <w:t>3.</w:t>
      </w:r>
      <w:r w:rsidRPr="009F708F">
        <w:tab/>
        <w:t>merkt op dat het tempo van toetreding tot de EU wordt bepaald door de vooruitgang die de kandidaat-lidstaat boekt bij de aanpassing van zijn wetgeving aan het EU-acquis, zijn prestaties bij de uitvoering ervan en de goede werking van alle instellingen van het land, en dat dit tevens afhangt van de rechtsstaat, goed bestuur en de grondrechten; dringt er bij Albanië op aan versneld hervormingen door te voeren om de rechtsstaat en de economische groei te versterken, corruptie en georganiseerde misdaad te bestrijden, mensenhandel te voorkomen, de bescherming van de grondrechten te waarborgen en vooruitgang te boeken op het vlak van de vrijheid van meningsuiting, de vrijheid van informatie en de pluriformiteit en onafhankelijkheid van de media;</w:t>
      </w:r>
    </w:p>
    <w:p w:rsidR="00826AE4" w:rsidRPr="009F708F" w:rsidRDefault="00826AE4" w:rsidP="00826AE4">
      <w:pPr>
        <w:pStyle w:val="NormalHanging12a"/>
      </w:pPr>
      <w:r w:rsidRPr="009F708F">
        <w:t>4.</w:t>
      </w:r>
      <w:r w:rsidRPr="009F708F">
        <w:tab/>
        <w:t>is ingenomen met de nieuwe hervormings- en groeifaciliteit van de EU voor de Westelijke Balkan, in het kader waarvan Albanië 922 miljoen EUR aan subsidies en leningen zal ontvangen wanneer het land voldoet aan de voorwaarden van zijn ambitieuze hervormingsagenda;</w:t>
      </w:r>
    </w:p>
    <w:p w:rsidR="00826AE4" w:rsidRPr="009F708F" w:rsidRDefault="00826AE4" w:rsidP="00826AE4">
      <w:pPr>
        <w:pStyle w:val="NormalHanging12a"/>
      </w:pPr>
      <w:r w:rsidRPr="009F708F">
        <w:t>5.</w:t>
      </w:r>
      <w:r w:rsidRPr="009F708F">
        <w:tab/>
        <w:t>neemt kennis van de goedkeuring door Albanië van het nationaal plan voor Europese integratie 2024-2026; is ingenomen met het feit dat Albanië de instanties heeft opgericht die het integratieproces in goede banen moeten leiden;</w:t>
      </w:r>
      <w:r w:rsidRPr="009F708F">
        <w:rPr>
          <w:b/>
          <w:i/>
        </w:rPr>
        <w:t xml:space="preserve"> </w:t>
      </w:r>
      <w:r w:rsidRPr="009F708F">
        <w:t>dringt erop aan meer inspanningen te leveren om de transparantie te vergroten en te starten met publieke communicatie over EU-integratie;</w:t>
      </w:r>
    </w:p>
    <w:p w:rsidR="00826AE4" w:rsidRPr="009F708F" w:rsidRDefault="00826AE4" w:rsidP="00826AE4">
      <w:pPr>
        <w:pStyle w:val="NormalHanging12a"/>
      </w:pPr>
      <w:r w:rsidRPr="009F708F">
        <w:t>6.</w:t>
      </w:r>
      <w:r w:rsidRPr="009F708F">
        <w:tab/>
        <w:t>is ingenomen met het besluit om het antennekantoor van het Europees Parlement voor de Westelijke Balkan in Tirana te openen; merkt op dat dit kantoor zal fungeren als een belangrijk contactpunt tussen het Europees Parlement en de nationale parlementen, het maatschappelijk middenveld en lokale partners uit de hele Westelijke Balkan;</w:t>
      </w:r>
    </w:p>
    <w:p w:rsidR="00826AE4" w:rsidRPr="009F708F" w:rsidRDefault="00826AE4" w:rsidP="00826AE4">
      <w:pPr>
        <w:pStyle w:val="NormalHanging12a"/>
        <w:rPr>
          <w:bCs/>
          <w:iCs/>
        </w:rPr>
      </w:pPr>
      <w:r w:rsidRPr="009F708F">
        <w:t>7.</w:t>
      </w:r>
      <w:r w:rsidRPr="009F708F">
        <w:tab/>
        <w:t>is ingenomen met de betrokkenheid van 18 Albanese deelnemers aan het door het Europees Economisch en Sociaal Comité gelanceerde initiatief voor leden uit kandidaat-lidstaten, dat tot doel heeft de banden met de kandidaat-lidstaten aan te halen en hun geleidelijke integratie in de Europese Unie te vergemakkelijken;</w:t>
      </w:r>
    </w:p>
    <w:p w:rsidR="00826AE4" w:rsidRPr="009F708F" w:rsidRDefault="00826AE4" w:rsidP="00826AE4">
      <w:pPr>
        <w:pStyle w:val="NormalHanging12a"/>
        <w:rPr>
          <w:b/>
          <w:i/>
        </w:rPr>
      </w:pPr>
      <w:r w:rsidRPr="009F708F">
        <w:rPr>
          <w:b/>
          <w:i/>
        </w:rPr>
        <w:t>Democratische instellingen, media en het maatschappelijk middenveld</w:t>
      </w:r>
    </w:p>
    <w:p w:rsidR="00826AE4" w:rsidRPr="009F708F" w:rsidRDefault="00826AE4" w:rsidP="00826AE4">
      <w:pPr>
        <w:pStyle w:val="NormalHanging12a"/>
      </w:pPr>
      <w:r w:rsidRPr="009F708F">
        <w:lastRenderedPageBreak/>
        <w:t>8.</w:t>
      </w:r>
      <w:r w:rsidRPr="009F708F">
        <w:tab/>
        <w:t>wijst op het belang van een constructief politiek debat en een ordelijke parlementaire gang van zaken als essentiële aspecten van democratisch bestuur; bevestigt nogmaals de gezamenlijke verantwoordelijkheid van de politieke krachten van Albanië om de constructieve en inclusieve politieke dialoog te versterken en de aanhoudende grote politieke polarisatie in het land tegen te gaan; betreurt de voortdurende conflicten en opruiende retoriek van politici van alle partijen en de confrontaties tussen de regerende meerderheid en de oppositie; benadrukt dat er een politieke cultuur moet worden bevorderd op basis van wederzijds respect en naleving van democratische normen, waarbij ervoor wordt gezorgd dat politieke concurrentie de institutionele stabiliteit niet ondermijnt, en dat er moet worden aangetoond dat de rol van parlementarisme volledig wordt geëerbiedigd door een einde te maken aan politieke aanvallen; dringt aan op een echte dialoog ter bevordering van politieke stabiliteit en vooruitgang, waarbij de nadruk wordt gelegd op de noodzaak van consensus tussen de partijen over de EU-agenda inzake integratie en de zinvolle betrokkenheid van het maatschappelijk middenveld; benadrukt dat doeltreffender parlementair toezicht en een betere werking van de instellingen noodzakelijk zijn;</w:t>
      </w:r>
    </w:p>
    <w:p w:rsidR="00826AE4" w:rsidRPr="009F708F" w:rsidRDefault="00826AE4" w:rsidP="00826AE4">
      <w:pPr>
        <w:pStyle w:val="NormalHanging12a"/>
      </w:pPr>
      <w:r w:rsidRPr="009F708F">
        <w:t>9.</w:t>
      </w:r>
      <w:r w:rsidRPr="009F708F">
        <w:tab/>
        <w:t>onderkent de toenemende dreiging van buitenlandse kwaadwillige invloed en hybride inmenging in de democratische instellingen van Albanië; benadrukt dat met op het Kremlin afgestemde narratieven is geprobeerd het vertrouwen van het publiek in democratische instellingen uit te hollen en antiwesters sentiment te bevorderen; verzoekt Albanië de institutionele weerbaarheid tegen heimelijke politieke financiering, manipulatie van de media en cyberdreigingen die rechtstreeks gevolgen hebben voor het toetredingsproces van het land tot de EU te vergroten; verzoekt de EU-instellingen de blootstelling van Albanië aan buitenlandse kwaadwillige invloeden nauwlettend in de gaten te houden;</w:t>
      </w:r>
    </w:p>
    <w:p w:rsidR="00826AE4" w:rsidRPr="009F708F" w:rsidRDefault="00826AE4" w:rsidP="00826AE4">
      <w:pPr>
        <w:pStyle w:val="NormalHanging12a"/>
      </w:pPr>
      <w:r w:rsidRPr="009F708F">
        <w:t>10.</w:t>
      </w:r>
      <w:r w:rsidRPr="009F708F">
        <w:tab/>
        <w:t>is ingenomen met de blokkering door Albanië van Russische desinformatiedomeinen, maar wijst op de noodzaak van een gecoördineerd mechanisme voor respons op desinformatie tussen de EU en Albanië, naar het voorbeeld van het platform EUvsDisinfo, om narratieven van het Kremlin snel te ontkrachten en tegen te gaan; pleit voor meer regionale samenwerking tussen de landen van de Westelijke Balkan zodat zij beproefde praktijken kunnen uitwisselen en gemeenschappelijke strategieën voor het bestrijden van desinformatie en buitenlandse inmenging kunnen uitstippelen; waarschuwt voor de steeds groter wordende voetafdruk van door de Chinese staat gesteunde media in Albanië;</w:t>
      </w:r>
    </w:p>
    <w:p w:rsidR="00826AE4" w:rsidRPr="009F708F" w:rsidRDefault="00826AE4" w:rsidP="00826AE4">
      <w:pPr>
        <w:pStyle w:val="NormalHanging12a"/>
      </w:pPr>
      <w:r w:rsidRPr="009F708F">
        <w:t>11.</w:t>
      </w:r>
      <w:r w:rsidRPr="009F708F">
        <w:tab/>
        <w:t>wijst op de plicht van het Albanese parlement om de uitspraken van het Grondwettelijk Hof onverwijld te eerbiedigen; wijst op de fundamentele en onvervangbare rol van het parlement bij het waarborgen van checks-and-balances; verzoekt Albanië te zorgen voor werkelijke democratische verantwoordingsplicht en een sterker, transparanter bestuur;</w:t>
      </w:r>
    </w:p>
    <w:p w:rsidR="00826AE4" w:rsidRPr="009F708F" w:rsidRDefault="00826AE4" w:rsidP="00826AE4">
      <w:pPr>
        <w:pStyle w:val="NormalHanging12a"/>
      </w:pPr>
      <w:r w:rsidRPr="009F708F">
        <w:t>12.</w:t>
      </w:r>
      <w:r w:rsidRPr="009F708F">
        <w:tab/>
        <w:t xml:space="preserve">neemt kennis van de wijziging van de Albanese kieswet van juli 2024, waardoor de Albanese diaspora voortaan vanuit het buitenland kan stemmen en waarmee gedeeltelijk open kandidatenlijsten worden ingevoerd; neemt kennis van de parlementsverkiezingen van 11 mei 2025 en onderstreept dat de verkiezingen op basis van de voorlopige conclusies van de OVSE/ODIHR open en op professionele wijze georganiseerd waren, maar plaatsvonden in een sterk gepolariseerde omgeving en dat er geen sprake was van een gelijk speelveld voor de deelnemers; vindt het bezwaarlijk dat de regerende partij heeft geprofiteerd van het wijdverbreide gebruik van administratieve middelen; </w:t>
      </w:r>
      <w:r w:rsidR="004744A9" w:rsidRPr="009F708F">
        <w:t xml:space="preserve">stelt vast dat het eindverslag van de OVSE/ODIHR, dat de definitieve beoordeling en de uit te voeren aanbevelingen zal bevatten, naar verwachting in de komende maanden zal </w:t>
      </w:r>
      <w:r w:rsidR="004744A9" w:rsidRPr="009F708F">
        <w:lastRenderedPageBreak/>
        <w:t xml:space="preserve">worden gepubliceerd; </w:t>
      </w:r>
      <w:r w:rsidRPr="009F708F">
        <w:t>verzoekt alle partijen blijk te geven van politieke wil voor een alomvattende en inclusieve hervorming van het kiesstelsel om alle aanbevelingen van de OVSE/ODIHR en de Commissie van Venetië volledig en tijdig op te volgen, met inbegrip van de aanbevelingen over het kader voor de financiering van verkiezingen en partijen;</w:t>
      </w:r>
    </w:p>
    <w:p w:rsidR="00826AE4" w:rsidRPr="009F708F" w:rsidRDefault="00826AE4" w:rsidP="00826AE4">
      <w:pPr>
        <w:pStyle w:val="NormalHanging12a"/>
      </w:pPr>
      <w:r w:rsidRPr="009F708F">
        <w:t>13.</w:t>
      </w:r>
      <w:r w:rsidRPr="009F708F">
        <w:tab/>
        <w:t>betreurt het dat het klimaat voor vrije media en onafhankelijke journalisten de afgelopen jaren ongunstiger is geworden; stelt met bezorgdheid vast dat de onafhankelijkheid en pluriformiteit van de media in Albanië nog steeds worden aangetast door een sterke marktconcentratie, de overlapping van zakelijke en politieke belangen, een gebrek aan transparantie van financiering en eigendom, intimidatie en onzekere arbeidsomstandigheden voor journalisten; merkt op dat Albanië volgens de wereldindex voor persvrijheid 2024 van Verslaggevers zonder Grenzen op de 99e plaats staat, vanwege aanhoudende problemen in verband met de concentratie van media-eigendom, politieke inmenging en bedreigingen van journalisten; benadrukt dat het gebrek aan transparantie in de financierings- en eigendomsstructuren van de media het risico op redactionele vooringenomenheid en buitenlandse beïnvloeding door middel van propaganda vergroot en het vertrouwen van het publiek in de journalistiek ondermijnt; verzoekt de Albanese autoriteiten de transparantie van media-eigendom te waarborgen en een nultolerantiebeleid voor de intimidatie van journalisten te voeren; verzoekt de Albanese regering onafhankelijke factcheckplatforms te ondersteunen als middel om de toegang van het publiek tot nauwkeurige informatie te waarborgen en de integriteit van de informatieruimte te handhaven;</w:t>
      </w:r>
    </w:p>
    <w:p w:rsidR="00826AE4" w:rsidRPr="009F708F" w:rsidRDefault="00826AE4" w:rsidP="00826AE4">
      <w:pPr>
        <w:pStyle w:val="NormalHanging12a"/>
        <w:rPr>
          <w:bCs/>
          <w:iCs/>
        </w:rPr>
      </w:pPr>
      <w:r w:rsidRPr="009F708F">
        <w:t>14.</w:t>
      </w:r>
      <w:r w:rsidRPr="009F708F">
        <w:tab/>
        <w:t>wijst erop dat alle herzieningen van mediawetten moeten stroken met de aanbevelingen van de Commissie van Venetië en op transparante en inclusieve wijze en in overleg met mediaorganisaties moeten worden doorgevoerd, teneinde de mediavrijheid en zelfregulering te verbeteren; is ingenomen met het platform ter bevordering van de bescherming van de journalistiek en de veiligheid van journalisten, dat door de Raad van Europa is opgericht, samen met de EU en een netwerk van prominente organisaties voor persvrijheid; betreurt het dat er geen vooruitgang is geboekt bij de aanpassing van het wetgevingskader aan het EU-acquis en de EU-normen, waaronder de Europese verordening mediavrijheid</w:t>
      </w:r>
      <w:r w:rsidRPr="009F708F">
        <w:rPr>
          <w:rStyle w:val="FootnoteReference"/>
        </w:rPr>
        <w:footnoteReference w:id="4"/>
      </w:r>
      <w:r w:rsidRPr="009F708F">
        <w:t xml:space="preserve">; wijst erop dat meer moet worden ingezet op onderzoeksjournalistiek, factchecking en mediawijsheid en dat haatzaaiende uitlatingen, desinformatie en nepnieuws moeten worden aangepakt; uit zijn bezorgdheid over de aanhoudende opruiende antimediaretoriek, onder meer door toonaangevende politici, overheidsfunctionarissen en andere publieke figuren, die de cultuur van intimidatie aanwakkert; veroordeelt de toenemende verbale aanvallen op journalisten die verslag doen van kwesties in verband met de rechtsstaat en corruptie, evenals misogyne online-intimidatie van vrouwelijke journalisten, lastercampagnes, geweld en rellen, en dringt erop aan dat de daders veroordeeld worden; betreurt het dat het wetboek van strafrecht journalisten niet beschermt tegen bedreigingen en geweld, en verzoekt de autoriteiten om een rechtskader vast te stellen waarmee journalisten, mensenrechtenverdedigers, milieuactivisten en andere belanghebbenden doeltreffend worden beschermd tegen de toename van het aantal strategische rechtszaken tegen publieke participatie (SLAPP’s), om laster uit het strafrecht te halen, de rol van onafhankelijke journalistiek te eerbiedigen als een cruciaal middel om toezicht te houden op het gezag, en met de </w:t>
      </w:r>
      <w:r w:rsidRPr="009F708F">
        <w:lastRenderedPageBreak/>
        <w:t>media samen te werken op een wijze die de democratische beginselen eerbiedigt;</w:t>
      </w:r>
    </w:p>
    <w:p w:rsidR="00826AE4" w:rsidRPr="009F708F" w:rsidRDefault="00826AE4" w:rsidP="00826AE4">
      <w:pPr>
        <w:pStyle w:val="NormalHanging12a"/>
      </w:pPr>
      <w:r w:rsidRPr="009F708F">
        <w:t>15.</w:t>
      </w:r>
      <w:r w:rsidRPr="009F708F">
        <w:tab/>
        <w:t>herinnert de nationale en lokale autoriteiten aan hun verantwoordelijkheid om de transparantie, verantwoordingsplicht en inclusiviteit te verbeteren door regelmatig zinvolle en openbare raadplegingen te houden met belanghebbenden; stelt met bezorgdheid vast dat de uitvoering door het Albanese parlement van het rechtskader voor openbare raadplegingen overwegend een formaliteit blijft; benadrukt dat er meer transparantie nodig is met betrekking tot openbare gegevens en belangrijke wetgevingsvoorstellen; dringt erop aan dat de situatie van de financiële middelen, de administratieve capaciteit en de fiscale autonomie van lokale autoriteiten verbeterd wordt;</w:t>
      </w:r>
    </w:p>
    <w:p w:rsidR="00826AE4" w:rsidRPr="009F708F" w:rsidRDefault="00826AE4" w:rsidP="00826AE4">
      <w:pPr>
        <w:pStyle w:val="NormalHanging12a"/>
        <w:rPr>
          <w:bCs/>
          <w:iCs/>
        </w:rPr>
      </w:pPr>
      <w:r w:rsidRPr="009F708F">
        <w:t>16.</w:t>
      </w:r>
      <w:r w:rsidRPr="009F708F">
        <w:tab/>
        <w:t>is ingenomen met het bloeiende en constructieve maatschappelijk middenveld in Albanië, dat een cruciale en positieve rol speelt in het hervormingsproces; is ingenomen met de verbetering van verkiezingsmonitoring en de toenemende deelname van het maatschappelijk middenveld aan het toezicht op het democratische proces; beklemtoont dat het maatschappelijk middenveld essentieel is voor het bevorderen van democratie en pluriformiteit, goed bestuur en sociale vooruitgang; spoort de Albanese regering aan de rol van het maatschappelijk middenveld, met inbegrip van vrouwenrechtenorganisaties, al in een vroeg stadium van het toetredingsproces tot de EU, en zijn rol in een transparant wetgevingsproces te versterken; betreurt het dat maatschappelijke organisaties moeten werken onder moeilijke omstandigheden en slechts beperkte overheidsfinanciering ontvangen; dringt erop aan dat de basis wordt gelegd voor een doeltreffend stelsel van btw-vrijstelling in overeenstemming met de verbintenissen die Albanië is aangegaan in het kader van de samenwerkingsovereenkomst tussen de EU en Albanië en het IPA III; dringt er bij de autoriteiten op aan vaart te zetten achter het opstellen van de routekaart 2024-2027 voor het regeringsbeleid om gunstigere omstandigheden te creëren voor de ontwikkeling van het maatschappelijk middenveld, en nauwlettend toe te zien op de uitvoering van deze routekaart;</w:t>
      </w:r>
    </w:p>
    <w:p w:rsidR="00826AE4" w:rsidRPr="009F708F" w:rsidRDefault="00826AE4" w:rsidP="00A42455">
      <w:pPr>
        <w:pStyle w:val="NormalHanging12a"/>
      </w:pPr>
      <w:r w:rsidRPr="009F708F">
        <w:t>17.</w:t>
      </w:r>
      <w:r w:rsidRPr="009F708F">
        <w:tab/>
        <w:t>is ingenomen met de invoering van de nieuwe functie van onderminister voor Openbaar Bestuur en Corruptiebestrijding en wijst op het belang van de doeltreffendheid van die functie en van het doorvoeren van hervormingen op het gebied van openbaar bestuur en corruptiebestrijding; vindt het echter nog steeds zorgelijk dat er slechts beperkte vooruitgang is geboekt bij de hervorming van het openbaar bestuur; dringt erop aan dat de Albanese autoriteiten de bepalingen inzake op verdiensten gebaseerde aanwerving doeltreffend uitvoeren en de doeltreffendheid van de huidige monitoringstructuren voor de nieuwe hervormingen van het openbaar bestuur en de corruptiebestrijding evalueren; benadrukt dat een cultuur van verantwoordingsplicht, onpartijdige toegang tot openbare informatie en toezicht op overheidsinstellingen moet worden bevorderd, onder meer met betrekking tot de uitvoering van de hervormingsagenda; merkt op dat overheidsinstanties hun naleving van transparantievereisten en hun reactievermogen ten aanzien van informatieverzoeken moeten verbeteren;</w:t>
      </w:r>
    </w:p>
    <w:p w:rsidR="00826AE4" w:rsidRPr="009F708F" w:rsidRDefault="00826AE4" w:rsidP="00826AE4">
      <w:pPr>
        <w:pStyle w:val="NormalHanging12a"/>
      </w:pPr>
      <w:r w:rsidRPr="009F708F">
        <w:t>18.</w:t>
      </w:r>
      <w:r w:rsidRPr="009F708F">
        <w:tab/>
        <w:t>betreurt het dat er slechts beperkte vooruitgang is geboekt bij de aanpassing van het rechtskader voor aanbestedingen aan het EU-acquis; uit zijn bezorgdheid over de onlangs ingevoerde tijdelijke vrijstellingen in de wetgeving inzake overheidsopdrachten; verzoekt de Albanese autoriteiten concurrerende aanbestedingsprocedures in overeenstemming met het EU-acquis te verbeteren;</w:t>
      </w:r>
    </w:p>
    <w:p w:rsidR="00826AE4" w:rsidRPr="009F708F" w:rsidRDefault="00826AE4" w:rsidP="00826AE4">
      <w:pPr>
        <w:pStyle w:val="NormalHanging12a"/>
      </w:pPr>
      <w:r w:rsidRPr="009F708F">
        <w:t>19.</w:t>
      </w:r>
      <w:r w:rsidRPr="009F708F">
        <w:tab/>
        <w:t>is ingenomen met de vooruitgang die Albanië heeft geboekt bij het verbeteren van de toezending van gegevens aan Eurostat;</w:t>
      </w:r>
    </w:p>
    <w:p w:rsidR="00826AE4" w:rsidRPr="009F708F" w:rsidRDefault="00826AE4" w:rsidP="00A42455">
      <w:pPr>
        <w:pStyle w:val="NormalHanging12a"/>
        <w:ind w:left="0" w:firstLine="0"/>
        <w:rPr>
          <w:b/>
          <w:i/>
        </w:rPr>
      </w:pPr>
      <w:r w:rsidRPr="009F708F">
        <w:rPr>
          <w:b/>
          <w:i/>
        </w:rPr>
        <w:lastRenderedPageBreak/>
        <w:t>Grondrechten</w:t>
      </w:r>
    </w:p>
    <w:p w:rsidR="00826AE4" w:rsidRPr="009F708F" w:rsidRDefault="00826AE4" w:rsidP="00826AE4">
      <w:pPr>
        <w:pStyle w:val="NormalHanging12a"/>
        <w:rPr>
          <w:bCs/>
          <w:iCs/>
        </w:rPr>
      </w:pPr>
      <w:r w:rsidRPr="009F708F">
        <w:t>20.</w:t>
      </w:r>
      <w:r w:rsidRPr="009F708F">
        <w:tab/>
        <w:t>merkt op dat het rechtskader van Albanië inzake gendergerelateerd geweld nog niet volledig is afgestemd op het Verdrag van Istanbul; vindt het zeer verontrustend dat geweld tegen vrouwen nog steeds een prangend probleem is en dat het aantal vrouwenmoorden hoog blijft; is ingenomen met het initiatief ter voorkoming van feminicide dat is opgezet door de ombudspersoon;</w:t>
      </w:r>
      <w:r w:rsidRPr="009F708F">
        <w:rPr>
          <w:b/>
          <w:i/>
        </w:rPr>
        <w:t xml:space="preserve"> </w:t>
      </w:r>
      <w:r w:rsidRPr="009F708F">
        <w:t>dringt aan op betere ondersteunende diensten voor slachtoffers, met name gezondheidszorg, financiering van opvanghuizen, gratis rechtsbijstand en re-integratie en rehabilitatie van slachtoffers; wijst op de noodzaak van meer financiële en institutionele steun voor preventieprogramma’s, bewustmakingscampagnes en gespecialiseerde opleidingen voor rechtshandhavings- en gerechtelijke instanties om voor een slachtoffergerichte aanpak te zorgen;</w:t>
      </w:r>
    </w:p>
    <w:p w:rsidR="00826AE4" w:rsidRPr="009F708F" w:rsidRDefault="00826AE4" w:rsidP="00826AE4">
      <w:pPr>
        <w:pStyle w:val="NormalHanging12a"/>
        <w:rPr>
          <w:bCs/>
          <w:iCs/>
        </w:rPr>
      </w:pPr>
      <w:r w:rsidRPr="009F708F">
        <w:t>21.</w:t>
      </w:r>
      <w:r w:rsidRPr="009F708F">
        <w:tab/>
        <w:t>uit zijn bezorgdheid over aanhoudende tekortkomingen met betrekking tot personen met een handicap en gendergelijkheid, zoals het niet of gedeeltelijk aanpassen van de wetgeving aan het EU-acquis; onderkent dat Albanië zijn rechtskader inzake gendergerelateerd geweld volledig in overeenstemming moet brengen met het Verdrag van Istanbul; merkt op dat Albanië volgens het Global Gender Gap Report 2024 van het Wereld Economisch Forum zes plaatsen is gezakt tot de 23e plaats wereldwijd, hetgeen op een toenemende genderkloof wijst; vindt het uiterst zorgwekkend dat geweld tegen vrouwen nog steeds een prangend probleem is en dat het aantal vrouwenmoorden hoog blijft; dringt aan op de volledige en doeltreffende uitvoering van bestaande wetgeving, met inbegrip van een striktere handhaving van beschermende maatregelen en een sterkere reactie van justitie op gevallen van gendergerelateerd geweld, zoals benadrukt werd in het verslag van de Europese Commissie over Albanië van 2024;</w:t>
      </w:r>
    </w:p>
    <w:p w:rsidR="00826AE4" w:rsidRPr="009F708F" w:rsidRDefault="00826AE4" w:rsidP="00826AE4">
      <w:pPr>
        <w:pStyle w:val="NormalHanging12a"/>
      </w:pPr>
      <w:r w:rsidRPr="009F708F">
        <w:t>22.</w:t>
      </w:r>
      <w:r w:rsidRPr="009F708F">
        <w:tab/>
        <w:t xml:space="preserve">is ingenomen met de goedkeuring van een nieuw en beter gefinancierd nationaal actieplan voor lhbti+-personen; betreurt het echter dat er geen vooruitgang is geboekt bij het initiëren van de nodige wetgeving op dit vlak en verzoekt de autoriteiten de nodige wetgeving vast te stellen inzake de erkenning van genderidentiteit en geslachtskenmerken, alsook inzake partnerschappen/huwelijken tussen personen van hetzelfde geslacht; betreurt het dat lhbti+-personen nog steeds te maken hebben met bedreigingen en denigrerende mediacampagnes, waarbij overheidsinstellingen hun onvoldoende bescherming bieden; merkt op dat vrouwen die in plattelands- en afgelegen gebieden wonen, Roma en Egyptische vrouwen en lhbtiq’ers nog steeds beperkte toegang hebben tot eerstelijnsgezondheidszorg; dringt er bij overheidsinstellingen op aan zich sterk in te zetten voor de bescherming van lhbti-rechten en resoluut op te treden tegen discriminerende en haatdragende taal jegens de </w:t>
      </w:r>
      <w:proofErr w:type="spellStart"/>
      <w:r w:rsidRPr="009F708F">
        <w:t>lhbti</w:t>
      </w:r>
      <w:proofErr w:type="spellEnd"/>
      <w:r w:rsidRPr="009F708F">
        <w:t>-gemeenschap;</w:t>
      </w:r>
    </w:p>
    <w:p w:rsidR="004744A9" w:rsidRPr="009F708F" w:rsidRDefault="009B5CA6" w:rsidP="00826AE4">
      <w:pPr>
        <w:pStyle w:val="NormalHanging12a"/>
      </w:pPr>
      <w:r w:rsidRPr="009F708F">
        <w:t>23.</w:t>
      </w:r>
      <w:r w:rsidR="004744A9" w:rsidRPr="009F708F">
        <w:tab/>
        <w:t xml:space="preserve">verzoekt Albanië de autonomie van de </w:t>
      </w:r>
      <w:proofErr w:type="spellStart"/>
      <w:r w:rsidR="004744A9" w:rsidRPr="009F708F">
        <w:t>autocefale</w:t>
      </w:r>
      <w:proofErr w:type="spellEnd"/>
      <w:r w:rsidR="004744A9" w:rsidRPr="009F708F">
        <w:t xml:space="preserve"> orthodoxe kerk van Albanië volledig te eerbiedigen en zich te onthouden van acties ten aanzien van deze kerk die de vrijheid om een godsdienst te belijden ondermijnen of eigendomsrechten aantasten; dringt erop aan een einde te maken aan de inmenging in kerkelijke benoemingen en een dialoog aan te knopen met religieuze autoriteiten om religieus pluralisme te waarborgen;</w:t>
      </w:r>
    </w:p>
    <w:p w:rsidR="00826AE4" w:rsidRPr="009F708F" w:rsidRDefault="009B5CA6" w:rsidP="00A42455">
      <w:pPr>
        <w:pStyle w:val="NormalHanging12a"/>
      </w:pPr>
      <w:r w:rsidRPr="009F708F">
        <w:t>24</w:t>
      </w:r>
      <w:r w:rsidR="00826AE4" w:rsidRPr="009F708F">
        <w:t>.</w:t>
      </w:r>
      <w:r w:rsidR="00826AE4" w:rsidRPr="009F708F">
        <w:tab/>
        <w:t xml:space="preserve">is </w:t>
      </w:r>
      <w:r w:rsidR="004744A9" w:rsidRPr="009F708F">
        <w:t xml:space="preserve">ermee </w:t>
      </w:r>
      <w:r w:rsidR="00826AE4" w:rsidRPr="009F708F">
        <w:t xml:space="preserve">ingenomen </w:t>
      </w:r>
      <w:r w:rsidR="004744A9" w:rsidRPr="009F708F">
        <w:t xml:space="preserve">dat ook op het niveau </w:t>
      </w:r>
      <w:r w:rsidR="00826AE4" w:rsidRPr="009F708F">
        <w:t xml:space="preserve">van </w:t>
      </w:r>
      <w:r w:rsidR="004744A9" w:rsidRPr="009F708F">
        <w:t xml:space="preserve">lokale eenheden voor zelfbestuur </w:t>
      </w:r>
      <w:r w:rsidR="00826AE4" w:rsidRPr="009F708F">
        <w:t>de hangende uitvoeringswetgeving inzake de rechten van personen die tot minderheden behoren</w:t>
      </w:r>
      <w:r w:rsidR="004744A9" w:rsidRPr="009F708F">
        <w:t xml:space="preserve"> is goedgekeurd</w:t>
      </w:r>
      <w:r w:rsidR="00826AE4" w:rsidRPr="009F708F">
        <w:t xml:space="preserve">, met name wat betreft zelfidentificatie en het gebruik van minderheidstalen, en onderstreept dat deze verordeningen volledig en doeltreffend ten uitvoer moeten worden gelegd om de uitoefening van minderheids- en onderwijsrechten praktisch haalbaar te maken; verzoekt de autoriteiten </w:t>
      </w:r>
      <w:r w:rsidR="004744A9" w:rsidRPr="009F708F">
        <w:t xml:space="preserve">ervoor te zorgen dat de </w:t>
      </w:r>
      <w:r w:rsidR="004744A9" w:rsidRPr="009F708F">
        <w:lastRenderedPageBreak/>
        <w:t xml:space="preserve">verordeningen doeltreffend ten uitvoer worden gelegd, en daartoe met name voldoende middelen toe te wijzen aan centrale organen en lokale overheden; verzoekt de autoriteiten erop toe te zien dat de procedures voor de selectie van de leden van de staatscommissie voor nationale minderheden worden herzien in overeenstemming met de aanbevelingen van de Commissie en van het raadgevend comité voor het Kaderverdrag inzake de bescherming van nationale minderheden; verzoekt de autoriteiten </w:t>
      </w:r>
      <w:r w:rsidR="00826AE4" w:rsidRPr="009F708F">
        <w:t>de capaciteit van de staatscommissie voor nationale minderheden te vergroten</w:t>
      </w:r>
      <w:r w:rsidR="004744A9" w:rsidRPr="009F708F">
        <w:t xml:space="preserve"> en ervoor te zorgen dat deze volledig functioneel is en over voldoende middelen beschikt</w:t>
      </w:r>
      <w:r w:rsidR="00826AE4" w:rsidRPr="009F708F">
        <w:t xml:space="preserve">; uit zijn bezorgdheid over de aanhoudende problemen van discriminatie en sociale uitsluiting waar minderheidsgroepen in Albanië mee kampen; verzoekt de Albanese regering de mensenrechten, waaronder de rechten van minderheden, volledig te eerbiedigen en te beschermen, en te garanderen dat alle beschuldigingen van mensenrechtenschendingen, waaronder haatzaaiende uitlatingen, spoedig en grondig worden onderzocht; dringt er bij de Albanese autoriteiten op aan institutionele mechanismen ter voorkoming van discriminatie te versterken en te zorgen voor de zinvolle politieke participatie van alle gemeenschappen, in overeenstemming met de aanbevelingen van het verslag van de Commissie over Albanië van 2024; roept Albanië op het cultureel erfgoed en de talen en tradities van zijn nationale minderheden te beschermen en te bevorderen; roept Albanië op te zorgen voor onderwijs voor nationale minderheden in </w:t>
      </w:r>
      <w:r w:rsidR="004744A9" w:rsidRPr="009F708F">
        <w:t xml:space="preserve">hun moedertaal, met inbegrip van adequaat primair en secundair onderwijs in het Grieks in regio’s die van oudsher door de Griekse nationale minderheid worden bewoond, </w:t>
      </w:r>
      <w:r w:rsidR="00826AE4" w:rsidRPr="009F708F">
        <w:t xml:space="preserve">en voor </w:t>
      </w:r>
      <w:r w:rsidR="004744A9" w:rsidRPr="009F708F">
        <w:t xml:space="preserve">onbeperkte </w:t>
      </w:r>
      <w:r w:rsidR="00826AE4" w:rsidRPr="009F708F">
        <w:t>toegang tot openbaar primair, secundair en hoger onderwijs voor al zijn burgers</w:t>
      </w:r>
      <w:r w:rsidR="006737F7" w:rsidRPr="009F708F">
        <w:t xml:space="preserve"> in het hele land, en daarmee de betreffende wetgeving volledig ten uitvoer te leggen</w:t>
      </w:r>
      <w:r w:rsidR="00826AE4" w:rsidRPr="009F708F">
        <w:t>;</w:t>
      </w:r>
    </w:p>
    <w:p w:rsidR="00A34054" w:rsidRPr="009F708F" w:rsidRDefault="00A22E04" w:rsidP="00A42455">
      <w:pPr>
        <w:pStyle w:val="NormalHanging12a"/>
      </w:pPr>
      <w:r w:rsidRPr="009F708F">
        <w:t>25.</w:t>
      </w:r>
      <w:r w:rsidR="00A34054" w:rsidRPr="009F708F">
        <w:tab/>
        <w:t>verzoekt Albanië het religieuze en culturele erfgoed van de Griekse orthodoxe minderheid te beschermen en in stand te houden, onder meer door kerken en begraafplaatsen te herstellen en wettelijk te erkennen; verzoekt de autoriteiten geen eigendommen die van historisch of cultureel belang zijn voor de Griekse minderheid te onteigenen of te slopen;</w:t>
      </w:r>
    </w:p>
    <w:p w:rsidR="00826AE4" w:rsidRPr="009F708F" w:rsidRDefault="00A22E04" w:rsidP="00826AE4">
      <w:pPr>
        <w:pStyle w:val="NormalHanging12a"/>
      </w:pPr>
      <w:r w:rsidRPr="009F708F">
        <w:t>26</w:t>
      </w:r>
      <w:r w:rsidR="00826AE4" w:rsidRPr="009F708F">
        <w:t>.</w:t>
      </w:r>
      <w:r w:rsidR="00826AE4" w:rsidRPr="009F708F">
        <w:tab/>
        <w:t>herinnert eraan dat Albanië het recht op eigendom moet waarborgen, met name door doorslaggevende vooruitgang te boeken op het gebied van eerste registratie en compensatie, de transparantie van het staatskadaster en de kwaliteit van de kadastrale gegevens van het eigendomsregister te verbeteren, en erop toe te zien dat het recht op een eerlijk proces en het recht op een doeltreffende voorziening in rechte worden geëerbiedigd in geval van onteigening en verwijdering van eigendommen;</w:t>
      </w:r>
    </w:p>
    <w:p w:rsidR="00C674C3" w:rsidRPr="009F708F" w:rsidRDefault="00A22E04" w:rsidP="00826AE4">
      <w:pPr>
        <w:pStyle w:val="NormalHanging12a"/>
      </w:pPr>
      <w:r w:rsidRPr="009F708F">
        <w:t>27</w:t>
      </w:r>
      <w:r w:rsidR="009B5CA6" w:rsidRPr="009F708F">
        <w:t>.</w:t>
      </w:r>
      <w:r w:rsidR="00C674C3" w:rsidRPr="009F708F">
        <w:tab/>
        <w:t>moedigt de regering van Albanië aan om het onrecht te herstellen dat alle religieuze groeperingen is aangedaan door het communistische regime;</w:t>
      </w:r>
    </w:p>
    <w:p w:rsidR="00C674C3" w:rsidRPr="009F708F" w:rsidRDefault="00A22E04" w:rsidP="00826AE4">
      <w:pPr>
        <w:pStyle w:val="NormalHanging12a"/>
      </w:pPr>
      <w:r w:rsidRPr="009F708F">
        <w:t>28</w:t>
      </w:r>
      <w:r w:rsidR="009B5CA6" w:rsidRPr="009F708F">
        <w:t>.</w:t>
      </w:r>
      <w:r w:rsidR="00C674C3" w:rsidRPr="009F708F">
        <w:tab/>
        <w:t>drukt zijn bezorgdheid uit over het feit dat de teruggave van de tijdens het communisme geconfisqueerde religieuze eigendommen traag verloopt; stelt voorts met bezorgdheid vast dat de regering van Albanië, ondanks talrijke verzoeken van religieuze groeperingen, nog niet alle tijdens het communistische regime in beslag genomen voorwerpen, relieken, iconen en archieven heeft teruggegeven</w:t>
      </w:r>
      <w:r w:rsidR="00C674C3" w:rsidRPr="009F708F">
        <w:rPr>
          <w:rStyle w:val="FootnoteReference"/>
        </w:rPr>
        <w:footnoteReference w:id="5"/>
      </w:r>
      <w:r w:rsidR="00C674C3" w:rsidRPr="009F708F">
        <w:t>;</w:t>
      </w:r>
    </w:p>
    <w:p w:rsidR="00826AE4" w:rsidRPr="009F708F" w:rsidRDefault="00A22E04" w:rsidP="00826AE4">
      <w:pPr>
        <w:pStyle w:val="NormalHanging12a"/>
      </w:pPr>
      <w:r w:rsidRPr="009F708F">
        <w:t>29</w:t>
      </w:r>
      <w:r w:rsidR="00826AE4" w:rsidRPr="009F708F">
        <w:t>.</w:t>
      </w:r>
      <w:r w:rsidR="00826AE4" w:rsidRPr="009F708F">
        <w:tab/>
        <w:t xml:space="preserve">dringt aan op extra investeringen in de modernisering van het onderwijssysteem om de kwaliteit en de inclusiviteit ervan te waarborgen; verzoekt Albanië maatregelen te nemen om de kansen op werk en onderwijs voor personen met een handicap te </w:t>
      </w:r>
      <w:r w:rsidR="00826AE4" w:rsidRPr="009F708F">
        <w:lastRenderedPageBreak/>
        <w:t>bevorderen;</w:t>
      </w:r>
    </w:p>
    <w:p w:rsidR="00826AE4" w:rsidRPr="009F708F" w:rsidRDefault="00A22E04" w:rsidP="00826AE4">
      <w:pPr>
        <w:pStyle w:val="NormalHanging12a"/>
      </w:pPr>
      <w:r w:rsidRPr="009F708F">
        <w:t>30</w:t>
      </w:r>
      <w:r w:rsidR="00826AE4" w:rsidRPr="009F708F">
        <w:t>.</w:t>
      </w:r>
      <w:r w:rsidR="00826AE4" w:rsidRPr="009F708F">
        <w:tab/>
      </w:r>
      <w:r w:rsidR="007A225B" w:rsidRPr="009F708F">
        <w:t>is ingenomen met de uitvoering van de volkstelling in Albanië in 2023; verzoekt de autoriteiten de gedetailleerde gegevens en thematische analyses te publiceren, in overeenstemming met de aanbeveling van de Commissie in haar verslag van 2024 over Albanië;</w:t>
      </w:r>
    </w:p>
    <w:p w:rsidR="00826AE4" w:rsidRPr="009F708F" w:rsidRDefault="00A22E04" w:rsidP="00826AE4">
      <w:pPr>
        <w:pStyle w:val="NormalHanging12a"/>
      </w:pPr>
      <w:r w:rsidRPr="009F708F">
        <w:t>31</w:t>
      </w:r>
      <w:r w:rsidR="00826AE4" w:rsidRPr="009F708F">
        <w:t>.</w:t>
      </w:r>
      <w:r w:rsidR="00826AE4" w:rsidRPr="009F708F">
        <w:tab/>
        <w:t>is ingenomen met de vaststelling van de wet inzake de bescherming van persoonsgegevens, die volledige aanpassing aan het EU-acquis tot doel heeft; prijst de Albanese autoriteiten voor de vaststelling van de uitvoeringswetgeving inzake de procedure en billijke compensatie voor het gebruik van verweesde werken en de databank van auteursrechtelijk beschermde werken, maar spreekt zijn ernstige bezorgdheid uit over de verwerking van persoonsgegevens en de zwakke plekken in IT-systemen; verzoekt de Albanese autoriteiten de waarborgen tegen gegevenslekken te versterken, preventie en bewustmaking van de burgers te bevorderen en de institutionele capaciteit te verbeteren teneinde de nieuwe wet inzake de bescherming van persoonsgegevens doeltreffend uit te voeren; verzoekt Albanië ook in de toekomst samen te werken met het Bureau voor intellectuele eigendom van de EU;</w:t>
      </w:r>
    </w:p>
    <w:p w:rsidR="00826AE4" w:rsidRPr="009F708F" w:rsidRDefault="00A22E04" w:rsidP="00826AE4">
      <w:pPr>
        <w:pStyle w:val="NormalHanging12a"/>
        <w:rPr>
          <w:bCs/>
          <w:iCs/>
        </w:rPr>
      </w:pPr>
      <w:r w:rsidRPr="009F708F">
        <w:t>32</w:t>
      </w:r>
      <w:r w:rsidR="00826AE4" w:rsidRPr="009F708F">
        <w:t>.</w:t>
      </w:r>
      <w:r w:rsidR="00826AE4" w:rsidRPr="009F708F">
        <w:tab/>
        <w:t>erkent de versterking van de samenwerking tussen Albanië en de EU bij het beheer van migratiestromen en grenstoezicht, met name via de nieuwe nationale strategie inzake migratie 2024-2026 en de samenwerking met Frontex; neemt kennis van het memorandum van overeenstemming tussen Italië en Albanië;</w:t>
      </w:r>
    </w:p>
    <w:p w:rsidR="00826AE4" w:rsidRPr="009F708F" w:rsidRDefault="00826AE4" w:rsidP="00A42455">
      <w:pPr>
        <w:pStyle w:val="NormalHanging12a"/>
        <w:ind w:left="0" w:firstLine="0"/>
        <w:rPr>
          <w:b/>
          <w:i/>
        </w:rPr>
      </w:pPr>
      <w:r w:rsidRPr="009F708F">
        <w:rPr>
          <w:b/>
          <w:i/>
        </w:rPr>
        <w:t>De rechtsstaat</w:t>
      </w:r>
    </w:p>
    <w:p w:rsidR="00826AE4" w:rsidRPr="009F708F" w:rsidRDefault="00A22E04" w:rsidP="00826AE4">
      <w:pPr>
        <w:pStyle w:val="NormalHanging12a"/>
      </w:pPr>
      <w:r w:rsidRPr="009F708F">
        <w:t>33</w:t>
      </w:r>
      <w:r w:rsidR="00826AE4" w:rsidRPr="009F708F">
        <w:t>.</w:t>
      </w:r>
      <w:r w:rsidR="00826AE4" w:rsidRPr="009F708F">
        <w:tab/>
        <w:t>prijst de vooruitgang die Albanië heeft geboekt bij de uitvoering van de justitiële hervormingen, die gericht zijn op het versterken van de onafhankelijkheid, transparantie en verantwoordingsplicht van de rechterlijke macht, met inbegrip van het doorlichtingsproces, dat in eerste aanleg is afgerond; is ingenomen met het nieuwe hervormingsproces inzake “goed bestuur, de rechtsstaat en corruptiebestrijding voor Albanië 2030” dat door het Albanese parlement is gestart; wijst erop dat elk initiatief bedoeld ter versterking van het bestuur, de rechtsstaat en de inspanningen op het gebied van corruptiebestrijding gebaseerd moet zijn op inclusie, transparantie en samenwerking;</w:t>
      </w:r>
    </w:p>
    <w:p w:rsidR="00826AE4" w:rsidRPr="009F708F" w:rsidRDefault="00A22E04" w:rsidP="00826AE4">
      <w:pPr>
        <w:pStyle w:val="NormalHanging12a"/>
      </w:pPr>
      <w:r w:rsidRPr="009F708F">
        <w:t>34</w:t>
      </w:r>
      <w:r w:rsidR="00826AE4" w:rsidRPr="009F708F">
        <w:t>.</w:t>
      </w:r>
      <w:r w:rsidR="00826AE4" w:rsidRPr="009F708F">
        <w:tab/>
        <w:t>uit zijn bezorgdheid over aanhoudende politieke inmenging en druk op het rechtsstelsel; neemt met bezorgdheid kennis van de tekortkomingen met betrekking tot de op verdiensten gebaseerde benoeming van leden van de hoge raad voor justitie en de hoge raad voor rechtsvervolging die geen magistraat zijn, en hun integriteit;</w:t>
      </w:r>
      <w:r w:rsidR="007A225B" w:rsidRPr="009F708F">
        <w:t xml:space="preserve"> betreurt de aanhoudende uitdagingen met betrekking tot de werking van de rechterlijke macht die in het verslag van de SPAK van 2024 zijn vastgesteld; </w:t>
      </w:r>
    </w:p>
    <w:p w:rsidR="00826AE4" w:rsidRPr="009F708F" w:rsidRDefault="00A22E04" w:rsidP="00826AE4">
      <w:pPr>
        <w:pStyle w:val="NormalHanging12a"/>
        <w:rPr>
          <w:bCs/>
          <w:iCs/>
        </w:rPr>
      </w:pPr>
      <w:r w:rsidRPr="009F708F">
        <w:t>35</w:t>
      </w:r>
      <w:r w:rsidR="00826AE4" w:rsidRPr="009F708F">
        <w:t>.</w:t>
      </w:r>
      <w:r w:rsidR="00826AE4" w:rsidRPr="009F708F">
        <w:tab/>
        <w:t>roept op tot dringende maatregelen om de onafhankelijkheid van de rechterlijke macht en de institutionele integriteit te waarborgen;</w:t>
      </w:r>
    </w:p>
    <w:p w:rsidR="00826AE4" w:rsidRPr="009F708F" w:rsidRDefault="00A22E04" w:rsidP="00826AE4">
      <w:pPr>
        <w:pStyle w:val="NormalHanging12a"/>
      </w:pPr>
      <w:r w:rsidRPr="009F708F">
        <w:t>36</w:t>
      </w:r>
      <w:r w:rsidR="00826AE4" w:rsidRPr="009F708F">
        <w:t>.</w:t>
      </w:r>
      <w:r w:rsidR="00826AE4" w:rsidRPr="009F708F">
        <w:tab/>
        <w:t xml:space="preserve">benadrukt dat Albanië op de 80e plaats staat in de corruptieperceptie-index van Transparency International van 2024, waaruit blijkt dat aanzienlijke vooruitgang moet worden geboekt bij de bestrijding van corruptie op hoog niveau en het waarborgen van de onafhankelijkheid van de rechterlijke macht; wijst nadrukkelijk op het belangrijke werk van de speciale structuur voor corruptiebestrijding en georganiseerde criminaliteit (SPAK) van Albanië, die goede resultaten boekt op het gebied van onderzoeksvoering, </w:t>
      </w:r>
      <w:r w:rsidR="00826AE4" w:rsidRPr="009F708F">
        <w:lastRenderedPageBreak/>
        <w:t>vervolging en veroordeling in corruptiezaken op hoog niveau alsook in zaken betreffende de bescherming van de financiële belangen van de EU; benadrukt dat het belangrijk is de volledige onafhankelijkheid van de instellingen voor corruptiebestrijding te waarborgen en beveelt aan hun operationele en onderzoekscapaciteit te versterken; is ingenomen met corruptieonderzoeken en -procedures op hoog niveau; wijst erop dat het vergroten van het aantal definitieve veroordelingen van hooggeplaatste ambtenaren een belangrijke prioriteit blijft; dringt er bij alle actoren op aan af te zien van acties die het werk van onafhankelijke instellingen zoals de SPAK ondermijnen; betreurt het klimaat van intimidatie waarin de rechterlijke macht functioneert en de gevallen van ongepaste druk waaronder zij gebukt gaat, die een ernstige bedreiging vormen voor de onafhankelijkheid van de rechterlijke macht; uit zijn bezorgdheid over het feit dat het gebrek aan institutionele steun voor magistraten die met bedreigingen worden geconfronteerd, het vertrouwen van de burger verzwakt en de rechtsstaat en het EU-integratieproces van Albanië ernstig in gevaar brengt;</w:t>
      </w:r>
    </w:p>
    <w:p w:rsidR="00826AE4" w:rsidRPr="009F708F" w:rsidRDefault="00A22E04" w:rsidP="00826AE4">
      <w:pPr>
        <w:pStyle w:val="NormalHanging12a"/>
        <w:rPr>
          <w:bCs/>
          <w:iCs/>
        </w:rPr>
      </w:pPr>
      <w:r w:rsidRPr="009F708F">
        <w:t>37</w:t>
      </w:r>
      <w:r w:rsidR="00826AE4" w:rsidRPr="009F708F">
        <w:t>.</w:t>
      </w:r>
      <w:r w:rsidR="00826AE4" w:rsidRPr="009F708F">
        <w:tab/>
        <w:t>wijst op de uitdagingen met betrekking tot de kwaliteit en efficiëntie van het rechtsstelsel, waaronder het grote aantal vacatures bij justitie, onvoldoende rechtbankpersoneel, de kwaliteit van de initiële en permanente rechtsopleiding, de consistentie van de rechtspraak en het ontbreken van een modern geïntegreerd casemanagementsysteem; merkt op dat de begrotingstoewijzingen ontoereikend zijn, met name voor de rechtbankcomponent; benadrukt dat het verminderen van de achterstand van onbehandelde dossiers in het rechtsstelsel een prioriteit moet blijven; is echter ingenomen met het feit dat het grondwettelijk hof van Albanië zijn efficiëntie heeft verbeterd door zijn achterstand weg te werken en institutionele checks-and-balances blijft handhaven;</w:t>
      </w:r>
    </w:p>
    <w:p w:rsidR="00826AE4" w:rsidRPr="009F708F" w:rsidRDefault="00A22E04" w:rsidP="00826AE4">
      <w:pPr>
        <w:pStyle w:val="NormalHanging12a"/>
      </w:pPr>
      <w:r w:rsidRPr="009F708F">
        <w:t>38</w:t>
      </w:r>
      <w:r w:rsidR="00826AE4" w:rsidRPr="009F708F">
        <w:t>.</w:t>
      </w:r>
      <w:r w:rsidR="00826AE4" w:rsidRPr="009F708F">
        <w:tab/>
        <w:t>is ingenomen met de vaststelling van nationale wetgeving om te zorgen voor aanpassing aan het EU-acquis inzake de bestrijding van het witwassen van geld; merkt op dat er een sterk bureau voor de ontneming van vermogensbestanddelen moet worden opgericht en dat het in corruptiezaken op hoog niveau noodzakelijk is te zorgen voor betere doorlichtingsprocedures en procedures voor onderzoek, vervolging en veroordeling, onder meer door de inbeslagneming en definitieve confiscatie van criminele vermogensbestanddelen;</w:t>
      </w:r>
    </w:p>
    <w:p w:rsidR="00826AE4" w:rsidRPr="009F708F" w:rsidRDefault="00A22E04" w:rsidP="00826AE4">
      <w:pPr>
        <w:pStyle w:val="NormalHanging12a"/>
        <w:rPr>
          <w:bCs/>
          <w:iCs/>
        </w:rPr>
      </w:pPr>
      <w:r w:rsidRPr="009F708F">
        <w:t>39</w:t>
      </w:r>
      <w:r w:rsidR="00826AE4" w:rsidRPr="009F708F">
        <w:t>.</w:t>
      </w:r>
      <w:r w:rsidR="00826AE4" w:rsidRPr="009F708F">
        <w:tab/>
        <w:t xml:space="preserve">verzoekt Albanië zijn rechtskader, met name zijn wetboek van strafrecht, verder af te stemmen op het EU-acquis inzake de bestrijding van georganiseerde misdaad en de handel in drugs en vuurwapens, en cybercriminaliteit, extremisme en terroristische dreigingen te bestrijden; </w:t>
      </w:r>
      <w:r w:rsidR="007A225B" w:rsidRPr="009F708F">
        <w:t xml:space="preserve">blijft bezorgd over de aanhoudende dreiging en diversificatie van de activiteiten van Albanese maffiagroepen in Europa; betreurt het feit dat deze criminele groepen, ondanks inspanningen om hun netwerken te ontmantelen, onder meer door bij onderzoeken gebruik te maken van gegevens van de versleutelde berichtendienst SKY-ECC, in verschillende lidstaten, met name in Nederland, België, Italië en Frankrijk, nog steeds nauw betrokken zijn bij drugs- en wapenhandel, migrantensmokkel, mensenhandel en het witwassen van geld; </w:t>
      </w:r>
      <w:r w:rsidR="00826AE4" w:rsidRPr="009F708F">
        <w:t xml:space="preserve">neemt kennis van de benoeming van extra aanklagers bij het speciaal openbaar ministerie en de oprichting van een eenheid voor financieel onderzoek; prijst de deelname van Albanië aan gezamenlijke operaties en zijn samenwerking in het kader van het Europees multidisciplinair platform tegen criminele dreigingen (Empact) op het gebied van drugshandel, witwassen van geld en cybercriminaliteit; erkent voorts de intensievere samenwerking met Europol, Eurojust, Frontex, Interpol en het CARIN-netwerk bij de bestrijding van georganiseerde misdaad en de ontmanteling van transnationale criminele netwerken; moedigt Albanië aan zijn mechanismen voor het delen van inlichtingen met </w:t>
      </w:r>
      <w:r w:rsidR="00826AE4" w:rsidRPr="009F708F">
        <w:lastRenderedPageBreak/>
        <w:t>EU-agentschappen te versterken om de regionale stabiliteit te verbeteren; dringt aan op aanhoudende inspanningen om het veiligheidsbeleid van Albanië op EU-strategieën af te stemmen en zo een geïntegreerder en veerkrachtiger regionaal veiligheidskader te bevorderen; verzoekt Albanië om in samenwerking met de EU-lidstaten en -agentschappen de strijd tegen mensenhandel op te voeren; wijst erop dat de illegale handel in handvuurwapens en lichte wapens moet worden bestreden, aangezien Albanië op dit gebied zowel een land van bestemming als een land van doorvoer is; is ingenomen met de goedkeuring van een nieuwe strategie voor de bescherming van slachtoffers van strafbare feiten; wijst op het belang van bij- en nascholing voor personeel dat betrokken is bij migratiebeheersing om te zorgen voor een doeltreffende uitvoering van de Europese regelgeving en een krachtiger antwoord op netwerken van mensenhandel;</w:t>
      </w:r>
    </w:p>
    <w:p w:rsidR="00826AE4" w:rsidRPr="009F708F" w:rsidRDefault="00A22E04" w:rsidP="00826AE4">
      <w:pPr>
        <w:pStyle w:val="NormalHanging12a"/>
        <w:rPr>
          <w:bCs/>
          <w:iCs/>
        </w:rPr>
      </w:pPr>
      <w:r w:rsidRPr="009F708F">
        <w:t>40</w:t>
      </w:r>
      <w:r w:rsidR="00826AE4" w:rsidRPr="009F708F">
        <w:t>.</w:t>
      </w:r>
      <w:r w:rsidR="00826AE4" w:rsidRPr="009F708F">
        <w:tab/>
        <w:t>moedigt de Europese Dienst voor extern optreden en de Commissie aan de veerkracht van Albanië tegen hybride dreigingen op het gebied van cyberbeveiliging, informatiemanipulatie en bescherming van kritieke infrastructuur, verder te helpen vergroten; verzoekt Albanië de risico’s in verband met buitenlandse directe investeringen te beoordelen en dergelijke investeringen te screenen, met name in strategische sectoren zoals energie, mijnbouw en telecommunicatie, teneinde economische afhankelijkheid en schuldenvallen te voorkomen, de nationale belangen te beschermen, de veiligheid te vergroten en te zorgen voor consistentie met de EU-normen;</w:t>
      </w:r>
    </w:p>
    <w:p w:rsidR="00826AE4" w:rsidRPr="009F708F" w:rsidRDefault="00A22E04" w:rsidP="00826AE4">
      <w:pPr>
        <w:pStyle w:val="NormalHanging12a"/>
        <w:rPr>
          <w:bCs/>
          <w:iCs/>
        </w:rPr>
      </w:pPr>
      <w:r w:rsidRPr="009F708F">
        <w:t>41</w:t>
      </w:r>
      <w:r w:rsidR="00826AE4" w:rsidRPr="009F708F">
        <w:t>.</w:t>
      </w:r>
      <w:r w:rsidR="00826AE4" w:rsidRPr="009F708F">
        <w:tab/>
        <w:t>roept de EU en de landen van de Westelijke Balkan op een kader in te stellen voor doeltreffende samenwerking tussen het Europees Openbaar Ministerie (EOM) en de toetredingslanden, teneinde nauwe samenwerking en vervolging in het geval van misbruik van EU-middelen te vergemakkelijken; is ingenomen met het feit dat Albanië een bilaterale werkregeling met het EOM heeft gesloten;</w:t>
      </w:r>
    </w:p>
    <w:p w:rsidR="00826AE4" w:rsidRPr="009F708F" w:rsidRDefault="00826AE4" w:rsidP="00A42455">
      <w:pPr>
        <w:pStyle w:val="NormalHanging12a"/>
        <w:ind w:left="0" w:firstLine="0"/>
        <w:rPr>
          <w:b/>
          <w:i/>
        </w:rPr>
      </w:pPr>
      <w:proofErr w:type="gramStart"/>
      <w:r w:rsidRPr="009F708F">
        <w:rPr>
          <w:b/>
          <w:i/>
        </w:rPr>
        <w:t>Sociaal-economische</w:t>
      </w:r>
      <w:proofErr w:type="gramEnd"/>
      <w:r w:rsidRPr="009F708F">
        <w:rPr>
          <w:b/>
          <w:i/>
        </w:rPr>
        <w:t xml:space="preserve"> hervormingen</w:t>
      </w:r>
    </w:p>
    <w:p w:rsidR="00826AE4" w:rsidRPr="009F708F" w:rsidRDefault="00A22E04" w:rsidP="00826AE4">
      <w:pPr>
        <w:pStyle w:val="NormalHanging12a"/>
      </w:pPr>
      <w:r w:rsidRPr="009F708F">
        <w:t>42</w:t>
      </w:r>
      <w:r w:rsidR="00826AE4" w:rsidRPr="009F708F">
        <w:t>.</w:t>
      </w:r>
      <w:r w:rsidR="00826AE4" w:rsidRPr="009F708F">
        <w:tab/>
        <w:t>is ingenomen met de inzet van Albanië bij de uitvoering van het groeiplan van de EU voor de Westelijke Balkan, dat de integratie in de interne markt van de EU, regionale economische integratie, fundamentele hervormingen en verhoogde financiële steun omvat;</w:t>
      </w:r>
    </w:p>
    <w:p w:rsidR="00826AE4" w:rsidRPr="009F708F" w:rsidRDefault="00A22E04" w:rsidP="00826AE4">
      <w:pPr>
        <w:pStyle w:val="NormalHanging12a"/>
        <w:rPr>
          <w:bCs/>
          <w:iCs/>
        </w:rPr>
      </w:pPr>
      <w:r w:rsidRPr="009F708F">
        <w:t>43</w:t>
      </w:r>
      <w:r w:rsidR="00826AE4" w:rsidRPr="009F708F">
        <w:t>.</w:t>
      </w:r>
      <w:r w:rsidR="00826AE4" w:rsidRPr="009F708F">
        <w:tab/>
        <w:t>wijst er nogmaals op dat de openbare infrastructuur in de landen van de Westelijke Balkan moet worden verbeterd en verbindingen met de EU-lidstaten moeten worden ontwikkeld; herinnert aan het potentieel van het economisch en investeringsplan voor de Westelijke Balkan om de regionale connectiviteit te verbeteren via spoor- en wegeninfrastructuur; spoort de autoriteiten in alle landen in dat opzicht aan Corridor VIII te voltooien, die Albanië, Noord-Macedonië en Bulgarije met elkaar verbindt; wijst er nogmaals op dat het belangrijk is de vliegverbindingen tussen de landen van de Westelijke Balkan en met de EU-lidstaten te verbeteren;</w:t>
      </w:r>
    </w:p>
    <w:p w:rsidR="00826AE4" w:rsidRPr="009F708F" w:rsidRDefault="00A22E04" w:rsidP="00826AE4">
      <w:pPr>
        <w:pStyle w:val="NormalHanging12a"/>
        <w:rPr>
          <w:bCs/>
          <w:iCs/>
        </w:rPr>
      </w:pPr>
      <w:r w:rsidRPr="009F708F">
        <w:t>44</w:t>
      </w:r>
      <w:r w:rsidR="00826AE4" w:rsidRPr="009F708F">
        <w:t>.</w:t>
      </w:r>
      <w:r w:rsidR="00826AE4" w:rsidRPr="009F708F">
        <w:tab/>
        <w:t xml:space="preserve">is ingenomen met de hervormingsagenda van Albanië met betrekking tot het ondernemingsklimaat, menselijk kapitaal, digitalisering, energie en de groene transitie, grondrechten en de rechtsstaat; is voorts ingenomen met de deelname van Albanië aan het programma Digitaal Europa van de EU; is ingenomen met het feit dat Albanië door het steunprogramma voor de verbetering van bestuur en beheer, dat wordt uitgevoerd door de EU en de Organisatie voor Economische Samenwerking en Ontwikkeling, als regionale leider op het gebied van openbaar bestuur en digitale overheidsopdrachten is </w:t>
      </w:r>
      <w:r w:rsidR="00826AE4" w:rsidRPr="009F708F">
        <w:lastRenderedPageBreak/>
        <w:t>aangemerkt;</w:t>
      </w:r>
    </w:p>
    <w:p w:rsidR="00826AE4" w:rsidRPr="009F708F" w:rsidRDefault="00A22E04" w:rsidP="00826AE4">
      <w:pPr>
        <w:pStyle w:val="NormalHanging12a"/>
        <w:rPr>
          <w:bCs/>
          <w:iCs/>
        </w:rPr>
      </w:pPr>
      <w:r w:rsidRPr="009F708F">
        <w:t>45</w:t>
      </w:r>
      <w:r w:rsidR="00826AE4" w:rsidRPr="009F708F">
        <w:t>.</w:t>
      </w:r>
      <w:r w:rsidR="00826AE4" w:rsidRPr="009F708F">
        <w:tab/>
        <w:t>spoort de Albanese autoriteiten aan het risico op armoede en sociale uitsluiting terug te dringen door de toegang tot onderwijs, huisvesting en sociale en gezondheidsdiensten te verbeteren, met name voor achtergestelde bevolkingsgroepen en minderheidsgroepen, met inbegrip van Roma en Egyptenaren; dringt er bij Albanië op zijn nationale strategie voor sociale bescherming 2024-2030 en nationale strategie voor werkgelegenheid en vaardigheden 2023-2030 uit te voeren; verzoekt Albanië verdere maatregelen te nemen om de jeugdwerkloosheid te bestrijden en dringt er bij de Albanese autoriteiten op aan de nationale agenda voor de rechten van het kind doeltreffend uit te voeren door bijstand te verlenen aan kinderen die met uitsluiting en armoede worden geconfronteerd;</w:t>
      </w:r>
    </w:p>
    <w:p w:rsidR="00826AE4" w:rsidRPr="009F708F" w:rsidRDefault="00A22E04" w:rsidP="00826AE4">
      <w:pPr>
        <w:pStyle w:val="NormalHanging12a"/>
        <w:rPr>
          <w:bCs/>
          <w:iCs/>
          <w:szCs w:val="24"/>
        </w:rPr>
      </w:pPr>
      <w:r w:rsidRPr="009F708F">
        <w:t>46</w:t>
      </w:r>
      <w:r w:rsidR="00826AE4" w:rsidRPr="009F708F">
        <w:t>.</w:t>
      </w:r>
      <w:r w:rsidR="00826AE4" w:rsidRPr="009F708F">
        <w:tab/>
        <w:t>prijst de Albanese autoriteiten voor de vaststelling van wetgevingshandelingen ter hervorming van het hoger onderwijs en voor de uitvoering van de nationale strategie voor onderwijs 2021-2026; dringt er bij Albanië op aan mediawijsheid als hoofdvak in de leerplannen uit te breiden en ervoor te zorgen dat leerkrachten specifieke opleiding en moderne middelen krijgen om programma’s van hoge kwaliteit te kunnen aanbieden; pleit voor samenwerking met EU-onderwijsinitiatieven en regionale netwerken zoals de waarnemingspost voor mediawijsheid in de Westelijke Balkan om beste praktijken voor onderwijs op het gebied van kritisch denken en digitale geletterdheid toe te passen;</w:t>
      </w:r>
    </w:p>
    <w:p w:rsidR="00826AE4" w:rsidRPr="009F708F" w:rsidRDefault="00A22E04" w:rsidP="00826AE4">
      <w:pPr>
        <w:pStyle w:val="NormalHanging12a"/>
        <w:rPr>
          <w:bCs/>
          <w:iCs/>
          <w:szCs w:val="24"/>
        </w:rPr>
      </w:pPr>
      <w:r w:rsidRPr="009F708F">
        <w:t>47</w:t>
      </w:r>
      <w:r w:rsidR="00826AE4" w:rsidRPr="009F708F">
        <w:t>.</w:t>
      </w:r>
      <w:r w:rsidR="00826AE4" w:rsidRPr="009F708F">
        <w:tab/>
        <w:t>is ingenomen met de vooruitgang die Albanië heeft geboekt bij het sluiten van bilaterale overeenkomsten met EU-lidstaten op het gebied van sociale zekerheid en bij zijn voorbereidingen om de aansluiting van zijn diensten voor arbeidsvoorziening op Eures, het Europees netwerk van diensten voor de arbeidsvoorziening, mogelijk te maken;</w:t>
      </w:r>
    </w:p>
    <w:p w:rsidR="00826AE4" w:rsidRPr="009F708F" w:rsidRDefault="00A22E04" w:rsidP="00826AE4">
      <w:pPr>
        <w:pStyle w:val="NormalHanging12a"/>
        <w:rPr>
          <w:bCs/>
          <w:iCs/>
        </w:rPr>
      </w:pPr>
      <w:r w:rsidRPr="009F708F">
        <w:t>48</w:t>
      </w:r>
      <w:r w:rsidR="00826AE4" w:rsidRPr="009F708F">
        <w:t>.</w:t>
      </w:r>
      <w:r w:rsidR="00826AE4" w:rsidRPr="009F708F">
        <w:tab/>
        <w:t>stelt tevreden vast dat Albanië in november 2024 is toegetreden tot de gemeenschappelijke eurobetalingsruimte, hetgeen de kosten voor burgers en bedrijven zal drukken en zal bijdragen tot de verdere integratie van Albanië in de interne markt; prijst de Albanese autoriteiten voor de afstemming op het EU-acquis inzake betalingen (richtlijn betaalrekeningen</w:t>
      </w:r>
      <w:r w:rsidR="00826AE4" w:rsidRPr="009F708F">
        <w:rPr>
          <w:rStyle w:val="FootnoteReference"/>
          <w:bCs/>
          <w:iCs/>
        </w:rPr>
        <w:footnoteReference w:id="6"/>
      </w:r>
      <w:r w:rsidR="00826AE4" w:rsidRPr="009F708F">
        <w:t>) en voor de maatregelen die ertoe hebben geleid dat Albanië van de grijze lijst van de Financiële-actiegroep is geschrapt; erkent de inspanningen van Albanië om het economische concurrentievermogen te verbeteren en verzoekt de regering structurele hervormingen te blijven doorvoeren om een aantrekkelijker ondernemingsklimaat te bevorderen in overeenstemming met de EU-normen; betreurt dat de inefficiëntie van overheidsdiensten, een buitensporig regelgevingskader, corruptie en een grote informele economie het ondernemingsklimaat ondermijnen en de concurrentie belemmeren;</w:t>
      </w:r>
    </w:p>
    <w:p w:rsidR="00826AE4" w:rsidRPr="009F708F" w:rsidRDefault="00A22E04" w:rsidP="00826AE4">
      <w:pPr>
        <w:pStyle w:val="NormalHanging12a"/>
        <w:rPr>
          <w:bCs/>
          <w:iCs/>
          <w:szCs w:val="24"/>
        </w:rPr>
      </w:pPr>
      <w:r w:rsidRPr="009F708F">
        <w:t>49</w:t>
      </w:r>
      <w:r w:rsidR="00826AE4" w:rsidRPr="009F708F">
        <w:t>.</w:t>
      </w:r>
      <w:r w:rsidR="00826AE4" w:rsidRPr="009F708F">
        <w:tab/>
        <w:t xml:space="preserve">prijst de verbetering van de budgettaire prestaties van Albanië; verzoekt de Albanese autoriteiten de begrotingsrisicoanalyse verder te verbeteren door de bevoegde afdeling van het Ministerie van Financiën te versterken; dringt aan op meer transparantie en verantwoordingsplicht van staatsbedrijven door middel van jaarlijkse financiële verslagen; verzoekt Albanië zijn interne financiële controle bij de overheid te versterken en ervoor te zorgen dat de aanbevelingen van de hoge controle-instantie worden </w:t>
      </w:r>
      <w:r w:rsidR="00826AE4" w:rsidRPr="009F708F">
        <w:lastRenderedPageBreak/>
        <w:t>uitgevoerd;</w:t>
      </w:r>
    </w:p>
    <w:p w:rsidR="00826AE4" w:rsidRPr="009F708F" w:rsidRDefault="00A22E04" w:rsidP="00826AE4">
      <w:pPr>
        <w:pStyle w:val="NormalHanging12a"/>
        <w:rPr>
          <w:bCs/>
          <w:iCs/>
          <w:szCs w:val="24"/>
        </w:rPr>
      </w:pPr>
      <w:r w:rsidRPr="009F708F">
        <w:t>50</w:t>
      </w:r>
      <w:r w:rsidR="00826AE4" w:rsidRPr="009F708F">
        <w:t>.</w:t>
      </w:r>
      <w:r w:rsidR="00826AE4" w:rsidRPr="009F708F">
        <w:tab/>
        <w:t>is ingenomen met de verdere afstemming van de wetgeving op het EU-acquis inzake particuliere pensioenfondsen en het kader voor het herstel en de afwikkeling van banken; verzoekt Albanië de afstemming op het EU-acquis inzake verzekeringen, kapitaalmarkten, effectenmarkten, beleggingsfondsen en financiëlemarktinfrastructuren te voltooien;</w:t>
      </w:r>
    </w:p>
    <w:p w:rsidR="00826AE4" w:rsidRPr="009F708F" w:rsidRDefault="00A22E04" w:rsidP="00826AE4">
      <w:pPr>
        <w:pStyle w:val="NormalHanging12a"/>
        <w:rPr>
          <w:bCs/>
          <w:iCs/>
          <w:szCs w:val="24"/>
        </w:rPr>
      </w:pPr>
      <w:r w:rsidRPr="009F708F">
        <w:t>51</w:t>
      </w:r>
      <w:r w:rsidR="00826AE4" w:rsidRPr="009F708F">
        <w:t>.</w:t>
      </w:r>
      <w:r w:rsidR="00826AE4" w:rsidRPr="009F708F">
        <w:tab/>
        <w:t>is ingenomen met het akkoord inzake lagere roamingkosten dat tijdens de top van Tirana is bereikt; dringt er in dit verband bij de autoriteiten, particuliere actoren en alle belanghebbenden op aan te werken aan de verwezenlijking van de overeengekomen doelstellingen om de roamingkosten voor data aanzienlijk te verlagen en de prijzen voor roaming tussen de Westelijke Balkan en de EU tegen 2027 verder te verlagen tot een niveau dat dicht bij de binnenlandse prijzen ligt; is ingenomen met de uitvoering van de eerste fase van de routekaart voor roaming tussen de Westelijke Balkan en de EU;</w:t>
      </w:r>
    </w:p>
    <w:p w:rsidR="00826AE4" w:rsidRPr="009F708F" w:rsidRDefault="00A22E04" w:rsidP="00826AE4">
      <w:pPr>
        <w:pStyle w:val="NormalHanging12a"/>
        <w:rPr>
          <w:bCs/>
          <w:iCs/>
        </w:rPr>
      </w:pPr>
      <w:r w:rsidRPr="009F708F">
        <w:t>52</w:t>
      </w:r>
      <w:r w:rsidR="00826AE4" w:rsidRPr="009F708F">
        <w:t>.</w:t>
      </w:r>
      <w:r w:rsidR="00826AE4" w:rsidRPr="009F708F">
        <w:tab/>
        <w:t>is bezorgd over het gebrek aan vooruitgang op het gebied van het vennootschapsrecht in Albanië; verzoekt de Albanese autoriteiten de afstemming van het vennootschapsrecht op het EU-acquis te voltooien;</w:t>
      </w:r>
    </w:p>
    <w:p w:rsidR="00826AE4" w:rsidRPr="009F708F" w:rsidRDefault="00826AE4" w:rsidP="00A42455">
      <w:pPr>
        <w:pStyle w:val="NormalHanging12a"/>
        <w:ind w:left="0" w:firstLine="0"/>
        <w:rPr>
          <w:b/>
          <w:i/>
        </w:rPr>
      </w:pPr>
      <w:r w:rsidRPr="009F708F">
        <w:rPr>
          <w:b/>
          <w:i/>
        </w:rPr>
        <w:t>Milieu, biodiversiteit, energie en vervoer, duurzaam toerisme</w:t>
      </w:r>
    </w:p>
    <w:p w:rsidR="00826AE4" w:rsidRPr="009F708F" w:rsidRDefault="00A22E04" w:rsidP="00826AE4">
      <w:pPr>
        <w:pStyle w:val="NormalHanging12a"/>
        <w:rPr>
          <w:bCs/>
          <w:iCs/>
        </w:rPr>
      </w:pPr>
      <w:r w:rsidRPr="009F708F">
        <w:t>53</w:t>
      </w:r>
      <w:r w:rsidR="00826AE4" w:rsidRPr="009F708F">
        <w:t>.</w:t>
      </w:r>
      <w:r w:rsidR="00826AE4" w:rsidRPr="009F708F">
        <w:tab/>
        <w:t>benadrukt dat Albanië meer inspanningen moet leveren om zijn wetgeving inzake milieu aan te passen aan het EU-acquis; dringt erop aan dat zijn wetgeving in overeenstemming wordt gebracht met de richtlijn milieueffectbeoordeling</w:t>
      </w:r>
      <w:r w:rsidR="00826AE4" w:rsidRPr="009F708F">
        <w:rPr>
          <w:rStyle w:val="FootnoteReference"/>
        </w:rPr>
        <w:footnoteReference w:id="7"/>
      </w:r>
      <w:r w:rsidR="00826AE4" w:rsidRPr="009F708F">
        <w:t xml:space="preserve"> en de richtlijn strategische milieubeoordeling</w:t>
      </w:r>
      <w:r w:rsidR="00826AE4" w:rsidRPr="009F708F">
        <w:rPr>
          <w:rStyle w:val="FootnoteReference"/>
        </w:rPr>
        <w:footnoteReference w:id="8"/>
      </w:r>
      <w:r w:rsidR="00826AE4" w:rsidRPr="009F708F">
        <w:t xml:space="preserve"> van de EU; benadrukt dat de strijd tegen milieucriminaliteit moet worden opgevoerd;</w:t>
      </w:r>
    </w:p>
    <w:p w:rsidR="00826AE4" w:rsidRPr="009F708F" w:rsidRDefault="00A22E04" w:rsidP="00826AE4">
      <w:pPr>
        <w:pStyle w:val="NormalHanging12a"/>
        <w:rPr>
          <w:bCs/>
          <w:iCs/>
        </w:rPr>
      </w:pPr>
      <w:r w:rsidRPr="009F708F">
        <w:t>54</w:t>
      </w:r>
      <w:r w:rsidR="00826AE4" w:rsidRPr="009F708F">
        <w:t>.</w:t>
      </w:r>
      <w:r w:rsidR="00826AE4" w:rsidRPr="009F708F">
        <w:tab/>
        <w:t>wijst op de noodzaak van transparante en inclusieve openbare raadplegingen in overeenstemming met het Verdrag van Aarhus, waarbij wordt gezorgd voor de actieve betrokkenheid van lokale gemeenschappen, ngo’s en wetenschappelijke instellingen bij besluitvormingsprocessen op milieugebied, met name bij projecten met grote ecologische en sociaal-economische gevolgen; waarschuwt dat het gebrek aan passende betrokkenheid van belanghebbenden de governancenormen en de naleving door Albanië van zijn verplichtingen uit hoofde van het EU-acquis ondermijnt; uit zijn bezorgdheid over de economische en milieueffecten van niet-concurrerende, met buitenlands kapitaal gefinancierde ontwikkelingsprojecten;</w:t>
      </w:r>
    </w:p>
    <w:p w:rsidR="00826AE4" w:rsidRPr="009F708F" w:rsidRDefault="00A22E04" w:rsidP="00826AE4">
      <w:pPr>
        <w:pStyle w:val="NormalHanging12a"/>
        <w:rPr>
          <w:bCs/>
          <w:iCs/>
        </w:rPr>
      </w:pPr>
      <w:r w:rsidRPr="009F708F">
        <w:t>55</w:t>
      </w:r>
      <w:r w:rsidR="00826AE4" w:rsidRPr="009F708F">
        <w:t>.</w:t>
      </w:r>
      <w:r w:rsidR="00826AE4" w:rsidRPr="009F708F">
        <w:tab/>
        <w:t xml:space="preserve">wijst erop dat Albanië aanzienlijke inspanningen moet leveren om de doelstellingen op het gebied van klimaatbescherming, energie-efficiëntie, diversificatie en vergroening van de energievoorziening en vervoer te verwezenlijken; merkt op dat lucht- en waterkwaliteit en afvalbeheer bijzonder problematische kwesties blijven voor het land; dringt er bij de centrale overheid en de lokale autoriteiten op aan hun inspanningen op te voeren teneinde de luchtkwaliteit te verbeteren en de potentieel dodelijke verontreiniging te verminderen; dringt er bij de Albanese regering op aan prioriteit te </w:t>
      </w:r>
      <w:r w:rsidR="00826AE4" w:rsidRPr="009F708F">
        <w:lastRenderedPageBreak/>
        <w:t>geven aan de uitvoering van strategieën voor aanpassing aan de klimaatverandering, de ontwikkeling van hernieuwbare energiebronnen en de modernisering van het afvalbeheersysteem van het land, teneinde aan de EU-normen te voldoen en duurzame economische groei te ondersteunen; moedigt de Albanese autoriteiten aan maatregelen en investeringen ter uitbreiding van het openbaar vervoer en het spoorwegnet te bevorderen;</w:t>
      </w:r>
    </w:p>
    <w:p w:rsidR="00826AE4" w:rsidRPr="009F708F" w:rsidRDefault="00A22E04" w:rsidP="00826AE4">
      <w:pPr>
        <w:pStyle w:val="NormalHanging12a"/>
        <w:rPr>
          <w:bCs/>
          <w:iCs/>
          <w:szCs w:val="24"/>
        </w:rPr>
      </w:pPr>
      <w:r w:rsidRPr="009F708F">
        <w:t>56</w:t>
      </w:r>
      <w:r w:rsidR="00826AE4" w:rsidRPr="009F708F">
        <w:t>.</w:t>
      </w:r>
      <w:r w:rsidR="00826AE4" w:rsidRPr="009F708F">
        <w:tab/>
        <w:t>is er vast van overtuigd dat milieubescherming en de ontwikkeling van duurzaam toerisme hand in hand moeten gaan; is ingenomen met de oprichting van het eerste nationale beschermde riviergebied in Europa – het Vjosa Wild River National Park – en dringt erop aan voldoende middelen toe te wijzen aan de bescherming ervan; verzoekt de autoriteiten de ecologische integriteit van het nationaal park volledig te eerbiedigen en infrastructuurprojecten te heroverwegen, in het bijzonder het project voor wateronttrekking op de rivier de Shushicë, in overeenstemming met de internationale normen en beste praktijken voor het behoud van de biodiversiteit, om ervoor te zorgen dat de biodiversiteit, habitats en ecologische functies van het park intact blijven; herhaalt zijn bezorgdheid over de bouw van de luchthaven van Vlora in het beschermde gebied Vjosa-Narta, hetgeen in strijd is met de nationale en internationale normen voor de bescherming van de biodiversiteit, en verzoekt de Commissie deze kwestie aan te kaarten in hoofdstuk 27 van de toetredingsonderhandelingen; verzoekt de Albanese autoriteiten de uitvoeringswetgeving voor de wet inzake cultureel erfgoed en musea vast te stellen;</w:t>
      </w:r>
    </w:p>
    <w:p w:rsidR="00826AE4" w:rsidRPr="009F708F" w:rsidRDefault="00A22E04" w:rsidP="00826AE4">
      <w:pPr>
        <w:pStyle w:val="NormalHanging12a"/>
        <w:rPr>
          <w:bCs/>
          <w:iCs/>
        </w:rPr>
      </w:pPr>
      <w:r w:rsidRPr="009F708F">
        <w:t>57</w:t>
      </w:r>
      <w:r w:rsidR="00826AE4" w:rsidRPr="009F708F">
        <w:t>.</w:t>
      </w:r>
      <w:r w:rsidR="00826AE4" w:rsidRPr="009F708F">
        <w:tab/>
        <w:t>uit zijn ernstige bezorgdheid over de recente wijzigingen van de Albanese wet inzake beschermde gebieden die grote infrastructuur- en toeristische projecten in ecologisch gevoelige gebieden mogelijk maken; dringt erop aan dat deze wetswijzigingen worden teruggedraaid om ervoor te zorgen dat de nationale en internationale rechtskaders en normen inzake natuurbehoud volledig en strikt worden nageleefd en dat vervuiling van het mariene milieu door afval die gevolgen heeft voor buurlanden wordt aangepakt;</w:t>
      </w:r>
    </w:p>
    <w:p w:rsidR="00826AE4" w:rsidRPr="009F708F" w:rsidRDefault="00A22E04" w:rsidP="00826AE4">
      <w:pPr>
        <w:pStyle w:val="NormalHanging12a"/>
        <w:rPr>
          <w:bCs/>
          <w:iCs/>
          <w:szCs w:val="24"/>
        </w:rPr>
      </w:pPr>
      <w:r w:rsidRPr="009F708F">
        <w:t>58</w:t>
      </w:r>
      <w:r w:rsidR="00826AE4" w:rsidRPr="009F708F">
        <w:t>.</w:t>
      </w:r>
      <w:r w:rsidR="00826AE4" w:rsidRPr="009F708F">
        <w:tab/>
        <w:t>verzoekt de Albanese autoriteiten beschermde gebieden die belangrijk zijn voor het voortbestaan van ernstig bedreigde soorten, met name de balkanlynx, aan te wijzen en doeltreffend te beheren, onder meer via uitgebreide programma’s voor monitoring van de biodiversiteit, en wetgeving ter bestrijding van stroperij uit te voeren en strikt te handhaven; dringt er bij Albanië op aan af te zien van de plannen voor de waterkrachtcentrale van Skavica aan de rivier de Zwarte Drin, gezien de ernstige ecologische, sociale en culturele gevolgen ervan, waaronder de ontheemding van lokale gemeenschappen;</w:t>
      </w:r>
    </w:p>
    <w:p w:rsidR="00826AE4" w:rsidRPr="009F708F" w:rsidRDefault="00826AE4" w:rsidP="00826AE4">
      <w:pPr>
        <w:pStyle w:val="NormalHanging12a"/>
        <w:rPr>
          <w:b/>
          <w:i/>
        </w:rPr>
      </w:pPr>
      <w:r w:rsidRPr="009F708F">
        <w:rPr>
          <w:b/>
          <w:i/>
        </w:rPr>
        <w:t>Regionale samenwerking en buitenlands beleid</w:t>
      </w:r>
    </w:p>
    <w:p w:rsidR="00826AE4" w:rsidRPr="009F708F" w:rsidRDefault="00A22E04" w:rsidP="00826AE4">
      <w:pPr>
        <w:pStyle w:val="NormalHanging12a"/>
        <w:rPr>
          <w:bCs/>
          <w:iCs/>
        </w:rPr>
      </w:pPr>
      <w:r w:rsidRPr="009F708F">
        <w:t>59</w:t>
      </w:r>
      <w:r w:rsidR="00826AE4" w:rsidRPr="009F708F">
        <w:t>.</w:t>
      </w:r>
      <w:r w:rsidR="00826AE4" w:rsidRPr="009F708F">
        <w:tab/>
        <w:t xml:space="preserve">is ingenomen met het op 19 november 2024 goedgekeurde veiligheids- en defensiepartnerschap tussen de EU en Albanië, waarmee een platform voor versterkte dialoog en samenwerking op het gebied van veiligheids- en defensiethema’s tot stand wordt gebracht en dat een belangrijke stap voorwaarts vormt; wijst erop dat moet worden gewaarborgd dat dit partnerschap leidt tot concrete acties, waaronder gezamenlijke opleidingsinitiatieven, gedeelde inlichtingencapaciteiten en versterkte grensbeveiligingsmaatregelen om regionale en mondiale veiligheidsuitdagingen aan te pakken; benadrukt de noodzaak van intensievere samenwerking op het gebied van veiligheid in de Westelijke Balkan, waarbij nauwere coördinatie tussen regionale partners moet worden bevorderd om georganiseerde misdaad, cyberdreigingen en hybride uitdagingen te bestrijden; dringt aan op meer EU-steun voor regionale </w:t>
      </w:r>
      <w:r w:rsidR="00826AE4" w:rsidRPr="009F708F">
        <w:lastRenderedPageBreak/>
        <w:t>veiligheidsinitiatieven die de stabiliteit en veerkracht in de hele Westelijke Balkan vergroten; erkent dat dit partnerschap een belangrijke stap voorwaarts vormt bij de versterking van de rol van Albanië als betrouwbare veiligheidspartner van de EU; benadrukt voorts dat het partnerschap onder meer gezamenlijke initiatieven en inspanningen op het gebied van capaciteitsopbouw zal vergemakkelijken en aldus zal bijdragen aan een veerkrachtigere en geïntegreerdere veiligheidsarchitectuur in de Westelijke Balkan;</w:t>
      </w:r>
    </w:p>
    <w:p w:rsidR="00826AE4" w:rsidRPr="009F708F" w:rsidRDefault="00A22E04" w:rsidP="00826AE4">
      <w:pPr>
        <w:pStyle w:val="NormalHanging12a"/>
      </w:pPr>
      <w:r w:rsidRPr="009F708F">
        <w:t>60</w:t>
      </w:r>
      <w:r w:rsidR="00826AE4" w:rsidRPr="009F708F">
        <w:t>.</w:t>
      </w:r>
      <w:r w:rsidR="00826AE4" w:rsidRPr="009F708F">
        <w:tab/>
        <w:t>is ingenomen met de goedkeuring van de nationale veiligheidsstrategie in 2024 om hybride dreigingen verder te bestrijden, alsook met de nieuwe wet inzake cyberbeveiliging; is ingenomen met de door Albanië, Kosovo en Kroatië ondertekende trilaterale verklaring die tot doel heeft de samenwerking te verbeteren, het defensiepotentieel te versterken en volledige steun te verlenen aan de Euro-Atlantische en regionale defensie-integratie;</w:t>
      </w:r>
    </w:p>
    <w:p w:rsidR="00C55239" w:rsidRPr="009F708F" w:rsidRDefault="00A22E04" w:rsidP="00826AE4">
      <w:pPr>
        <w:pStyle w:val="NormalHanging12a"/>
      </w:pPr>
      <w:r w:rsidRPr="009F708F">
        <w:t>61</w:t>
      </w:r>
      <w:r w:rsidR="009B5CA6" w:rsidRPr="009F708F">
        <w:t>.</w:t>
      </w:r>
      <w:r w:rsidR="00C55239" w:rsidRPr="009F708F">
        <w:tab/>
        <w:t>drukt zijn bezorgdheid uit over de toenemende invloed van Rusland in de buurlanden van de EU; prijst de maatregelen die de Albanese autoriteit voor elektronische communicatie en postdiensten (AKEP) in oktober 2024 heeft genomen, die hebben geleid tot de sluiting van 155 door Rusland beheerde onlineaccounts die betrokken waren bij de verspreiding van desinformatie, alsook van acht accounts die met cyberspionagegroepen in verband gebracht werden</w:t>
      </w:r>
      <w:r w:rsidR="00C55239" w:rsidRPr="009F708F">
        <w:rPr>
          <w:rStyle w:val="FootnoteReference"/>
        </w:rPr>
        <w:footnoteReference w:id="9"/>
      </w:r>
      <w:r w:rsidR="00C55239" w:rsidRPr="009F708F">
        <w:t>; onderstreept dat deze maatregelen een weerspiegeling zijn van de aanhoudende inspanningen van Albanië om cyberdreigingen te beperken; dringt er bij de EU op aan haar steun aan Albanië op te voeren om de kwaadwillige invloed van Rusland tegen te gaan en de regionale stabiliteit te waarborgen;</w:t>
      </w:r>
    </w:p>
    <w:p w:rsidR="00826AE4" w:rsidRPr="009F708F" w:rsidRDefault="00A22E04" w:rsidP="00826AE4">
      <w:pPr>
        <w:pStyle w:val="NormalHanging12a"/>
      </w:pPr>
      <w:r w:rsidRPr="009F708F">
        <w:t>62</w:t>
      </w:r>
      <w:r w:rsidR="00826AE4" w:rsidRPr="009F708F">
        <w:t>.</w:t>
      </w:r>
      <w:r w:rsidR="00826AE4" w:rsidRPr="009F708F">
        <w:tab/>
        <w:t>prijst de volledige afstemming van Albanië op het gemeenschappelijk buitenlands en veiligheidsbeleid van de EU, met inbegrip van zijn steun voor EU-sancties tegen derde landen, en zijn positieve bijdrage aan missies in het kader van het gemeenschappelijk veiligheids- en defensiebeleid, met name EUFOR Althea, waarmee het land blijk geeft van zijn inzet voor de regionale en internationale veiligheid en stabiliteit, en is ingenomen met de deelname van Albanië aan operaties onder leiding van de EU en de NAVO, en zijn samenwerking met Europol en Interpol; dringt aan op de verdere deelname van het land aan door de EU geleide crisisbeheersingsoperaties en missies in het kader van het gemeenschappelijk veiligheids- en defensiebeleid, zoals de maritieme veiligheidsoperatie EUNAVFOR Aspides; erkent het strategische belang van de Adriatisch-Ionische regio voor de Europese veiligheid en economische stabiliteit; verzoekt Albanië om in coördinatie met de EU en de NAVO zijn capaciteiten voor maritieme veiligheid te versterken;</w:t>
      </w:r>
    </w:p>
    <w:p w:rsidR="00826AE4" w:rsidRPr="009F708F" w:rsidRDefault="00A22E04" w:rsidP="00826AE4">
      <w:pPr>
        <w:pStyle w:val="NormalHanging12a"/>
      </w:pPr>
      <w:r w:rsidRPr="009F708F">
        <w:t>63</w:t>
      </w:r>
      <w:r w:rsidR="00826AE4" w:rsidRPr="009F708F">
        <w:t>.</w:t>
      </w:r>
      <w:r w:rsidR="00826AE4" w:rsidRPr="009F708F">
        <w:tab/>
        <w:t xml:space="preserve">is ingenomen met de aanhoudende inspanningen van de Albanese regering om goede nabuurschapsbetrekkingen te bevorderen; herinnert er in dit verband aan hoe belangrijk het is dat Albanië zich ertoe verbindt eventuele grensgeschillen op te lossen in overeenstemming met het beginsel van vreedzame geschillenbeslechting, het Handvest van de Verenigde Naties en het VN-Verdrag inzake het recht van de zee, en daartoe indien nodig ook rekening te houden met de uitspraken van het Internationaal Gerechtshof; is ingenomen met de actieve bijdrage van Albanië aan het proces van Berlijn; moedigt voorts de aanhoudende en constructieve betrokkenheid bij regionale samenwerkingsinitiatieven aan, in overeenstemming met de waarden en </w:t>
      </w:r>
      <w:r w:rsidR="00826AE4" w:rsidRPr="009F708F">
        <w:lastRenderedPageBreak/>
        <w:t>uitbreidingsdoelstellingen van de EU, aangezien dit bijdraagt tot vrede, veiligheid en stabiliteit in de Westelijke Balkan; waarschuwt voor alle maatregelen die de gemeenschappelijke regionale markt kunnen ondermijnen of in strijd zouden kunnen zijn met het proces van Berlijn, zoals het Open Balkan-initiatief, aangezien dergelijke maatregelen belemmeringen voor de integratie en de samenhang van de EU kunnen vormen en de vooruitgang van Albanië op weg naar een verdere regionale en Europese integratie in gevaar kunnen brengen;</w:t>
      </w:r>
    </w:p>
    <w:p w:rsidR="00826AE4" w:rsidRPr="009F708F" w:rsidRDefault="00A22E04" w:rsidP="00826AE4">
      <w:pPr>
        <w:pStyle w:val="NormalHanging12a"/>
        <w:rPr>
          <w:bCs/>
          <w:iCs/>
        </w:rPr>
      </w:pPr>
      <w:r w:rsidRPr="009F708F">
        <w:t>64</w:t>
      </w:r>
      <w:r w:rsidR="00826AE4" w:rsidRPr="009F708F">
        <w:t>.</w:t>
      </w:r>
      <w:r w:rsidR="00826AE4" w:rsidRPr="009F708F">
        <w:tab/>
        <w:t>is ingenomen met de ratificatie door Albanië van bilaterale overeenkomsten inzake de coördinatie van socialezekerheidsstelsels met Kroatië, Montenegro en Bulgarije;</w:t>
      </w:r>
    </w:p>
    <w:p w:rsidR="00826AE4" w:rsidRPr="009F708F" w:rsidRDefault="00A22E04" w:rsidP="00826AE4">
      <w:pPr>
        <w:pStyle w:val="NormalHanging12a"/>
        <w:rPr>
          <w:bCs/>
          <w:iCs/>
        </w:rPr>
      </w:pPr>
      <w:r w:rsidRPr="009F708F">
        <w:t>65</w:t>
      </w:r>
      <w:r w:rsidR="00826AE4" w:rsidRPr="009F708F">
        <w:t>.</w:t>
      </w:r>
      <w:r w:rsidR="00826AE4" w:rsidRPr="009F708F">
        <w:tab/>
        <w:t>onderstreept de constructieve rol van Albanië bij het bevorderen van stabiliteit en samenwerking in de Westelijke Balkan, met name door middel van bilaterale dialogen met buurlanden en zijn betrokkenheid bij regionale organisaties;</w:t>
      </w:r>
    </w:p>
    <w:p w:rsidR="00826AE4" w:rsidRPr="009F708F" w:rsidRDefault="00826AE4" w:rsidP="00826AE4">
      <w:pPr>
        <w:pStyle w:val="NormalHanging12a"/>
        <w:jc w:val="center"/>
      </w:pPr>
      <w:r w:rsidRPr="009F708F">
        <w:t>°</w:t>
      </w:r>
    </w:p>
    <w:p w:rsidR="00826AE4" w:rsidRPr="009F708F" w:rsidRDefault="00826AE4" w:rsidP="00826AE4">
      <w:pPr>
        <w:pStyle w:val="NormalHanging12a"/>
        <w:jc w:val="center"/>
      </w:pPr>
      <w:r w:rsidRPr="009F708F">
        <w:t>°</w:t>
      </w:r>
      <w:r w:rsidRPr="009F708F">
        <w:tab/>
        <w:t>°</w:t>
      </w:r>
    </w:p>
    <w:p w:rsidR="00441575" w:rsidRPr="009F708F" w:rsidRDefault="00A22E04" w:rsidP="00441575">
      <w:pPr>
        <w:pStyle w:val="NormalHanging12a"/>
      </w:pPr>
      <w:r w:rsidRPr="009F708F">
        <w:t>66</w:t>
      </w:r>
      <w:r w:rsidR="00826AE4" w:rsidRPr="009F708F">
        <w:t>.</w:t>
      </w:r>
      <w:r w:rsidR="00826AE4" w:rsidRPr="009F708F">
        <w:tab/>
        <w:t>verzoekt zijn Voorzitter deze resolutie te doen toekomen aan de voorzitter van de Europese Raad, de Raad, de Commissie, de vicevoorzitter van de Commissie/hoge vertegenwoordiger van de Unie voor buitenlandse zaken en veiligheidsbeleid, de regeringen en parlementen van de lidstaten en de president, de regering en het parlement van de Republiek Albanië.</w:t>
      </w:r>
    </w:p>
    <w:p w:rsidR="00E365E1" w:rsidRPr="009F708F" w:rsidRDefault="00E365E1" w:rsidP="004D707A"/>
    <w:sectPr w:rsidR="00E365E1" w:rsidRPr="009F708F" w:rsidSect="0044157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707A" w:rsidRPr="00441575" w:rsidRDefault="004D707A">
      <w:r w:rsidRPr="00441575">
        <w:separator/>
      </w:r>
    </w:p>
  </w:endnote>
  <w:endnote w:type="continuationSeparator" w:id="0">
    <w:p w:rsidR="004D707A" w:rsidRPr="00441575" w:rsidRDefault="004D707A">
      <w:r w:rsidRPr="004415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707A" w:rsidRPr="00441575" w:rsidRDefault="004D707A">
      <w:r w:rsidRPr="00441575">
        <w:separator/>
      </w:r>
    </w:p>
  </w:footnote>
  <w:footnote w:type="continuationSeparator" w:id="0">
    <w:p w:rsidR="004D707A" w:rsidRPr="00441575" w:rsidRDefault="004D707A">
      <w:r w:rsidRPr="00441575">
        <w:continuationSeparator/>
      </w:r>
    </w:p>
  </w:footnote>
  <w:footnote w:id="1">
    <w:p w:rsidR="00826AE4" w:rsidRPr="00441575" w:rsidRDefault="00826AE4" w:rsidP="00441575">
      <w:pPr>
        <w:pStyle w:val="FootnoteText"/>
        <w:ind w:left="567" w:hanging="567"/>
        <w:rPr>
          <w:sz w:val="24"/>
          <w:lang w:val="nl-NL"/>
        </w:rPr>
      </w:pPr>
      <w:r w:rsidRPr="00441575">
        <w:rPr>
          <w:rStyle w:val="FootnoteReference"/>
          <w:sz w:val="24"/>
          <w:lang w:val="nl-NL"/>
        </w:rPr>
        <w:footnoteRef/>
      </w:r>
      <w:r w:rsidR="00441575" w:rsidRPr="00441575">
        <w:rPr>
          <w:sz w:val="24"/>
          <w:lang w:val="nl-NL"/>
        </w:rPr>
        <w:tab/>
      </w:r>
      <w:r w:rsidRPr="00441575">
        <w:rPr>
          <w:sz w:val="24"/>
          <w:lang w:val="nl-NL"/>
        </w:rPr>
        <w:t xml:space="preserve">PB L 107 van 28.4.2009, blz. 166, ELI: </w:t>
      </w:r>
      <w:hyperlink r:id="rId1" w:tooltip="Geeft toegang tot dit document via de ELI‑URI." w:history="1">
        <w:r w:rsidRPr="00441575">
          <w:rPr>
            <w:rStyle w:val="Hyperlink"/>
            <w:sz w:val="24"/>
            <w:lang w:val="nl-NL"/>
          </w:rPr>
          <w:t>http://data.europa.eu/eli/agree_internation/2009/332/oj</w:t>
        </w:r>
      </w:hyperlink>
      <w:r w:rsidRPr="00441575">
        <w:rPr>
          <w:sz w:val="24"/>
          <w:lang w:val="nl-NL"/>
        </w:rPr>
        <w:t>.</w:t>
      </w:r>
    </w:p>
  </w:footnote>
  <w:footnote w:id="2">
    <w:p w:rsidR="00826AE4" w:rsidRPr="00441575" w:rsidRDefault="00826AE4" w:rsidP="00441575">
      <w:pPr>
        <w:pStyle w:val="FootnoteText"/>
        <w:ind w:left="567" w:hanging="567"/>
        <w:rPr>
          <w:sz w:val="24"/>
          <w:lang w:val="nl-NL"/>
        </w:rPr>
      </w:pPr>
      <w:r w:rsidRPr="00441575">
        <w:rPr>
          <w:rStyle w:val="FootnoteReference"/>
          <w:sz w:val="24"/>
          <w:lang w:val="nl-NL"/>
        </w:rPr>
        <w:footnoteRef/>
      </w:r>
      <w:r w:rsidR="00441575" w:rsidRPr="00441575">
        <w:rPr>
          <w:sz w:val="24"/>
          <w:lang w:val="nl-NL"/>
        </w:rPr>
        <w:tab/>
      </w:r>
      <w:r w:rsidRPr="00441575">
        <w:rPr>
          <w:sz w:val="24"/>
          <w:lang w:val="nl-NL"/>
        </w:rPr>
        <w:t xml:space="preserve">PB L 330 van 20.9.2021, blz. 1, ELI: </w:t>
      </w:r>
      <w:hyperlink r:id="rId2" w:tooltip="Geeft toegang tot dit document via de ELI‑URI." w:history="1">
        <w:r w:rsidRPr="00441575">
          <w:rPr>
            <w:rStyle w:val="Hyperlink"/>
            <w:sz w:val="24"/>
            <w:lang w:val="nl-NL"/>
          </w:rPr>
          <w:t>http://data.europa.eu/eli/reg/2021/1529/oj</w:t>
        </w:r>
      </w:hyperlink>
      <w:r w:rsidRPr="00441575">
        <w:rPr>
          <w:sz w:val="24"/>
          <w:lang w:val="nl-NL"/>
        </w:rPr>
        <w:t>.</w:t>
      </w:r>
    </w:p>
  </w:footnote>
  <w:footnote w:id="3">
    <w:p w:rsidR="00826AE4" w:rsidRPr="00554F46" w:rsidRDefault="00826AE4" w:rsidP="00441575">
      <w:pPr>
        <w:pStyle w:val="FootnoteText"/>
        <w:ind w:left="567" w:hanging="567"/>
        <w:rPr>
          <w:sz w:val="24"/>
          <w:lang w:val="fi-FI"/>
        </w:rPr>
      </w:pPr>
      <w:r w:rsidRPr="00441575">
        <w:rPr>
          <w:rStyle w:val="FootnoteReference"/>
          <w:sz w:val="24"/>
          <w:lang w:val="nl-NL"/>
        </w:rPr>
        <w:footnoteRef/>
      </w:r>
      <w:r w:rsidR="00441575" w:rsidRPr="00554F46">
        <w:rPr>
          <w:sz w:val="24"/>
          <w:lang w:val="fi-FI"/>
        </w:rPr>
        <w:tab/>
      </w:r>
      <w:r w:rsidRPr="00554F46">
        <w:rPr>
          <w:sz w:val="24"/>
          <w:lang w:val="fi-FI"/>
        </w:rPr>
        <w:t xml:space="preserve">PB L, 2024/1449, 24.5.2024, ELI: </w:t>
      </w:r>
      <w:hyperlink r:id="rId3" w:tgtFrame="_blank" w:tooltip="Geeft toegang tot dit document via de ELI‑URI." w:history="1">
        <w:r w:rsidRPr="00554F46">
          <w:rPr>
            <w:rStyle w:val="Hyperlink"/>
            <w:sz w:val="24"/>
            <w:lang w:val="fi-FI"/>
          </w:rPr>
          <w:t>http://data.europa.eu/eli/reg/2024/1449/oj</w:t>
        </w:r>
      </w:hyperlink>
      <w:r w:rsidRPr="00554F46">
        <w:rPr>
          <w:sz w:val="24"/>
          <w:lang w:val="fi-FI"/>
        </w:rPr>
        <w:t>.</w:t>
      </w:r>
    </w:p>
  </w:footnote>
  <w:footnote w:id="4">
    <w:p w:rsidR="00826AE4" w:rsidRPr="00441575" w:rsidRDefault="00826AE4" w:rsidP="00441575">
      <w:pPr>
        <w:pStyle w:val="FootnoteText"/>
        <w:ind w:left="567" w:hanging="567"/>
        <w:rPr>
          <w:sz w:val="24"/>
          <w:lang w:val="nl-NL"/>
        </w:rPr>
      </w:pPr>
      <w:r w:rsidRPr="00441575">
        <w:rPr>
          <w:rStyle w:val="FootnoteReference"/>
          <w:sz w:val="24"/>
          <w:lang w:val="nl-NL"/>
        </w:rPr>
        <w:footnoteRef/>
      </w:r>
      <w:r w:rsidR="00441575" w:rsidRPr="00441575">
        <w:rPr>
          <w:sz w:val="24"/>
          <w:lang w:val="nl-NL"/>
        </w:rPr>
        <w:tab/>
      </w:r>
      <w:r w:rsidRPr="00441575">
        <w:rPr>
          <w:sz w:val="24"/>
          <w:lang w:val="nl-NL"/>
        </w:rPr>
        <w:t xml:space="preserve">Verordening (EU) 2024/1083 van het Europees Parlement en de Raad van 11 april 2024 tot vaststelling van een gemeenschappelijk kader voor mediadiensten op de interne markt en tot wijziging van Richtlijn 2010/13/EU (Europese verordening mediavrijheid) (PB L, 2024/1083, 17.4.2024, ELI: </w:t>
      </w:r>
      <w:hyperlink r:id="rId4" w:history="1">
        <w:r w:rsidRPr="00441575">
          <w:rPr>
            <w:rStyle w:val="Hyperlink"/>
            <w:sz w:val="24"/>
            <w:lang w:val="nl-NL"/>
          </w:rPr>
          <w:t>http://data.europa.eu/eli/reg/2024/1083/oj</w:t>
        </w:r>
      </w:hyperlink>
      <w:r w:rsidRPr="00441575">
        <w:rPr>
          <w:sz w:val="24"/>
          <w:lang w:val="nl-NL"/>
        </w:rPr>
        <w:t>).</w:t>
      </w:r>
    </w:p>
  </w:footnote>
  <w:footnote w:id="5">
    <w:p w:rsidR="00C674C3" w:rsidRPr="00C674C3" w:rsidRDefault="00C674C3" w:rsidP="00C674C3">
      <w:pPr>
        <w:pStyle w:val="FootnoteText"/>
        <w:ind w:left="567" w:hanging="567"/>
        <w:rPr>
          <w:sz w:val="24"/>
          <w:szCs w:val="24"/>
        </w:rPr>
      </w:pPr>
      <w:r w:rsidRPr="00C674C3">
        <w:rPr>
          <w:rStyle w:val="FootnoteReference"/>
          <w:sz w:val="24"/>
          <w:szCs w:val="24"/>
        </w:rPr>
        <w:footnoteRef/>
      </w:r>
      <w:r w:rsidRPr="00C674C3">
        <w:rPr>
          <w:sz w:val="24"/>
          <w:szCs w:val="24"/>
        </w:rPr>
        <w:t xml:space="preserve"> </w:t>
      </w:r>
      <w:r w:rsidRPr="00C674C3">
        <w:rPr>
          <w:sz w:val="24"/>
          <w:szCs w:val="24"/>
        </w:rPr>
        <w:tab/>
        <w:t>https://www.state.gov/reports/2023-report-on-international-religious-freedom/albania/.</w:t>
      </w:r>
    </w:p>
  </w:footnote>
  <w:footnote w:id="6">
    <w:p w:rsidR="00826AE4" w:rsidRPr="00441575" w:rsidRDefault="00826AE4" w:rsidP="00441575">
      <w:pPr>
        <w:pStyle w:val="FootnoteText"/>
        <w:ind w:left="567" w:hanging="567"/>
        <w:rPr>
          <w:sz w:val="24"/>
          <w:lang w:val="nl-NL"/>
        </w:rPr>
      </w:pPr>
      <w:r w:rsidRPr="00441575">
        <w:rPr>
          <w:rStyle w:val="FootnoteReference"/>
          <w:sz w:val="24"/>
          <w:lang w:val="nl-NL"/>
        </w:rPr>
        <w:footnoteRef/>
      </w:r>
      <w:r w:rsidR="00441575" w:rsidRPr="00441575">
        <w:rPr>
          <w:sz w:val="24"/>
          <w:lang w:val="nl-NL"/>
        </w:rPr>
        <w:tab/>
      </w:r>
      <w:r w:rsidRPr="00441575">
        <w:rPr>
          <w:sz w:val="24"/>
          <w:lang w:val="nl-NL"/>
        </w:rPr>
        <w:t xml:space="preserve">Richtlijn 2014/92/EU van het Europees Parlement en de Raad van 23 juli 2014 betreffende de vergelijkbaarheid van de in verband met betaalrekeningen aangerekende vergoedingen, het overstappen naar een andere betaalrekening en de toegang tot betaalrekeningen met basisfuncties (PB L 257 van 28.8.2014, blz. 214, ELI: </w:t>
      </w:r>
      <w:hyperlink r:id="rId5" w:history="1">
        <w:r w:rsidRPr="00441575">
          <w:rPr>
            <w:rStyle w:val="Hyperlink"/>
            <w:sz w:val="24"/>
            <w:lang w:val="nl-NL"/>
          </w:rPr>
          <w:t>http://data.europa.eu/eli/dir/2014/92/oj</w:t>
        </w:r>
      </w:hyperlink>
      <w:r w:rsidRPr="00441575">
        <w:rPr>
          <w:sz w:val="24"/>
          <w:lang w:val="nl-NL"/>
        </w:rPr>
        <w:t>).</w:t>
      </w:r>
    </w:p>
  </w:footnote>
  <w:footnote w:id="7">
    <w:p w:rsidR="00826AE4" w:rsidRPr="00441575" w:rsidRDefault="00826AE4" w:rsidP="00441575">
      <w:pPr>
        <w:pStyle w:val="FootnoteText"/>
        <w:ind w:left="567" w:hanging="567"/>
        <w:rPr>
          <w:sz w:val="24"/>
          <w:lang w:val="nl-NL"/>
        </w:rPr>
      </w:pPr>
      <w:r w:rsidRPr="00441575">
        <w:rPr>
          <w:rStyle w:val="FootnoteReference"/>
          <w:sz w:val="24"/>
          <w:lang w:val="nl-NL"/>
        </w:rPr>
        <w:footnoteRef/>
      </w:r>
      <w:r w:rsidR="00441575" w:rsidRPr="00441575">
        <w:rPr>
          <w:sz w:val="24"/>
          <w:lang w:val="nl-NL"/>
        </w:rPr>
        <w:tab/>
      </w:r>
      <w:r w:rsidRPr="00441575">
        <w:rPr>
          <w:sz w:val="24"/>
          <w:lang w:val="nl-NL"/>
        </w:rPr>
        <w:t xml:space="preserve">Richtlijn 2011/92/EU van het Europees Parlement en de Raad van 13 december 2011 betreffende de milieueffectbeoordeling van bepaalde openbare en particuliere projecten (PB L 26 van 28.1.2012, blz. 1, ELI: </w:t>
      </w:r>
      <w:hyperlink r:id="rId6" w:history="1">
        <w:r w:rsidRPr="00441575">
          <w:rPr>
            <w:rStyle w:val="Hyperlink"/>
            <w:sz w:val="24"/>
            <w:lang w:val="nl-NL"/>
          </w:rPr>
          <w:t>http://data.europa.eu/eli/dir/2011/92/oj</w:t>
        </w:r>
      </w:hyperlink>
      <w:r w:rsidRPr="00441575">
        <w:rPr>
          <w:sz w:val="24"/>
          <w:lang w:val="nl-NL"/>
        </w:rPr>
        <w:t>).</w:t>
      </w:r>
    </w:p>
  </w:footnote>
  <w:footnote w:id="8">
    <w:p w:rsidR="00826AE4" w:rsidRPr="00441575" w:rsidRDefault="00826AE4" w:rsidP="00441575">
      <w:pPr>
        <w:pStyle w:val="FootnoteText"/>
        <w:ind w:left="567" w:hanging="567"/>
        <w:rPr>
          <w:sz w:val="24"/>
          <w:lang w:val="nl-NL"/>
        </w:rPr>
      </w:pPr>
      <w:r w:rsidRPr="00441575">
        <w:rPr>
          <w:rStyle w:val="FootnoteReference"/>
          <w:sz w:val="24"/>
          <w:lang w:val="nl-NL"/>
        </w:rPr>
        <w:footnoteRef/>
      </w:r>
      <w:r w:rsidR="00441575" w:rsidRPr="00441575">
        <w:rPr>
          <w:sz w:val="24"/>
          <w:lang w:val="nl-NL"/>
        </w:rPr>
        <w:tab/>
      </w:r>
      <w:r w:rsidRPr="00441575">
        <w:rPr>
          <w:sz w:val="24"/>
          <w:lang w:val="nl-NL"/>
        </w:rPr>
        <w:t>Richtl</w:t>
      </w:r>
      <w:r w:rsidR="00A42455">
        <w:rPr>
          <w:sz w:val="24"/>
          <w:lang w:val="nl-NL"/>
        </w:rPr>
        <w:t>ij</w:t>
      </w:r>
      <w:r w:rsidRPr="00441575">
        <w:rPr>
          <w:sz w:val="24"/>
          <w:lang w:val="nl-NL"/>
        </w:rPr>
        <w:t xml:space="preserve">n 2001/42/EG van het Europees Parlement en de Raad van 27 juni 2001 betreffende de beoordeling van de gevolgen voor het milieu van bepaalde plannen en programma’s (PB L 197 van 21.7.2001, blz. 30, ELI: </w:t>
      </w:r>
      <w:hyperlink r:id="rId7" w:history="1">
        <w:r w:rsidRPr="00441575">
          <w:rPr>
            <w:rStyle w:val="Hyperlink"/>
            <w:sz w:val="24"/>
            <w:lang w:val="nl-NL"/>
          </w:rPr>
          <w:t>http://data.europa.eu/eli/dir/2001/42/oj</w:t>
        </w:r>
      </w:hyperlink>
      <w:r w:rsidRPr="00441575">
        <w:rPr>
          <w:sz w:val="24"/>
          <w:lang w:val="nl-NL"/>
        </w:rPr>
        <w:t>).</w:t>
      </w:r>
    </w:p>
  </w:footnote>
  <w:footnote w:id="9">
    <w:p w:rsidR="00C55239" w:rsidRPr="00C55239" w:rsidRDefault="00C55239" w:rsidP="00C55239">
      <w:pPr>
        <w:pStyle w:val="FootnoteText"/>
        <w:ind w:left="567" w:hanging="567"/>
        <w:rPr>
          <w:sz w:val="24"/>
          <w:szCs w:val="24"/>
        </w:rPr>
      </w:pPr>
      <w:r w:rsidRPr="00C55239">
        <w:rPr>
          <w:rStyle w:val="FootnoteReference"/>
          <w:sz w:val="24"/>
          <w:szCs w:val="24"/>
        </w:rPr>
        <w:footnoteRef/>
      </w:r>
      <w:r w:rsidRPr="00C55239">
        <w:rPr>
          <w:sz w:val="24"/>
          <w:szCs w:val="24"/>
        </w:rPr>
        <w:t xml:space="preserve"> </w:t>
      </w:r>
      <w:r w:rsidRPr="00C55239">
        <w:rPr>
          <w:sz w:val="24"/>
          <w:szCs w:val="24"/>
        </w:rPr>
        <w:tab/>
      </w:r>
      <w:proofErr w:type="gramStart"/>
      <w:r w:rsidRPr="00C55239">
        <w:rPr>
          <w:sz w:val="24"/>
          <w:szCs w:val="24"/>
        </w:rPr>
        <w:t>https://politiko.al/english/e-tjera/-mbyll-155-llogari-ruse-ne-internet-per-dezinformimin-ne-tirane-i517028?.</w:t>
      </w:r>
      <w:proofErr w:type="gram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06/2025"/>
    <w:docVar w:name="dvlangue" w:val="NL"/>
    <w:docVar w:name="dvnumam" w:val="0"/>
    <w:docVar w:name="dvpe" w:val="769.914"/>
    <w:docVar w:name="dvrapporteur" w:val="Rapporteur: "/>
    <w:docVar w:name="dvtitre" w:val="Resolutie van het Europees Parlement van xx juli 2025 over de Commissieverslagen van 2023 en 2024 over Albanië(2025/2017(INI))"/>
  </w:docVars>
  <w:rsids>
    <w:rsidRoot w:val="004D707A"/>
    <w:rsid w:val="00002272"/>
    <w:rsid w:val="00064002"/>
    <w:rsid w:val="000677B9"/>
    <w:rsid w:val="000831BA"/>
    <w:rsid w:val="000A42CC"/>
    <w:rsid w:val="000E7DD9"/>
    <w:rsid w:val="0010095E"/>
    <w:rsid w:val="00125B37"/>
    <w:rsid w:val="00187494"/>
    <w:rsid w:val="001F32AE"/>
    <w:rsid w:val="002767FF"/>
    <w:rsid w:val="002B18FE"/>
    <w:rsid w:val="002B4482"/>
    <w:rsid w:val="002B5493"/>
    <w:rsid w:val="00343214"/>
    <w:rsid w:val="00361C00"/>
    <w:rsid w:val="00395FA1"/>
    <w:rsid w:val="003E15D4"/>
    <w:rsid w:val="00411CCE"/>
    <w:rsid w:val="0041666E"/>
    <w:rsid w:val="00421060"/>
    <w:rsid w:val="00441575"/>
    <w:rsid w:val="00471C19"/>
    <w:rsid w:val="004744A9"/>
    <w:rsid w:val="004867E3"/>
    <w:rsid w:val="00494A28"/>
    <w:rsid w:val="004C0004"/>
    <w:rsid w:val="004C5D52"/>
    <w:rsid w:val="004D707A"/>
    <w:rsid w:val="0050519A"/>
    <w:rsid w:val="005072A1"/>
    <w:rsid w:val="00514517"/>
    <w:rsid w:val="00545827"/>
    <w:rsid w:val="00554F46"/>
    <w:rsid w:val="00560270"/>
    <w:rsid w:val="005C2568"/>
    <w:rsid w:val="005F1B17"/>
    <w:rsid w:val="006037C0"/>
    <w:rsid w:val="006631B6"/>
    <w:rsid w:val="006737F7"/>
    <w:rsid w:val="00680577"/>
    <w:rsid w:val="006F74FA"/>
    <w:rsid w:val="00731ADD"/>
    <w:rsid w:val="00734777"/>
    <w:rsid w:val="00747932"/>
    <w:rsid w:val="00751A4A"/>
    <w:rsid w:val="00756632"/>
    <w:rsid w:val="00762C74"/>
    <w:rsid w:val="00786EC0"/>
    <w:rsid w:val="007A225B"/>
    <w:rsid w:val="007D1690"/>
    <w:rsid w:val="007E22AD"/>
    <w:rsid w:val="00817416"/>
    <w:rsid w:val="00826AE4"/>
    <w:rsid w:val="00842779"/>
    <w:rsid w:val="00865F67"/>
    <w:rsid w:val="00881A7B"/>
    <w:rsid w:val="008840E5"/>
    <w:rsid w:val="00887B3E"/>
    <w:rsid w:val="008C2AC6"/>
    <w:rsid w:val="00930C23"/>
    <w:rsid w:val="0093193B"/>
    <w:rsid w:val="009509D8"/>
    <w:rsid w:val="00950B64"/>
    <w:rsid w:val="00981893"/>
    <w:rsid w:val="009B5CA6"/>
    <w:rsid w:val="009F708F"/>
    <w:rsid w:val="00A1687D"/>
    <w:rsid w:val="00A22E04"/>
    <w:rsid w:val="00A34054"/>
    <w:rsid w:val="00A42455"/>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5239"/>
    <w:rsid w:val="00C61C0C"/>
    <w:rsid w:val="00C674C3"/>
    <w:rsid w:val="00C7328C"/>
    <w:rsid w:val="00C941CB"/>
    <w:rsid w:val="00CC2357"/>
    <w:rsid w:val="00CF071A"/>
    <w:rsid w:val="00D058B8"/>
    <w:rsid w:val="00D56C11"/>
    <w:rsid w:val="00D834A0"/>
    <w:rsid w:val="00D872DF"/>
    <w:rsid w:val="00D91E21"/>
    <w:rsid w:val="00DA7FCD"/>
    <w:rsid w:val="00DB4C9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FF96978-4BA3-4FE1-8BB3-5ED5D2C00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26AE4"/>
    <w:pPr>
      <w:spacing w:after="240"/>
      <w:ind w:left="567" w:hanging="567"/>
    </w:pPr>
  </w:style>
  <w:style w:type="paragraph" w:customStyle="1" w:styleId="EPComma">
    <w:name w:val="EPComma"/>
    <w:basedOn w:val="Normal"/>
    <w:rsid w:val="00826AE4"/>
    <w:pPr>
      <w:spacing w:before="480" w:after="240"/>
    </w:pPr>
  </w:style>
  <w:style w:type="character" w:styleId="Hyperlink">
    <w:name w:val="Hyperlink"/>
    <w:basedOn w:val="DefaultParagraphFont"/>
    <w:rsid w:val="00826AE4"/>
    <w:rPr>
      <w:color w:val="0563C1" w:themeColor="hyperlink"/>
      <w:u w:val="single"/>
    </w:rPr>
  </w:style>
  <w:style w:type="character" w:customStyle="1" w:styleId="NormalHanging12aChar">
    <w:name w:val="NormalHanging12a Char"/>
    <w:basedOn w:val="DefaultParagraphFont"/>
    <w:link w:val="NormalHanging12a"/>
    <w:rsid w:val="00826AE4"/>
    <w:rPr>
      <w:sz w:val="24"/>
      <w:lang w:val="nl-NL"/>
    </w:rPr>
  </w:style>
  <w:style w:type="paragraph" w:styleId="BalloonText">
    <w:name w:val="Balloon Text"/>
    <w:basedOn w:val="Normal"/>
    <w:link w:val="BalloonTextChar"/>
    <w:rsid w:val="00C674C3"/>
    <w:rPr>
      <w:rFonts w:ascii="Segoe UI" w:hAnsi="Segoe UI" w:cs="Segoe UI"/>
      <w:sz w:val="18"/>
      <w:szCs w:val="18"/>
    </w:rPr>
  </w:style>
  <w:style w:type="character" w:customStyle="1" w:styleId="BalloonTextChar">
    <w:name w:val="Balloon Text Char"/>
    <w:basedOn w:val="DefaultParagraphFont"/>
    <w:link w:val="BalloonText"/>
    <w:rsid w:val="00C674C3"/>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449/oj" TargetMode="External"/><Relationship Id="rId7" Type="http://schemas.openxmlformats.org/officeDocument/2006/relationships/hyperlink" Target="http://data.europa.eu/eli/dir/2001/42/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09/332/oj" TargetMode="External"/><Relationship Id="rId6" Type="http://schemas.openxmlformats.org/officeDocument/2006/relationships/hyperlink" Target="http://data.europa.eu/eli/dir/2011/92/oj" TargetMode="External"/><Relationship Id="rId5" Type="http://schemas.openxmlformats.org/officeDocument/2006/relationships/hyperlink" Target="http://data.europa.eu/eli/dir/2014/92/oj" TargetMode="External"/><Relationship Id="rId4"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247842-6C83-4060-8BDD-5CE3DDE72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7648</Words>
  <Characters>46826</Characters>
  <Application>Microsoft Office Word</Application>
  <DocSecurity>0</DocSecurity>
  <Lines>1200</Lines>
  <Paragraphs>698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2025-07-09T14:44:00Z</dcterms:created>
  <dcterms:modified xsi:type="dcterms:W3CDTF">2025-07-09T14:44:00Z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A10-0106/2025</vt:lpwstr>
  </property>
  <property fmtid="{D5CDD505-2E9C-101B-9397-08002B2CF9AE}" pid="4" name="&lt;Type&gt;">
    <vt:lpwstr>RR</vt:lpwstr>
  </property>
</Properties>
</file>