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0320" w14:paraId="6714CD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0D8DD8" w14:textId="77777777" w:rsidR="00751A4A" w:rsidRPr="004E0320" w:rsidRDefault="001F7430" w:rsidP="0010095E">
            <w:pPr>
              <w:pStyle w:val="EPName"/>
            </w:pPr>
            <w:r w:rsidRPr="004E0320">
              <w:t>Európsky parlament</w:t>
            </w:r>
          </w:p>
          <w:p w14:paraId="480782B1" w14:textId="77777777" w:rsidR="00751A4A" w:rsidRPr="004E03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0320">
              <w:t>2024</w:t>
            </w:r>
            <w:r w:rsidR="00817416" w:rsidRPr="004E0320">
              <w:t>-202</w:t>
            </w:r>
            <w:r w:rsidRPr="004E0320">
              <w:t>9</w:t>
            </w:r>
          </w:p>
        </w:tc>
        <w:tc>
          <w:tcPr>
            <w:tcW w:w="2268" w:type="dxa"/>
            <w:shd w:val="clear" w:color="auto" w:fill="auto"/>
          </w:tcPr>
          <w:p w14:paraId="632D975E" w14:textId="77777777" w:rsidR="00751A4A" w:rsidRPr="004E0320" w:rsidRDefault="00187494" w:rsidP="0010095E">
            <w:pPr>
              <w:pStyle w:val="EPLogo"/>
            </w:pPr>
            <w:r w:rsidRPr="004E0320">
              <w:rPr>
                <w:noProof/>
                <w:lang w:eastAsia="ja-JP"/>
              </w:rPr>
              <w:drawing>
                <wp:inline distT="0" distB="0" distL="0" distR="0" wp14:anchorId="6BE8841A" wp14:editId="5220D7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1DD930" w14:textId="77777777" w:rsidR="00D058B8" w:rsidRPr="004E0320" w:rsidRDefault="00D058B8" w:rsidP="004C5D52">
      <w:pPr>
        <w:pStyle w:val="LineTop"/>
      </w:pPr>
    </w:p>
    <w:p w14:paraId="2821C6CD" w14:textId="77777777" w:rsidR="00680577" w:rsidRPr="004E0320" w:rsidRDefault="001F7430" w:rsidP="00680577">
      <w:pPr>
        <w:pStyle w:val="EPBodyTA1"/>
      </w:pPr>
      <w:r w:rsidRPr="004E0320">
        <w:t>PRIJATÉ TEXTY</w:t>
      </w:r>
    </w:p>
    <w:p w14:paraId="32D48170" w14:textId="77777777" w:rsidR="00D058B8" w:rsidRPr="004E0320" w:rsidRDefault="00D058B8" w:rsidP="00D058B8">
      <w:pPr>
        <w:pStyle w:val="LineBottom"/>
      </w:pPr>
    </w:p>
    <w:p w14:paraId="1D766CCC" w14:textId="5D71BEF2" w:rsidR="001F7430" w:rsidRPr="004E0320" w:rsidRDefault="001F7430" w:rsidP="001F7430">
      <w:pPr>
        <w:pStyle w:val="ATHeading1"/>
      </w:pPr>
      <w:bookmarkStart w:id="0" w:name="TANumber"/>
      <w:r w:rsidRPr="004E0320">
        <w:t>P10_TA(2025)0</w:t>
      </w:r>
      <w:r w:rsidR="00550DE8" w:rsidRPr="004E0320">
        <w:t>15</w:t>
      </w:r>
      <w:r w:rsidR="005422C2" w:rsidRPr="004E0320">
        <w:t>5</w:t>
      </w:r>
      <w:bookmarkEnd w:id="0"/>
    </w:p>
    <w:p w14:paraId="6338900B" w14:textId="77777777" w:rsidR="001F7430" w:rsidRPr="004E0320" w:rsidRDefault="001F7430" w:rsidP="001F7430">
      <w:pPr>
        <w:pStyle w:val="ATHeading2"/>
      </w:pPr>
      <w:bookmarkStart w:id="1" w:name="title"/>
      <w:r w:rsidRPr="004E0320">
        <w:t>Správy o Albánsku za roky 2023 a 2024</w:t>
      </w:r>
      <w:bookmarkEnd w:id="1"/>
    </w:p>
    <w:p w14:paraId="0BFAF035" w14:textId="77777777" w:rsidR="001F7430" w:rsidRPr="004E0320" w:rsidRDefault="001F7430" w:rsidP="001F7430">
      <w:pPr>
        <w:rPr>
          <w:i/>
          <w:vanish/>
        </w:rPr>
      </w:pPr>
      <w:r w:rsidRPr="004E0320">
        <w:rPr>
          <w:i/>
        </w:rPr>
        <w:fldChar w:fldCharType="begin"/>
      </w:r>
      <w:r w:rsidRPr="004E0320">
        <w:rPr>
          <w:i/>
        </w:rPr>
        <w:instrText xml:space="preserve"> TC"(</w:instrText>
      </w:r>
      <w:bookmarkStart w:id="2" w:name="DocNumber"/>
      <w:r w:rsidRPr="004E0320">
        <w:rPr>
          <w:i/>
        </w:rPr>
        <w:instrText>A10-0106/2025</w:instrText>
      </w:r>
      <w:bookmarkEnd w:id="2"/>
      <w:r w:rsidRPr="004E0320">
        <w:rPr>
          <w:i/>
        </w:rPr>
        <w:instrText xml:space="preserve"> - Spravodajca: </w:instrText>
      </w:r>
      <w:proofErr w:type="spellStart"/>
      <w:r w:rsidRPr="004E0320">
        <w:rPr>
          <w:i/>
        </w:rPr>
        <w:instrText>Andreas</w:instrText>
      </w:r>
      <w:proofErr w:type="spellEnd"/>
      <w:r w:rsidRPr="004E0320">
        <w:rPr>
          <w:i/>
        </w:rPr>
        <w:instrText xml:space="preserve"> </w:instrText>
      </w:r>
      <w:proofErr w:type="spellStart"/>
      <w:r w:rsidRPr="004E0320">
        <w:rPr>
          <w:i/>
        </w:rPr>
        <w:instrText>Schieder</w:instrText>
      </w:r>
      <w:proofErr w:type="spellEnd"/>
      <w:r w:rsidRPr="004E0320">
        <w:rPr>
          <w:i/>
        </w:rPr>
        <w:instrText xml:space="preserve">)"\l3 \n&gt; \* MERGEFORMAT </w:instrText>
      </w:r>
      <w:r w:rsidRPr="004E0320">
        <w:rPr>
          <w:i/>
        </w:rPr>
        <w:fldChar w:fldCharType="end"/>
      </w:r>
    </w:p>
    <w:p w14:paraId="34DDDE8C" w14:textId="77777777" w:rsidR="001F7430" w:rsidRPr="004E0320" w:rsidRDefault="001F7430" w:rsidP="001F7430">
      <w:pPr>
        <w:rPr>
          <w:vanish/>
        </w:rPr>
      </w:pPr>
      <w:bookmarkStart w:id="3" w:name="Commission"/>
      <w:r w:rsidRPr="004E0320">
        <w:rPr>
          <w:vanish/>
        </w:rPr>
        <w:t>Výbor pre zahraničné veci</w:t>
      </w:r>
      <w:bookmarkEnd w:id="3"/>
    </w:p>
    <w:p w14:paraId="3EAF6AAA" w14:textId="77777777" w:rsidR="001F7430" w:rsidRPr="004E0320" w:rsidRDefault="001F7430" w:rsidP="001F7430">
      <w:pPr>
        <w:rPr>
          <w:vanish/>
        </w:rPr>
      </w:pPr>
      <w:bookmarkStart w:id="4" w:name="PE"/>
      <w:r w:rsidRPr="004E0320">
        <w:rPr>
          <w:vanish/>
        </w:rPr>
        <w:t>PE769.914</w:t>
      </w:r>
      <w:bookmarkEnd w:id="4"/>
    </w:p>
    <w:p w14:paraId="6A9BD25F" w14:textId="02430DA4" w:rsidR="001F7430" w:rsidRPr="004E0320" w:rsidRDefault="001F7430" w:rsidP="001F7430">
      <w:pPr>
        <w:pStyle w:val="ATHeading3"/>
      </w:pPr>
      <w:bookmarkStart w:id="5" w:name="Sujet"/>
      <w:r w:rsidRPr="004E0320">
        <w:t>Uznesenie Európskeho parlamentu z</w:t>
      </w:r>
      <w:r w:rsidR="00540AAE" w:rsidRPr="004E0320">
        <w:t> 9</w:t>
      </w:r>
      <w:r w:rsidRPr="004E0320">
        <w:t>. júla 2025 o správach Komisie o Albánsku za roky 2023 a 2024</w:t>
      </w:r>
      <w:bookmarkEnd w:id="5"/>
      <w:r w:rsidRPr="004E0320">
        <w:t xml:space="preserve"> </w:t>
      </w:r>
      <w:bookmarkStart w:id="6" w:name="References"/>
      <w:r w:rsidRPr="004E0320">
        <w:t>(2025/2017(INI))</w:t>
      </w:r>
      <w:bookmarkEnd w:id="6"/>
    </w:p>
    <w:p w14:paraId="6172B2ED" w14:textId="77777777" w:rsidR="00120D5B" w:rsidRPr="004E0320" w:rsidRDefault="00120D5B" w:rsidP="00120D5B">
      <w:pPr>
        <w:pStyle w:val="EPComma"/>
      </w:pPr>
      <w:r w:rsidRPr="004E0320">
        <w:rPr>
          <w:i/>
        </w:rPr>
        <w:t>Európsky parlament</w:t>
      </w:r>
      <w:r w:rsidRPr="004E0320">
        <w:t>,</w:t>
      </w:r>
    </w:p>
    <w:p w14:paraId="08471368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 zreteľom na Stabilizačnú a asociačnú dohodu medzi Európskymi spoločenstvami a ich členskými štátmi na jednej strane a Albánskou republikou na strane druhej</w:t>
      </w:r>
      <w:r w:rsidRPr="004E0320">
        <w:rPr>
          <w:rStyle w:val="FootnoteReference"/>
          <w:color w:val="000000"/>
        </w:rPr>
        <w:footnoteReference w:id="1"/>
      </w:r>
      <w:r w:rsidRPr="004E0320">
        <w:t>,</w:t>
      </w:r>
    </w:p>
    <w:p w14:paraId="29C02013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žiadosť Albánska o členstvo v EÚ predloženú 24. apríla 2009,</w:t>
      </w:r>
    </w:p>
    <w:p w14:paraId="4A9B4195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nariadenie Európskeho parlamentu a Rady (EÚ) 2021/1529 z 15. septembra 2021, ktorým sa zriaďuje nástroj predvstupovej pomoci (IPA III)</w:t>
      </w:r>
      <w:r w:rsidRPr="004E0320">
        <w:rPr>
          <w:rStyle w:val="FootnoteReference"/>
          <w:color w:val="000000"/>
        </w:rPr>
        <w:footnoteReference w:id="2"/>
      </w:r>
      <w:r w:rsidRPr="004E0320">
        <w:t>,</w:t>
      </w:r>
    </w:p>
    <w:p w14:paraId="412FD250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nariadenie Európskeho parlamentu a Rady (EÚ) 2024/1449 zo 14. mája 2024 o zriadení Nástroja na podporu reforiem a rastu pre západný Balkán</w:t>
      </w:r>
      <w:r w:rsidRPr="004E0320">
        <w:rPr>
          <w:rStyle w:val="FootnoteReference"/>
          <w:color w:val="000000"/>
        </w:rPr>
        <w:footnoteReference w:id="3"/>
      </w:r>
      <w:r w:rsidRPr="004E0320">
        <w:t>,</w:t>
      </w:r>
    </w:p>
    <w:p w14:paraId="62A41117" w14:textId="4913554B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 xml:space="preserve">so zreteľom na oznámenie Komisie z 5. februára 2020 s názvom Posilnený proces pristúpenia – dôveryhodná perspektíva členstva v EÚ pre západný Balkán </w:t>
      </w:r>
      <w:r w:rsidR="00754596" w:rsidRPr="004E0320">
        <w:t>(</w:t>
      </w:r>
      <w:r w:rsidRPr="004E0320">
        <w:t>COM(2020)0057</w:t>
      </w:r>
      <w:r w:rsidR="00754596" w:rsidRPr="004E0320">
        <w:t>)</w:t>
      </w:r>
      <w:r w:rsidRPr="004E0320">
        <w:t>,</w:t>
      </w:r>
    </w:p>
    <w:p w14:paraId="4B308AE1" w14:textId="45E794F0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 xml:space="preserve">so zreteľom na oznámenie Komisie z 8. novembra 2023 s názvom Oznámenie o politike rozširovania EÚ za rok 2023 </w:t>
      </w:r>
      <w:r w:rsidR="00754596" w:rsidRPr="004E0320">
        <w:t>(</w:t>
      </w:r>
      <w:r w:rsidRPr="004E0320">
        <w:t>COM(2023)0690</w:t>
      </w:r>
      <w:r w:rsidR="00754596" w:rsidRPr="004E0320">
        <w:t>)</w:t>
      </w:r>
      <w:r w:rsidRPr="004E0320">
        <w:t xml:space="preserve"> a na sprievodný pracovný dokument útvarov Komisie s názvom Správa o Albánsku za rok 2023 </w:t>
      </w:r>
      <w:r w:rsidR="00754596" w:rsidRPr="004E0320">
        <w:t>(</w:t>
      </w:r>
      <w:r w:rsidRPr="004E0320">
        <w:t>SWD(2023)0690</w:t>
      </w:r>
      <w:r w:rsidR="00754596" w:rsidRPr="004E0320">
        <w:t>)</w:t>
      </w:r>
      <w:r w:rsidRPr="004E0320">
        <w:t>,</w:t>
      </w:r>
    </w:p>
    <w:p w14:paraId="204CA651" w14:textId="05A9B102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 xml:space="preserve">so zreteľom na oznámenie Komisie z 8. novembra 2023 s názvom Nový plán rastu pre západný Balkán </w:t>
      </w:r>
      <w:r w:rsidR="00754596" w:rsidRPr="004E0320">
        <w:t>(</w:t>
      </w:r>
      <w:r w:rsidRPr="004E0320">
        <w:t>COM(2023)0691</w:t>
      </w:r>
      <w:r w:rsidR="00754596" w:rsidRPr="004E0320">
        <w:t>)</w:t>
      </w:r>
      <w:r w:rsidRPr="004E0320">
        <w:t>,</w:t>
      </w:r>
    </w:p>
    <w:p w14:paraId="37953D54" w14:textId="395AB2C8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 xml:space="preserve">so zreteľom na oznámenie Komisie z 20. marca 2024 o reformách pred rozšírením a o preskúmaní politík </w:t>
      </w:r>
      <w:r w:rsidR="00754596" w:rsidRPr="004E0320">
        <w:t>(</w:t>
      </w:r>
      <w:r w:rsidRPr="004E0320">
        <w:t>COM(2024)0146</w:t>
      </w:r>
      <w:r w:rsidR="00754596" w:rsidRPr="004E0320">
        <w:t>)</w:t>
      </w:r>
      <w:r w:rsidRPr="004E0320">
        <w:t>,</w:t>
      </w:r>
    </w:p>
    <w:p w14:paraId="735E996D" w14:textId="588623F8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 xml:space="preserve">so zreteľom na oznámenie Komisie z 24. júla 2024 s názvom Správa o právnom štáte </w:t>
      </w:r>
      <w:r w:rsidRPr="004E0320">
        <w:lastRenderedPageBreak/>
        <w:t xml:space="preserve">2024 </w:t>
      </w:r>
      <w:r w:rsidR="00754596" w:rsidRPr="004E0320">
        <w:t>(</w:t>
      </w:r>
      <w:r w:rsidRPr="004E0320">
        <w:t>COM(2024)0800</w:t>
      </w:r>
      <w:r w:rsidR="00754596" w:rsidRPr="004E0320">
        <w:t>)</w:t>
      </w:r>
      <w:r w:rsidRPr="004E0320">
        <w:t xml:space="preserve"> a na sprievodný pracovný dokument útvarov Komisie s názvom Správa o právnom štáte 2024 – Kapitola o situácii v oblasti právneho štátu v Albánsku </w:t>
      </w:r>
      <w:r w:rsidR="00754596" w:rsidRPr="004E0320">
        <w:t>(</w:t>
      </w:r>
      <w:r w:rsidRPr="004E0320">
        <w:t>SWD(2024)0828</w:t>
      </w:r>
      <w:r w:rsidR="00754596" w:rsidRPr="004E0320">
        <w:t>)</w:t>
      </w:r>
      <w:r w:rsidRPr="004E0320">
        <w:t>,</w:t>
      </w:r>
    </w:p>
    <w:p w14:paraId="0F30E99B" w14:textId="0CBD6564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 xml:space="preserve">so zreteľom na oznámenie Komisie z 30. októbra 2024 s názvom Oznámenie o politike rozširovania EÚ za rok 2024 </w:t>
      </w:r>
      <w:r w:rsidR="00754596" w:rsidRPr="004E0320">
        <w:t>(</w:t>
      </w:r>
      <w:r w:rsidRPr="004E0320">
        <w:t>COM(2024)0690</w:t>
      </w:r>
      <w:r w:rsidR="00754596" w:rsidRPr="004E0320">
        <w:t>)</w:t>
      </w:r>
      <w:r w:rsidRPr="004E0320">
        <w:t xml:space="preserve"> a na sprievodný pracovný dokument útvarov Komisie s názvom Správa o Albánsku za rok 2024 </w:t>
      </w:r>
      <w:r w:rsidR="00754596" w:rsidRPr="004E0320">
        <w:t>(</w:t>
      </w:r>
      <w:r w:rsidRPr="004E0320">
        <w:t>SWD(2024)0690</w:t>
      </w:r>
      <w:r w:rsidR="00754596" w:rsidRPr="004E0320">
        <w:t>)</w:t>
      </w:r>
      <w:r w:rsidRPr="004E0320">
        <w:t>,</w:t>
      </w:r>
    </w:p>
    <w:p w14:paraId="627E8E49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Program reforiem Albánska, ktorý bol predložený v rámci Nástroja EÚ na podporu reforiem a rastu a ktorý Komisia schválila 23. októbra 2024,</w:t>
      </w:r>
    </w:p>
    <w:p w14:paraId="2C258274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záverečnú správu volebnej pozorovateľskej misie Úradu pre demokratické inštitúcie a ľudské práva (ODIHR) Organizácie pre bezpečnosť a spoluprácu v Európe (OBSE) z 29. septembra 2023 o komunálnych voľbách v Albánsku, ktoré sa konali 14. mája 2023,</w:t>
      </w:r>
    </w:p>
    <w:p w14:paraId="360A6040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–</w:t>
      </w:r>
      <w:r w:rsidRPr="004E0320">
        <w:tab/>
        <w:t>so zreteľom na záverečnú správu z volebnej pozorovateľskej misie OBSE/ODIHR z 26. júla 2021 o parlamentných voľbách v Albánsku, ktoré sa konali 25. apríla 2021,</w:t>
      </w:r>
    </w:p>
    <w:p w14:paraId="471B555C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spoločné stanovisko Benátskej komisie a OBSE/ODIHR z 11. decembra 2020 k zmenám albánskej ústavy z 30. júla 2020 a k zmenám albánskeho volebného zákona z 5. októbra 2020,</w:t>
      </w:r>
    </w:p>
    <w:p w14:paraId="7EA689A7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–</w:t>
      </w:r>
      <w:r w:rsidRPr="004E0320">
        <w:tab/>
        <w:t>so zreteľom na vyhlásenie zo Sofie prijaté 17. mája 2018 na samite EÚ – západný Balkán a na agendu priorít zo Sofie, ktorá je jeho prílohou,</w:t>
      </w:r>
    </w:p>
    <w:p w14:paraId="55FBC6B3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–</w:t>
      </w:r>
      <w:r w:rsidRPr="004E0320">
        <w:tab/>
        <w:t>so zreteľom na vyhlásenie zo Záhrebu prijaté na samite EÚ – západný Balkán, ktorý sa konal 6. mája 2020,</w:t>
      </w:r>
    </w:p>
    <w:p w14:paraId="3702A4C2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vyhlásenia zo samitov EÚ – západný Balkán, ktoré sa konali v Bruseli 13. decembra 2023 a 18. decembra 2024,</w:t>
      </w:r>
    </w:p>
    <w:p w14:paraId="7B77773F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berlínsky proces, ktorý sa začal 28. augusta 2014,</w:t>
      </w:r>
    </w:p>
    <w:p w14:paraId="3126A4BF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–</w:t>
      </w:r>
      <w:r w:rsidRPr="004E0320">
        <w:tab/>
        <w:t>so zreteľom na index slobody tlače z roku 2024, ktorý zostavila organizácia Reportéri bez hraníc,</w:t>
      </w:r>
    </w:p>
    <w:p w14:paraId="328B0CC7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–</w:t>
      </w:r>
      <w:r w:rsidRPr="004E0320">
        <w:tab/>
        <w:t xml:space="preserve">so zreteľom na index vnímania korupcie z roku 2024, ktorý zostavila organizácia </w:t>
      </w:r>
      <w:proofErr w:type="spellStart"/>
      <w:r w:rsidRPr="004E0320">
        <w:t>Transparency</w:t>
      </w:r>
      <w:proofErr w:type="spellEnd"/>
      <w:r w:rsidRPr="004E0320">
        <w:t xml:space="preserve"> International,</w:t>
      </w:r>
    </w:p>
    <w:p w14:paraId="1B75FC85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–</w:t>
      </w:r>
      <w:r w:rsidRPr="004E0320">
        <w:tab/>
        <w:t>so zreteľom na správu Svetového ekonomického fóra o globálnych rodových rozdieloch v roku 2024,</w:t>
      </w:r>
    </w:p>
    <w:p w14:paraId="18654612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svoje predchádzajúce uznesenia o Albánsku,</w:t>
      </w:r>
    </w:p>
    <w:p w14:paraId="003DEC85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článok 55 rokovacieho poriadku,</w:t>
      </w:r>
    </w:p>
    <w:p w14:paraId="62A764D5" w14:textId="77777777" w:rsidR="00120D5B" w:rsidRPr="004E0320" w:rsidRDefault="00120D5B" w:rsidP="00120D5B">
      <w:pPr>
        <w:pStyle w:val="NormalHanging12a"/>
      </w:pPr>
      <w:r w:rsidRPr="004E0320">
        <w:t>–</w:t>
      </w:r>
      <w:r w:rsidRPr="004E0320">
        <w:tab/>
        <w:t>so zreteľom na správu Výboru pre zahraničné veci (A10-0106/2025),</w:t>
      </w:r>
    </w:p>
    <w:p w14:paraId="4ACC005E" w14:textId="77777777" w:rsidR="00120D5B" w:rsidRPr="004E0320" w:rsidRDefault="00120D5B" w:rsidP="00120D5B">
      <w:pPr>
        <w:pStyle w:val="NormalHanging12a"/>
      </w:pPr>
      <w:r w:rsidRPr="004E0320">
        <w:t>A.</w:t>
      </w:r>
      <w:r w:rsidRPr="004E0320">
        <w:tab/>
        <w:t xml:space="preserve">keďže rozširovanie je najúčinnejším nástrojom zahraničnej politiky EÚ a </w:t>
      </w:r>
      <w:proofErr w:type="spellStart"/>
      <w:r w:rsidRPr="004E0320">
        <w:t>geostrategickou</w:t>
      </w:r>
      <w:proofErr w:type="spellEnd"/>
      <w:r w:rsidRPr="004E0320">
        <w:t xml:space="preserve"> investíciou do dlhodobého mieru, demokracie, stability a bezpečnosti na celom kontinente;</w:t>
      </w:r>
    </w:p>
    <w:p w14:paraId="0F3702CC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lastRenderedPageBreak/>
        <w:t>B.</w:t>
      </w:r>
      <w:r w:rsidRPr="004E0320">
        <w:tab/>
        <w:t>keďže EÚ je aj naďalej hlavným politickým a hospodárskym partnerom krajín západného Balkánu; keďže EÚ je naďalej najväčším obchodným a investičným partnerom Albánska a najväčším poskytovateľom finančnej pomoci;</w:t>
      </w:r>
    </w:p>
    <w:p w14:paraId="4C730E1F" w14:textId="77777777" w:rsidR="00120D5B" w:rsidRPr="004E0320" w:rsidRDefault="00120D5B" w:rsidP="00120D5B">
      <w:pPr>
        <w:pStyle w:val="NormalHanging12a"/>
      </w:pPr>
      <w:r w:rsidRPr="004E0320">
        <w:t>C.</w:t>
      </w:r>
      <w:r w:rsidRPr="004E0320">
        <w:tab/>
        <w:t>keďže rozširovanie je proces vychádzajúci z dosiahnutých výsledkov a jeho základom sú demokracia, právny štát a základné práva;</w:t>
      </w:r>
      <w:r w:rsidRPr="004E0320">
        <w:rPr>
          <w:b/>
          <w:i/>
        </w:rPr>
        <w:t xml:space="preserve"> </w:t>
      </w:r>
      <w:r w:rsidRPr="004E0320">
        <w:t xml:space="preserve">keďže pristúpenie Albánska k EÚ závisí od trvalých, hĺbkových a nezvratných reforiem v základných oblastiach, počnúc právnym štátom a fungovaním demokratických inštitúcií; </w:t>
      </w:r>
    </w:p>
    <w:p w14:paraId="74F19612" w14:textId="77777777" w:rsidR="00120D5B" w:rsidRPr="004E0320" w:rsidRDefault="00120D5B" w:rsidP="00120D5B">
      <w:pPr>
        <w:pStyle w:val="NormalHanging12a"/>
      </w:pPr>
      <w:r w:rsidRPr="004E0320">
        <w:t>D.</w:t>
      </w:r>
      <w:r w:rsidRPr="004E0320">
        <w:tab/>
        <w:t>keďže Albánsko je kandidátskou krajinou EÚ od roku 2014, prístupové rokovania začalo v júli 2022 a proces preverovania úspešne ukončilo v novembri 2023;</w:t>
      </w:r>
    </w:p>
    <w:p w14:paraId="7317366F" w14:textId="5463C76B" w:rsidR="00120D5B" w:rsidRPr="004E0320" w:rsidRDefault="00120D5B" w:rsidP="00120D5B">
      <w:pPr>
        <w:pStyle w:val="NormalHanging12a"/>
      </w:pPr>
      <w:r w:rsidRPr="004E0320">
        <w:t>E.</w:t>
      </w:r>
      <w:r w:rsidRPr="004E0320">
        <w:tab/>
        <w:t>keďže Albánsko začalo rokovania o bloku 1: „Základné hodnoty“ 15. októbra 2024</w:t>
      </w:r>
      <w:r w:rsidR="004962CC" w:rsidRPr="004E0320">
        <w:t>,</w:t>
      </w:r>
      <w:r w:rsidRPr="004E0320">
        <w:t xml:space="preserve"> o bloku 6: „Vonkajšie vzťahy“ 17. decembra 2024</w:t>
      </w:r>
      <w:r w:rsidR="00404F68" w:rsidRPr="004E0320">
        <w:t>, o bloku 2: „Vnútorný trh“ 14. apríla 2025 a o bloku 3: Konkurencieschopnosť a inkluzívny rast 22. mája 2025</w:t>
      </w:r>
      <w:r w:rsidRPr="004E0320">
        <w:t>;</w:t>
      </w:r>
    </w:p>
    <w:p w14:paraId="5C9030F1" w14:textId="77777777" w:rsidR="00120D5B" w:rsidRPr="004E0320" w:rsidRDefault="00120D5B" w:rsidP="00120D5B">
      <w:pPr>
        <w:pStyle w:val="NormalHanging12a"/>
      </w:pPr>
      <w:r w:rsidRPr="004E0320">
        <w:t>F.</w:t>
      </w:r>
      <w:r w:rsidRPr="004E0320">
        <w:tab/>
        <w:t>keďže Albánsko je dôveryhodným zahraničnopolitickým partnerom a zabezpečilo úplný súlad so spoločnou zahraničnou a bezpečnostnou politikou EÚ;</w:t>
      </w:r>
    </w:p>
    <w:p w14:paraId="22B267B1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G.</w:t>
      </w:r>
      <w:r w:rsidRPr="004E0320">
        <w:tab/>
        <w:t xml:space="preserve">keďže Albánsko sa stalo cieľom sporných investícií od subjektov z krajín mimo EÚ, ako je Čína a terčom zahraničných kampaní vrátane ruských dezinformácií a zasahovania do volieb, ktorých cieľom je škodiť a vyvolávať nezhody a napätie, podnecovať násilie a destabilizovať celý región; keďže ruské a iránske kybernetické útoky vedené proti Albánsku v rokoch 2022 a 2023 narušili kritické vládne funkcie, čo ilustruje prostredie hybridných hrozieb, ktorým Albánsko čelí pri svojom napredovaní smerom k integrácii do EÚ; </w:t>
      </w:r>
    </w:p>
    <w:p w14:paraId="3140B87C" w14:textId="77777777" w:rsidR="00120D5B" w:rsidRPr="004E0320" w:rsidRDefault="00120D5B" w:rsidP="00120D5B">
      <w:pPr>
        <w:pStyle w:val="NormalHanging12a"/>
      </w:pPr>
      <w:r w:rsidRPr="004E0320">
        <w:t>H.</w:t>
      </w:r>
      <w:r w:rsidRPr="004E0320">
        <w:tab/>
        <w:t xml:space="preserve">keďže vo volebnom systéme Albánska stále pretrvávajú nedostatky a výrazne slabé miesta; keďže odporúčania OBSE/ODIHR na ďalšie zlepšenie organizovanie volieb v Albánsku ešte neboli v plnej miere vyriešené; </w:t>
      </w:r>
    </w:p>
    <w:p w14:paraId="1AF235F4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I.</w:t>
      </w:r>
      <w:r w:rsidRPr="004E0320">
        <w:tab/>
        <w:t xml:space="preserve">keďže Albánsko sa zúčastňuje na misiách a operáciách spoločnej bezpečnostnej a obrannej politiky EÚ vrátane operácie EUFOR </w:t>
      </w:r>
      <w:proofErr w:type="spellStart"/>
      <w:r w:rsidRPr="004E0320">
        <w:t>Althea</w:t>
      </w:r>
      <w:proofErr w:type="spellEnd"/>
      <w:r w:rsidRPr="004E0320">
        <w:t xml:space="preserve"> v Bosne a Hercegovine;</w:t>
      </w:r>
    </w:p>
    <w:p w14:paraId="590CA15D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J.</w:t>
      </w:r>
      <w:r w:rsidRPr="004E0320">
        <w:tab/>
        <w:t xml:space="preserve">keďže ochrana národnostných a etnických menšín je pre ašpirujúce členské štáty EÚ kľúčová; keďže v Albánsku boli prijaté vykonávacie právne predpisy o slobodnom samourčení a používaní menšinových jazykov; </w:t>
      </w:r>
    </w:p>
    <w:p w14:paraId="549750D0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K.</w:t>
      </w:r>
      <w:r w:rsidRPr="004E0320">
        <w:tab/>
        <w:t>keďže ruská útočná vojna proti Ukrajine zdôrazňuje zásadný význam rozšírenia EÚ pre zaistenie bezpečnosti a stability na našom kontinente;</w:t>
      </w:r>
    </w:p>
    <w:p w14:paraId="4C042835" w14:textId="77777777" w:rsidR="00120D5B" w:rsidRPr="004E0320" w:rsidRDefault="00120D5B" w:rsidP="00120D5B">
      <w:pPr>
        <w:pStyle w:val="NormalHanging12a"/>
      </w:pPr>
      <w:r w:rsidRPr="004E0320">
        <w:t>1.</w:t>
      </w:r>
      <w:r w:rsidRPr="004E0320">
        <w:tab/>
        <w:t>víta neutíchajúce odhodlanie Albánska začleniť sa do EÚ, ktoré odráža konsenzus medzi všetkými politickými stranami, tak vládnucimi, ako aj opozičnými stranami a obrovskú podporu občanov, a oceňuje jeho dôsledné úplné zosúladenie so spoločnou zahraničnou a bezpečnostnou politikou EÚ a presadzovanie medzinárodného poriadku založeného na pravidlách vrátane jeho kategorickej reakcie na ruskú útočnú vojnu proti Ukrajine a zosúladenia sa s reštriktívnymi opatreniami EÚ voči Rusku a Bielorusku; uznáva aktívnu úlohu krajiny v regióne a v regionálnych iniciatívach;</w:t>
      </w:r>
    </w:p>
    <w:p w14:paraId="568761A1" w14:textId="05CCC5C7" w:rsidR="00120D5B" w:rsidRPr="004E0320" w:rsidRDefault="00120D5B" w:rsidP="00120D5B">
      <w:pPr>
        <w:pStyle w:val="NormalHanging12a"/>
      </w:pPr>
      <w:r w:rsidRPr="004E0320">
        <w:t>2.</w:t>
      </w:r>
      <w:r w:rsidRPr="004E0320">
        <w:tab/>
        <w:t>víta ambíciu Albánska ukončiť prístupové rokovania do konca roka 2027 a rýchly pokrok dosiahnutý v posledných rokoch, konkrétne otvorenie dvoch blokov rokovacích kapitol v roku 2024</w:t>
      </w:r>
      <w:r w:rsidR="002C4443" w:rsidRPr="004E0320">
        <w:t xml:space="preserve"> a dvoch ďalších blokov doteraz v roku 2025</w:t>
      </w:r>
      <w:r w:rsidRPr="004E0320">
        <w:t xml:space="preserve">; pripomína, že kandidátske krajiny vykonávajú hĺbkové transformácie, aby splnili kritériá členstva </w:t>
      </w:r>
      <w:r w:rsidRPr="004E0320">
        <w:lastRenderedPageBreak/>
        <w:t xml:space="preserve">počas prístupových rokovaní, ktoré trvajú tak dlho, ako treba na vykonanie potrebných reforiem; zdôrazňuje potrebu posilniť transparentnosť, zodpovednosť a </w:t>
      </w:r>
      <w:proofErr w:type="spellStart"/>
      <w:r w:rsidRPr="004E0320">
        <w:t>inkluzívnosť</w:t>
      </w:r>
      <w:proofErr w:type="spellEnd"/>
      <w:r w:rsidRPr="004E0320">
        <w:t xml:space="preserve"> prístupového procesu vrátane jeho parlamentného rozmeru; varuje pred akoukoľvek činnosťou, ktorá by mohla narušiť systém bŕzd a protiváh;</w:t>
      </w:r>
    </w:p>
    <w:p w14:paraId="22B9384E" w14:textId="77777777" w:rsidR="00120D5B" w:rsidRPr="004E0320" w:rsidRDefault="00120D5B" w:rsidP="00120D5B">
      <w:pPr>
        <w:pStyle w:val="NormalHanging12a"/>
      </w:pPr>
      <w:r w:rsidRPr="004E0320">
        <w:t>3.</w:t>
      </w:r>
      <w:r w:rsidRPr="004E0320">
        <w:tab/>
        <w:t xml:space="preserve">konštatuje, že o tempe procesu pristúpenia k EÚ rozhoduje napredovanie kandidátskej krajiny v zbližovaní s </w:t>
      </w:r>
      <w:proofErr w:type="spellStart"/>
      <w:r w:rsidRPr="004E0320">
        <w:rPr>
          <w:i/>
        </w:rPr>
        <w:t>acquis</w:t>
      </w:r>
      <w:proofErr w:type="spellEnd"/>
      <w:r w:rsidRPr="004E0320">
        <w:t xml:space="preserve"> Únie, jej výsledky v jeho implementácii a riadne fungovanie všetkých jej inštitúcií a že jeho základom je právny štát, dobrá správa vecí verejných a dodržiavanie základných práv; naliehavo vyzýva Albánsko, aby urýchlilo reformy s cieľom posilniť právny štát a hospodársky rast, bojovať proti korupcii a organizovanej trestnej činnosti, predchádzať obchodovaniu s ľuďmi, zabezpečiť ochranu základných práv a pokrok v oblasti slobody prejavu, slobody informácií a plurality a nezávislosti médií;</w:t>
      </w:r>
    </w:p>
    <w:p w14:paraId="36B1C182" w14:textId="77777777" w:rsidR="00120D5B" w:rsidRPr="004E0320" w:rsidRDefault="00120D5B" w:rsidP="00120D5B">
      <w:pPr>
        <w:pStyle w:val="NormalHanging12a"/>
      </w:pPr>
      <w:r w:rsidRPr="004E0320">
        <w:t>4.</w:t>
      </w:r>
      <w:r w:rsidRPr="004E0320">
        <w:tab/>
        <w:t>víta nový Nástroj EÚ na podporu reforiem a rastu pre západný Balkán, z ktorého sa Albánsku poskytne 922 miliónov EUR vo forme grantov a úverov, keď splní podmienky stanovené v svojom ambicióznom programe reforiem;</w:t>
      </w:r>
    </w:p>
    <w:p w14:paraId="5C596267" w14:textId="77777777" w:rsidR="00120D5B" w:rsidRPr="004E0320" w:rsidRDefault="00120D5B" w:rsidP="00120D5B">
      <w:pPr>
        <w:pStyle w:val="NormalHanging12a"/>
      </w:pPr>
      <w:r w:rsidRPr="004E0320">
        <w:t>5.</w:t>
      </w:r>
      <w:r w:rsidRPr="004E0320">
        <w:tab/>
        <w:t>berie na vedomie, že Albánsko prijalo národný plán európskej integrácie na roky 2024 – 2026; víta skutočnosť, že Albánsko zriadilo orgány, ktoré zodpovedajú za proces integrácie;</w:t>
      </w:r>
      <w:r w:rsidRPr="004E0320">
        <w:rPr>
          <w:b/>
          <w:i/>
        </w:rPr>
        <w:t xml:space="preserve"> </w:t>
      </w:r>
      <w:r w:rsidRPr="004E0320">
        <w:t>vyzýva na väčšie úsilie o zvýšenie transparentnosti a podporovanie informovania verejnosti o integrácii EÚ;</w:t>
      </w:r>
    </w:p>
    <w:p w14:paraId="6C2102E0" w14:textId="0566FE93" w:rsidR="00120D5B" w:rsidRPr="004E0320" w:rsidRDefault="00120D5B" w:rsidP="00120D5B">
      <w:pPr>
        <w:pStyle w:val="NormalHanging12a"/>
        <w:rPr>
          <w:bCs/>
          <w:iCs/>
        </w:rPr>
      </w:pPr>
      <w:r w:rsidRPr="004E0320">
        <w:t>6.</w:t>
      </w:r>
      <w:r w:rsidRPr="004E0320">
        <w:tab/>
        <w:t>víta rozhodnutie otvoriť vysunuté pracovisko Európskeho parlamentu pre západný Balkán v Tirane; konštatuje, že úrad bude slúžiť ako kľúčový kontaktný bod medzi Európskym parlamentom a národnými parlamentmi, občianskou spoločnosťou a miestnymi partnermi z celého regiónu západného Balkánu;</w:t>
      </w:r>
    </w:p>
    <w:p w14:paraId="49783613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7.</w:t>
      </w:r>
      <w:r w:rsidRPr="004E0320">
        <w:tab/>
        <w:t>víta zapojenie 18 albánskych účastníkov do iniciatívy členov z kandidátskych krajín, ktorú spustil Európsky hospodársky a sociálny výbor a ktorej cieľom je posilniť užšie vzťahy s kandidátskymi krajinami a uľahčiť ich postupnú integráciu do EÚ;</w:t>
      </w:r>
    </w:p>
    <w:p w14:paraId="23BF438E" w14:textId="77777777" w:rsidR="00120D5B" w:rsidRPr="004E0320" w:rsidRDefault="00120D5B" w:rsidP="00120D5B">
      <w:pPr>
        <w:pStyle w:val="NormalHanging12a"/>
        <w:rPr>
          <w:b/>
          <w:i/>
        </w:rPr>
      </w:pPr>
      <w:r w:rsidRPr="004E0320">
        <w:rPr>
          <w:b/>
          <w:i/>
        </w:rPr>
        <w:t>Demokratické inštitúcie, médiá a občianska spoločnosť</w:t>
      </w:r>
    </w:p>
    <w:p w14:paraId="7B8F7174" w14:textId="77777777" w:rsidR="00120D5B" w:rsidRPr="004E0320" w:rsidRDefault="00120D5B" w:rsidP="00120D5B">
      <w:pPr>
        <w:pStyle w:val="NormalHanging12a"/>
      </w:pPr>
      <w:r w:rsidRPr="004E0320">
        <w:t>8.</w:t>
      </w:r>
      <w:r w:rsidRPr="004E0320">
        <w:tab/>
        <w:t>zdôrazňuje význam konštruktívnej politickej diskusie a riadneho parlamentného správania ako kľúčových aspektov demokratickej správy vecí verejných; opätovne potvrdzuje spoločnú zodpovednosť politických síl Albánska za posilnenie konštruktívneho a inkluzívneho politického dialógu a prekonanie pretrvávajúcej silnej politickej polarizácie v krajine; vyjadruje poľutovanie nad neustálymi konfrontáciami a štvavou rétorikou politikov zo všetkých strán a nad konfliktmi medzi vládnucou väčšinou a opozíciou; zdôrazňuje potrebu podporovať politickú kultúru založenú na vzájomnom rešpekte a dodržiavaní demokratických štandardov, zabezpečiť, aby politická súťaž nenarúšala stabilitu inštitúcií a plne rešpektovať význam parlamentarizmu zastavením politických útokov; vyzýva na skutočný dialóg na podporu politickej stability a pokroku, pričom zdôrazňuje, že je potrebný konsenzus medzi stranami o programe integrácie do EÚ a zmysluplné zapojenie občianskej spoločnosti; zdôrazňuje potrebu zefektívnenia parlamentného dohľadu</w:t>
      </w:r>
      <w:r w:rsidRPr="004E0320">
        <w:rPr>
          <w:b/>
          <w:i/>
        </w:rPr>
        <w:t xml:space="preserve"> </w:t>
      </w:r>
      <w:r w:rsidRPr="004E0320">
        <w:t>a zlepšenia fungovania inštitúcií;</w:t>
      </w:r>
    </w:p>
    <w:p w14:paraId="49006B4C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9.</w:t>
      </w:r>
      <w:r w:rsidRPr="004E0320">
        <w:tab/>
        <w:t xml:space="preserve">uznáva rastúcu hrozbu zahraničného škodlivého vplyvu a hybridného zasahovania do fungovania demokratických inštitúcií Albánska; zdôrazňuje, že </w:t>
      </w:r>
      <w:proofErr w:type="spellStart"/>
      <w:r w:rsidRPr="004E0320">
        <w:t>naratívy</w:t>
      </w:r>
      <w:proofErr w:type="spellEnd"/>
      <w:r w:rsidRPr="004E0320">
        <w:t xml:space="preserve"> podporujúce Kremeľ sa snažia narušiť dôveru verejnosti v demokratické inštitúcie a podporiť </w:t>
      </w:r>
      <w:r w:rsidRPr="004E0320">
        <w:lastRenderedPageBreak/>
        <w:t xml:space="preserve">protizápadné nálady; vyzýva Albánsko, aby posilnilo inštitucionálnu odolnosť voči skrytému politickému financovaniu, mediálnej manipulácii a kybernetickým hrozbám, čo má priamy dosah na proces jeho pristúpenia k EÚ; vyzýva inštitúcie EÚ, aby pozorne sledovali vystavovanie Albánska zahraničnému škodlivému vplyvu; </w:t>
      </w:r>
    </w:p>
    <w:p w14:paraId="30211BB3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10.</w:t>
      </w:r>
      <w:r w:rsidRPr="004E0320">
        <w:tab/>
        <w:t xml:space="preserve">víta skutočnosť, že Albánsko zablokovalo ruské dezinformačné domény, ale zdôrazňuje potrebu koordinovaného mechanizmu reakcie EÚ a Albánska na dezinformácie podľa vzoru platformy </w:t>
      </w:r>
      <w:proofErr w:type="spellStart"/>
      <w:r w:rsidRPr="004E0320">
        <w:t>EUvsDisinfo</w:t>
      </w:r>
      <w:proofErr w:type="spellEnd"/>
      <w:r w:rsidRPr="004E0320">
        <w:t xml:space="preserve"> s cieľom rýchlo vyvrátiť a potlačiť </w:t>
      </w:r>
      <w:proofErr w:type="spellStart"/>
      <w:r w:rsidRPr="004E0320">
        <w:t>naratívy</w:t>
      </w:r>
      <w:proofErr w:type="spellEnd"/>
      <w:r w:rsidRPr="004E0320">
        <w:t xml:space="preserve"> Kremľa; obhajuje intenzívnejšiu regionálnu spoluprácu medzi krajinami západného Balkánu s cieľom vymieňať si najlepšie postupy a vypracovať spoločné stratégie boja proti dezinformáciám a zahraničnému zasahovaniu; varuje pred čoraz väčším čínskym vplyvom na štátom podporované médiá v Albánsku; </w:t>
      </w:r>
    </w:p>
    <w:p w14:paraId="01307ABF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11.</w:t>
      </w:r>
      <w:r w:rsidRPr="004E0320">
        <w:tab/>
        <w:t xml:space="preserve">upozorňuje na povinnosť albánskeho parlamentu rešpektovať rozhodnutia ústavného súdu bez zbytočného odkladu; zdôrazňuje základnú a nenahraditeľnú úlohu parlamentu pri dodržiavaní systému bŕzd a protiváh; vyzýva Albánsko, aby zaistilo ozajstnú demokratickú zodpovednosť a silnejšiu a transparentnejšiu správu vecí verejných; </w:t>
      </w:r>
    </w:p>
    <w:p w14:paraId="3BE1A743" w14:textId="4984529A" w:rsidR="00120D5B" w:rsidRPr="004E0320" w:rsidRDefault="00120D5B" w:rsidP="00120D5B">
      <w:pPr>
        <w:pStyle w:val="NormalHanging12a"/>
      </w:pPr>
      <w:r w:rsidRPr="004E0320">
        <w:t>12.</w:t>
      </w:r>
      <w:r w:rsidRPr="004E0320">
        <w:tab/>
        <w:t xml:space="preserve">berie na vedomie zmeny vo volebnom zákone Albánska z júla 2024, ktoré albánskej diaspóre umožňujú voliť zo zahraničia a ktorými sa zavádzajú čiastočne otvorené zoznamy kandidátov; berie na vedomie výsledky parlamentných volieb, ktoré sa konali 11. mája 2025, a zdôrazňuje, že na základe predbežných záverov OBSE/ODIHR boli voľby súťažné a profesionálne zorganizované, prebiehali však vo veľmi polarizovanom prostredí, pričom kandidáti nemali rovnaké podmienky; vyjadruje znepokojenie nad tým, že vládnuca strana mala výhodu vo využívaní rozsiahlych administratívnych zdrojov; </w:t>
      </w:r>
      <w:r w:rsidR="00D74F48" w:rsidRPr="004E0320">
        <w:t xml:space="preserve">konštatuje, že zverejnenie záverečnej správy OBSE/ODIHR, ktorá bude obsahovať záverečné hodnotenie a odporúčania, ktoré sa majú vykonať, sa očakáva v nadchádzajúcich mesiacoch; </w:t>
      </w:r>
      <w:r w:rsidRPr="004E0320">
        <w:t>vyzýva všetky politické strany, aby prejavili politickú vôľu prijať komplexnú a inkluzívnu volebnú reformu tak, aby bolo možné v plnej miere a včas vykonať</w:t>
      </w:r>
      <w:r w:rsidRPr="004E0320">
        <w:rPr>
          <w:b/>
          <w:i/>
        </w:rPr>
        <w:t xml:space="preserve"> </w:t>
      </w:r>
      <w:r w:rsidRPr="004E0320">
        <w:t>všetky odporúčania OBSE/ODIHR a Benátskej komisie vrátane tých, ktoré sa týkajú rámca organizovania volieb a financovania politických strán;</w:t>
      </w:r>
    </w:p>
    <w:p w14:paraId="5ADA7FD2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13.</w:t>
      </w:r>
      <w:r w:rsidRPr="004E0320">
        <w:tab/>
        <w:t xml:space="preserve">vyjadruje poľutovanie nad tým, že došlo k zhoršeniu podmienok fungovania slobodných médií a nezávislých novinárov; so znepokojením berie na vedomie, že na nezávislosť médií a pluralizmus v Albánsku má naďalej vplyv vysoká koncentráciu trhu, prekrývajúce sa obchodné a politické záujmy, nedostatok transparentnosti financovania a vlastníctva, zastrašovanie a neisté pracovné podmienky novinárov; konštatuje, že podľa indexu slobody tlače Reportérov bez hraníc za rok 2024 sa Albánsko umiestnilo na 99. mieste, čo odráža pretrvávajúce problémy súvisiace s koncentráciou vlastníctva médií, politickými zásahmi a hrozbami voči novinárom; zdôrazňuje, že nedostatočná transparentnosť financovania a vlastníckych štruktúr médií zvyšuje riziko redakčnej zaujatosti a prenikania zahraničnej propagandy a podkopáva dôveru verejnosti v žurnalistiku; vyzýva albánske orgány, aby zabezpečili transparentnosť vlastníctva médií a presadzovali politiku nulovej tolerancie prípadov zastrašovania novinárov; vyzýva albánsku vládu, aby podporovala nezávislé platformy na overovanie faktov ako prostriedok na zabezpečenie prístupu verejnosti k presným informáciám a na zachovanie integrity informačného priestoru; </w:t>
      </w:r>
    </w:p>
    <w:p w14:paraId="0B666F5D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14.</w:t>
      </w:r>
      <w:r w:rsidRPr="004E0320">
        <w:tab/>
        <w:t xml:space="preserve">pripomína, že akákoľvek revízia zákonov o médiách by mala byť v súlade s odporúčaniami Benátskej komisie a mala by sa uskutočniť transparentným a inkluzívnym spôsobom po konzultácii s mediálnymi organizáciami s cieľom zlepšiť slobodu médií a samoreguláciu; víta platformu na podporu ochrany žurnalistiky a </w:t>
      </w:r>
      <w:r w:rsidRPr="004E0320">
        <w:lastRenderedPageBreak/>
        <w:t>bezpečnosti novinárov, ktorú zaviedla Rada Európy spolu s EÚ a so sieťou popredných organizácií zaoberajúcich sa slobodou tlače; Vyjadruje</w:t>
      </w:r>
      <w:r w:rsidRPr="004E0320">
        <w:rPr>
          <w:b/>
          <w:i/>
        </w:rPr>
        <w:t xml:space="preserve"> </w:t>
      </w:r>
      <w:r w:rsidRPr="004E0320">
        <w:t xml:space="preserve">poľutovanie nad tým, že pri zosúlaďovaní legislatívneho rámca s </w:t>
      </w:r>
      <w:proofErr w:type="spellStart"/>
      <w:r w:rsidRPr="004E0320">
        <w:rPr>
          <w:i/>
        </w:rPr>
        <w:t>acquis</w:t>
      </w:r>
      <w:proofErr w:type="spellEnd"/>
      <w:r w:rsidRPr="004E0320">
        <w:t xml:space="preserve"> Únie a s normami EÚ, okrem iného európskym aktom o slobode médií</w:t>
      </w:r>
      <w:r w:rsidRPr="004E0320">
        <w:rPr>
          <w:rStyle w:val="FootnoteReference"/>
        </w:rPr>
        <w:footnoteReference w:id="4"/>
      </w:r>
      <w:r w:rsidRPr="004E0320">
        <w:t xml:space="preserve">, nebol dosiahnutý žiadny pokrok; pripomína potrebu posilniť investigatívnu žurnalistiku, overovanie faktov a mediálnu gramotnosť a bojovať proti nenávistným prejavom, dezinformáciám a falošným správam; vyjadruje znepokojenie nad neutíchajúcou štvavou rétorikou vedenou proti médiám, a to aj zo strany vysokopostavených politikov, verejných činiteľov a iných verejných osobností, ktorá podporuje kultúru zastrašovania; dôrazne odsudzuje zvyšujúci sa počet verbálnych útokov na novinárov, ktorí informujú o témach týkajúcich sa právneho štátu a korupcie, ako aj </w:t>
      </w:r>
      <w:proofErr w:type="spellStart"/>
      <w:r w:rsidRPr="004E0320">
        <w:t>mizogýnne</w:t>
      </w:r>
      <w:proofErr w:type="spellEnd"/>
      <w:r w:rsidRPr="004E0320">
        <w:t xml:space="preserve"> obťažovanie na internete, ktorého terčom sú novinárky, či očierňujúce kampane, násilie a nepokoje a žiada, aby sa zabezpečilo, že útočníci budú definitívne odsúdení; vyjadruje poľutovanie nad tým, že trestný zákonník neposkytuje novinárom ochranu pred hrozbami a násilím, vyzýva orgány, aby prijali právny rámec, ktorý bude účinne chrániť novinárov, obhajcov ľudských práv, environmentálnych aktivistov či iné zainteresované strany pred znepokojivým nárastom strategických žalôb proti verejnej účasti, a aby </w:t>
      </w:r>
      <w:proofErr w:type="spellStart"/>
      <w:r w:rsidRPr="004E0320">
        <w:t>dekriminalizovali</w:t>
      </w:r>
      <w:proofErr w:type="spellEnd"/>
      <w:r w:rsidRPr="004E0320">
        <w:t xml:space="preserve"> ohováranie a rešpektovali úlohu nezávislej žurnalistiky ako kľúčovej kontroly moci a k médiám sa správali spôsobom, ktorý rešpektuje demokratické zásady;</w:t>
      </w:r>
    </w:p>
    <w:p w14:paraId="73CAEE9E" w14:textId="77777777" w:rsidR="00120D5B" w:rsidRPr="004E0320" w:rsidRDefault="00120D5B" w:rsidP="00120D5B">
      <w:pPr>
        <w:pStyle w:val="NormalHanging12a"/>
      </w:pPr>
      <w:r w:rsidRPr="004E0320">
        <w:t>15.</w:t>
      </w:r>
      <w:r w:rsidRPr="004E0320">
        <w:tab/>
        <w:t xml:space="preserve">pripomína zodpovednosť vnútroštátnych a miestnych orgánov za zlepšenie transparentnosti, zodpovednosti a </w:t>
      </w:r>
      <w:proofErr w:type="spellStart"/>
      <w:r w:rsidRPr="004E0320">
        <w:t>inkluzívnosti</w:t>
      </w:r>
      <w:proofErr w:type="spellEnd"/>
      <w:r w:rsidRPr="004E0320">
        <w:t xml:space="preserve"> prostredníctvom zmysluplných a pravidelných verejných konzultácií so zainteresovanými stranami; konštatuje so znepokojením, že albánsky parlament naďalej uplatňuje právny rámec týkajúci sa verejných konzultácií predovšetkým len formálne; zdôrazňuje potrebu väčšej transparentnosti, pokiaľ ide o verejné údaje a kľúčové legislatívne projekty; trvá na tom, aby sa zlepšili finančné zdroje, administratívne kapacity a daňová autonómia miestnych orgánov;</w:t>
      </w:r>
    </w:p>
    <w:p w14:paraId="4B310734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16.</w:t>
      </w:r>
      <w:r w:rsidRPr="004E0320">
        <w:tab/>
        <w:t>víta dynamickú a konštruktívnu občiansku spoločnosť Albánska, ktorá zohráva kľúčovú a pozitívnu úlohu v reformnom procese; víta skvalitnenie monitorovania volieb a tiež početnejšie zapojenie zástupcov občianskej spoločnosti do dohľadu nad demokratickým fungovaním; zdôrazňuje, že občianska spoločnosť má zásadný význam pri podpore demokracie a pluralizmu a pri presadzovaní dobrej správy vecí verejných a spoločenského pokroku; nabáda albánsku vládu, aby už od raného štádia a transparentným legislatívnym procesom posilnila úlohu občianskej spoločnosti, vrátane organizácií pre práva žien, v procese pristúpenia k EÚ; vyjadruje poľutovanie nad tým, že organizácie občianskej spoločnosti fungujú v neľahkých podmienkach a dostávajú iba obmedzené množstvo verejných finančných prostriedkov; trvá na tom, aby základy efektívneho systému oslobodenia od DPH vychádzali zo záväzkov, ktoré Albánsko prijalo v rámci dohody o spolupráci medzi EÚ a Albánskom a nástroja IPA III; naliehavo vyzýva orgány, aby urýchlili vypracovanie plánu vládnej politiky na obdobie 2024 – 2027 s cieľom vytvoriť priaznivejšie prostredie pre rozvoj občianskej spoločnosti a aby pozorne monitorovali jeho vykonávanie;</w:t>
      </w:r>
    </w:p>
    <w:p w14:paraId="32EE2DA2" w14:textId="77777777" w:rsidR="00120D5B" w:rsidRPr="004E0320" w:rsidRDefault="00120D5B" w:rsidP="00120D5B">
      <w:pPr>
        <w:ind w:left="567" w:hanging="567"/>
      </w:pPr>
      <w:r w:rsidRPr="004E0320">
        <w:t>17.</w:t>
      </w:r>
      <w:r w:rsidRPr="004E0320">
        <w:tab/>
        <w:t xml:space="preserve">víta vytvorenie novej funkcie štátneho tajomníka pre verejnú správu a boj proti korupcii a zdôrazňuje význam jej efektívneho plnenia, ako aj potrebu realizovania reforiem </w:t>
      </w:r>
      <w:r w:rsidRPr="004E0320">
        <w:lastRenderedPageBreak/>
        <w:t>verejnej správy a opatrení na boj proti korupcii; je však naďalej znepokojený tým, že v oblasti reformy verejnej správy sa dosiahol len obmedzený pokrok; trvá na tom, aby albánske orgány účinne uplatňovali ustanovenia o prijímaní zamestnancov na základe zásluh a preskúmali účinnosť súčasných monitorovacích štruktúr pre novú verejnú správu a protikorupčné reformy; zdôrazňuje potrebu podporovať kultúru zodpovednosti, nestranný prístup k verejným informáciám a kontrolu verejných inštitúcií vrátane realizácie programu reforiem; konštatuje, že verejné subjekty musia zlepšiť dodržiavanie požiadaviek transparentnosti a lepšie reagovať na žiadosti o informácie;</w:t>
      </w:r>
    </w:p>
    <w:p w14:paraId="76596E39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18.</w:t>
      </w:r>
      <w:r w:rsidRPr="004E0320">
        <w:tab/>
        <w:t xml:space="preserve">vyjadruje poľutovanie nad tým, že sa dosiahol len obmedzený pokrok pri zosúlaďovaní právneho rámca pre verejné obstarávanie s </w:t>
      </w:r>
      <w:proofErr w:type="spellStart"/>
      <w:r w:rsidRPr="004E0320">
        <w:rPr>
          <w:i/>
        </w:rPr>
        <w:t>acquis</w:t>
      </w:r>
      <w:proofErr w:type="spellEnd"/>
      <w:r w:rsidRPr="004E0320">
        <w:t xml:space="preserve"> EÚ; vyjadruje obavy v súvislosti s novozavedenými dočasnými výnimkami v zákone o verejnom obstarávaní; vyzýva albánske orgány, aby zlepšili súťažné postupy verejného obstarávania v súlade s </w:t>
      </w:r>
      <w:proofErr w:type="spellStart"/>
      <w:r w:rsidRPr="004E0320">
        <w:rPr>
          <w:i/>
        </w:rPr>
        <w:t>acquis</w:t>
      </w:r>
      <w:proofErr w:type="spellEnd"/>
      <w:r w:rsidRPr="004E0320">
        <w:t xml:space="preserve"> EÚ; </w:t>
      </w:r>
    </w:p>
    <w:p w14:paraId="5FE680C2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19.</w:t>
      </w:r>
      <w:r w:rsidRPr="004E0320">
        <w:tab/>
        <w:t xml:space="preserve">víta pokrok, ktorý Albánsko dosiahlo pri zlepšovaní prenosu údajov do </w:t>
      </w:r>
      <w:proofErr w:type="spellStart"/>
      <w:r w:rsidRPr="004E0320">
        <w:t>Eurostatu</w:t>
      </w:r>
      <w:proofErr w:type="spellEnd"/>
      <w:r w:rsidRPr="004E0320">
        <w:t xml:space="preserve">; </w:t>
      </w:r>
    </w:p>
    <w:p w14:paraId="28E67CA7" w14:textId="77777777" w:rsidR="00120D5B" w:rsidRPr="004E0320" w:rsidRDefault="00120D5B" w:rsidP="00120D5B">
      <w:pPr>
        <w:pStyle w:val="NormalHanging12a"/>
        <w:rPr>
          <w:b/>
          <w:i/>
        </w:rPr>
      </w:pPr>
      <w:r w:rsidRPr="004E0320">
        <w:rPr>
          <w:b/>
          <w:i/>
        </w:rPr>
        <w:t>Základné práva</w:t>
      </w:r>
    </w:p>
    <w:p w14:paraId="2D48D4E8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20.</w:t>
      </w:r>
      <w:r w:rsidRPr="004E0320">
        <w:tab/>
        <w:t>konštatuje, že právny rámec Albánska týkajúci sa rodovo podmieneného násilia zatiaľ nie je v plnej miere v súlade s Istanbulským dohovorom; vyjadruje vážne znepokojenie nad tým, že násilie na ženách je naďalej pálčivým problémom a vrážd žien je stále veľmi veľa; víta zriadenie úradu ombudsmana pre monitorovanie vrážd žien;</w:t>
      </w:r>
      <w:r w:rsidRPr="004E0320">
        <w:rPr>
          <w:b/>
          <w:i/>
        </w:rPr>
        <w:t xml:space="preserve"> </w:t>
      </w:r>
      <w:r w:rsidRPr="004E0320">
        <w:t>naliehavo vyzýva na posilnenie podporných služieb pre obete, najmä v oblasti zdravotnej starostlivosti, finančnej pomoci na bývanie, bezplatnej právnej pomoci, a ich opätovné začlenenie a rehabilitáciu; zdôrazňuje, že je potrebné zvýšiť finančnú a inštitucionálnu podporu, ktorá sa má poskytnúť na programy prevencie, osvetové kampane a kurzy špecializovanej odbornej prípravy orgánov presadzovania práva a justičných orgánov, s cieľom zabezpečiť prístup zameraný na obete;</w:t>
      </w:r>
    </w:p>
    <w:p w14:paraId="5E1C91A2" w14:textId="77777777" w:rsidR="00120D5B" w:rsidRPr="004E0320" w:rsidRDefault="00120D5B" w:rsidP="00120D5B">
      <w:pPr>
        <w:pStyle w:val="NormalHanging12a"/>
        <w:rPr>
          <w:bCs/>
          <w:iCs/>
        </w:rPr>
      </w:pPr>
      <w:r w:rsidRPr="004E0320">
        <w:t>21.</w:t>
      </w:r>
      <w:r w:rsidRPr="004E0320">
        <w:tab/>
        <w:t xml:space="preserve">vyjadruje znepokojenie nad pretrvávajúcimi nedostatkami, ako je nesúlad alebo len čiastočný súlad s </w:t>
      </w:r>
      <w:proofErr w:type="spellStart"/>
      <w:r w:rsidRPr="004E0320">
        <w:rPr>
          <w:i/>
        </w:rPr>
        <w:t>acquis</w:t>
      </w:r>
      <w:proofErr w:type="spellEnd"/>
      <w:r w:rsidRPr="004E0320">
        <w:t xml:space="preserve"> Únie, pokiaľ ide o osoby so zdravotným postihnutím a rodovú rovnosť; uznáva, že je potrebné, aby Albánsko plne zosúladilo svoj právny rámec týkajúci sa rodovo motivovaného násilia s Istanbulským dohovorom; upozorňuje, že podľa správy Svetového ekonomického fóra o globálnych rodových rozdieloch z roku 2024 sa Albánsko prepadlo o šesť miest na 23. miesto na svete, čo svedčí o prehlbujúcich sa rodových rozdieloch; vyjadruje vážne znepokojenie nad tým, že násilie na ženách je naďalej pálčivým problémom a vrážd žien je stále veľmi veľa; vyzýva na úplné a efektívne vykonávanie existujúcich právnych predpisov vrátane prísnejšieho presadzovania ochranných opatrení a lepšej reakcie súdov na prípady rodovo motivovaného násilia, ako sa zdôrazňuje v správe Európskej komisie o Albánsku za rok 2024;</w:t>
      </w:r>
    </w:p>
    <w:p w14:paraId="090BED64" w14:textId="77777777" w:rsidR="00120D5B" w:rsidRPr="004E0320" w:rsidRDefault="00120D5B" w:rsidP="00120D5B">
      <w:pPr>
        <w:pStyle w:val="NormalHanging12a"/>
      </w:pPr>
      <w:r w:rsidRPr="004E0320">
        <w:t>22.</w:t>
      </w:r>
      <w:r w:rsidRPr="004E0320">
        <w:tab/>
        <w:t xml:space="preserve">víta prijatie nového a lepšie financovaného národného akčného plánu pre LGBTI+ osoby; vyjadruje však poľutovanie nad tým, že nedošlo k žiadnemu pokroku pri prijímaní potrebnej legislatívy v tejto oblasti, a vyzýva orgány, aby prijali potrebné právne predpisy o uznávaní rodovej identity a pohlavných znakov, ako aj o partnerstvách/manželstvách osôb rovnakého pohlavia; vyjadruje poľutovanie nad skutočnosťou, že LGBTI+ osoby sú naďalej vystavované hrozbám a hanlivým mediálnym kampaniam a verejné inštitúcie im neposkytujú primeranú ochranu; konštatuje, že ženy žijúce vo vidieckych a odľahlých oblastiach, rómske a egyptské ženy a LGBTI+ osoby majú naďalej obmedzený prístup k základnej zdravotnej starostlivosti; naliehavo vyzýva verejné inštitúcie, aby ukázali pevné odhodlanie chrániť </w:t>
      </w:r>
      <w:r w:rsidRPr="004E0320">
        <w:lastRenderedPageBreak/>
        <w:t xml:space="preserve">práva LGBTI+ osôb a aby rázne zakročili proti diskriminácii a nenávistným prejavom voči komunite LGBTI+; </w:t>
      </w:r>
    </w:p>
    <w:p w14:paraId="6281D466" w14:textId="2ECEF2D1" w:rsidR="00F77B36" w:rsidRPr="004E0320" w:rsidRDefault="00192A21" w:rsidP="00120D5B">
      <w:pPr>
        <w:pStyle w:val="NormalHanging12a"/>
        <w:rPr>
          <w:bCs/>
          <w:iCs/>
        </w:rPr>
      </w:pPr>
      <w:r w:rsidRPr="004E0320">
        <w:rPr>
          <w:bCs/>
          <w:iCs/>
        </w:rPr>
        <w:t>23</w:t>
      </w:r>
      <w:r w:rsidR="00F77B36" w:rsidRPr="004E0320">
        <w:rPr>
          <w:bCs/>
          <w:iCs/>
        </w:rPr>
        <w:t>.</w:t>
      </w:r>
      <w:r w:rsidR="00F77B36" w:rsidRPr="004E0320">
        <w:rPr>
          <w:bCs/>
          <w:iCs/>
        </w:rPr>
        <w:tab/>
        <w:t xml:space="preserve">vyzýva Albánsko, aby plne rešpektovalo autonómiu pravoslávnej </w:t>
      </w:r>
      <w:proofErr w:type="spellStart"/>
      <w:r w:rsidR="00F77B36" w:rsidRPr="004E0320">
        <w:rPr>
          <w:bCs/>
          <w:iCs/>
        </w:rPr>
        <w:t>autokefálnej</w:t>
      </w:r>
      <w:proofErr w:type="spellEnd"/>
      <w:r w:rsidR="00F77B36" w:rsidRPr="004E0320">
        <w:rPr>
          <w:bCs/>
          <w:iCs/>
        </w:rPr>
        <w:t xml:space="preserve"> cirkvi Albánska a zdržalo sa akýchkoľvek krokov, ktoré oslabujú jej slobodu náboženského prejavu alebo vlastnícke práva; vyzýva na ukončenie zasahovania do vymenúvania cirkevných činiteľov a na dialóg s náboženskými orgánmi s cieľom chrániť náboženský pluralizmus;</w:t>
      </w:r>
    </w:p>
    <w:p w14:paraId="299EBA45" w14:textId="7CD37AA3" w:rsidR="00120D5B" w:rsidRPr="004E0320" w:rsidRDefault="00192A21" w:rsidP="00550DE8">
      <w:pPr>
        <w:pStyle w:val="NormalHanging12a"/>
      </w:pPr>
      <w:r w:rsidRPr="004E0320">
        <w:t>24</w:t>
      </w:r>
      <w:r w:rsidR="00120D5B" w:rsidRPr="004E0320">
        <w:t>.</w:t>
      </w:r>
      <w:r w:rsidR="00120D5B" w:rsidRPr="004E0320">
        <w:tab/>
        <w:t xml:space="preserve">víta prijatie pripravovaných vykonávacích právnych predpisov o právach osôb patriacich k menšinám, najmä o </w:t>
      </w:r>
      <w:proofErr w:type="spellStart"/>
      <w:r w:rsidR="00120D5B" w:rsidRPr="004E0320">
        <w:t>sebaidentifikácii</w:t>
      </w:r>
      <w:proofErr w:type="spellEnd"/>
      <w:r w:rsidR="00120D5B" w:rsidRPr="004E0320">
        <w:t xml:space="preserve"> a používaní menšinových jazykov, </w:t>
      </w:r>
      <w:r w:rsidR="00E26334" w:rsidRPr="004E0320">
        <w:t xml:space="preserve">a to aj na úrovni miestnych samosprávnych jednotiek </w:t>
      </w:r>
      <w:r w:rsidR="00120D5B" w:rsidRPr="004E0320">
        <w:t xml:space="preserve">a zdôrazňuje, že tieto podzákonné predpisy sa musia v plnej miere a účinne vykonávať, aby sa menšinové práva a práva v oblasti vzdelávania mohli uplatňovať v praxi; vyzýva orgány, aby </w:t>
      </w:r>
      <w:r w:rsidR="00E26334" w:rsidRPr="004E0320">
        <w:t xml:space="preserve">zabezpečili účinné vykonávanie predpisov, najmä pridelením adekvátnych zdrojov ústredným agentúram a miestnej samospráve; vyzýva orgány, aby zaručili, že dôjde k preskúmaniu procesu výberu členov Výboru pre národnostné menšiny v súlade s odporúčaniami Komisie a Poradného výboru pre Rámcový dohovor na ochranu národnostných menšín; vyzýva orgány, aby </w:t>
      </w:r>
      <w:r w:rsidR="00120D5B" w:rsidRPr="004E0320">
        <w:t>posilnili kapacity Štátneho výboru pre národnostné menšiny</w:t>
      </w:r>
      <w:r w:rsidR="00E26334" w:rsidRPr="004E0320">
        <w:t xml:space="preserve"> a zabezpečili, aby bol plne funkčný a disponoval adekvátnymi zdrojmi</w:t>
      </w:r>
      <w:r w:rsidR="00120D5B" w:rsidRPr="004E0320">
        <w:t xml:space="preserve">; vyjadruje znepokojenie nad pretrvávajúcimi problémami diskriminácie a sociálneho vylúčenia, ktoré postihujú menšiny v Albánsku; vyzýva albánsku vládu, aby v plnej miere rešpektovala a chránila ľudské práva vrátane práv menšín a aby zabezpečila, že všetky obvinenia z porušovania ľudských práv vrátane nenávistných prejavov budú okamžite a dôkladne vyšetrené; naliehavo vyzýva albánske orgány, aby posilnili inštitucionálne mechanizmy na predchádzanie diskriminácii a zabezpečili zmysluplnú politickú účasť všetkých komunít v súlade s odporúčaniami správy Komisie o Albánsku za rok 2024; vyzýva Albánsko, aby chránilo a podporovalo kultúrne dedičstvo, jazyky a tradície svojich národnostných menšín; vyzýva Albánsko, aby zabezpečilo vzdelávanie </w:t>
      </w:r>
      <w:r w:rsidR="00121498" w:rsidRPr="004E0320">
        <w:t xml:space="preserve">národnostným menšinám </w:t>
      </w:r>
      <w:r w:rsidR="00120D5B" w:rsidRPr="004E0320">
        <w:t xml:space="preserve">v </w:t>
      </w:r>
      <w:r w:rsidR="00121498" w:rsidRPr="004E0320">
        <w:t xml:space="preserve">ich materinskom jazyku vrátane primeraného základného a stredoškolského vzdelávania v gréčtine v regiónoch, ktoré tradične obýva grécka národnostná menšina, a aby </w:t>
      </w:r>
      <w:r w:rsidR="00120D5B" w:rsidRPr="004E0320">
        <w:t xml:space="preserve">zabezpečilo </w:t>
      </w:r>
      <w:r w:rsidR="00121498" w:rsidRPr="004E0320">
        <w:t xml:space="preserve">neobmedzovaný </w:t>
      </w:r>
      <w:r w:rsidR="00120D5B" w:rsidRPr="004E0320">
        <w:t xml:space="preserve">prístup k štátnemu </w:t>
      </w:r>
      <w:r w:rsidR="00121498" w:rsidRPr="004E0320">
        <w:t xml:space="preserve">základnému, stredoškolskému a vysokoškolskému </w:t>
      </w:r>
      <w:r w:rsidR="00120D5B" w:rsidRPr="004E0320">
        <w:t xml:space="preserve">vzdelávaniu </w:t>
      </w:r>
      <w:r w:rsidR="00121498" w:rsidRPr="004E0320">
        <w:t>pre všetkých svojich občanov</w:t>
      </w:r>
      <w:r w:rsidR="00E26334" w:rsidRPr="004E0320">
        <w:t xml:space="preserve"> v celej krajine, a tým plne vykonalo príslušnú legislatívu</w:t>
      </w:r>
      <w:r w:rsidR="00120D5B" w:rsidRPr="004E0320">
        <w:t>; </w:t>
      </w:r>
    </w:p>
    <w:p w14:paraId="55E8D7E6" w14:textId="5814BA9F" w:rsidR="00B64130" w:rsidRPr="004E0320" w:rsidRDefault="00192A21" w:rsidP="00550DE8">
      <w:pPr>
        <w:pStyle w:val="NormalHanging12a"/>
        <w:rPr>
          <w:bCs/>
          <w:iCs/>
        </w:rPr>
      </w:pPr>
      <w:r w:rsidRPr="004E0320">
        <w:rPr>
          <w:bCs/>
          <w:iCs/>
        </w:rPr>
        <w:t>25</w:t>
      </w:r>
      <w:r w:rsidR="00B64130" w:rsidRPr="004E0320">
        <w:rPr>
          <w:bCs/>
          <w:iCs/>
        </w:rPr>
        <w:t>.</w:t>
      </w:r>
      <w:r w:rsidR="00B64130" w:rsidRPr="004E0320">
        <w:rPr>
          <w:bCs/>
          <w:iCs/>
        </w:rPr>
        <w:tab/>
        <w:t>vyzýva Albánsko, aby chránilo a zachovávalo náboženské a kultúrne dedičstvo gréckej pravoslávnej menšiny, a to aj prostredníctvom obnovy a právneho uznania kostolov a cintorínov; vyzýva orgány, aby sa zdržali vyvlastňovania alebo demolácie majetku, ktorý má pre grécku menšinu historický alebo kultúrny význam;</w:t>
      </w:r>
    </w:p>
    <w:p w14:paraId="04160DD5" w14:textId="2E4845E5" w:rsidR="00120D5B" w:rsidRPr="004E0320" w:rsidRDefault="00192A21" w:rsidP="00120D5B">
      <w:pPr>
        <w:pStyle w:val="NormalHanging12a"/>
      </w:pPr>
      <w:r w:rsidRPr="004E0320">
        <w:t>26</w:t>
      </w:r>
      <w:r w:rsidR="00120D5B" w:rsidRPr="004E0320">
        <w:t>.</w:t>
      </w:r>
      <w:r w:rsidR="00120D5B" w:rsidRPr="004E0320">
        <w:tab/>
        <w:t xml:space="preserve">pripomína, že Albánsko by malo zabezpečiť právo na vlastníctvo najmä tým, že dosiahne rozhodujúci pokrok v oblasti prvej registrácie a odškodnenia, zlepší transparentnosť štátneho katastra a kvalitu údajov katastra nehnuteľností a zabezpečí, aby sa v prípadoch vyvlastnenia a odstránenia nehnuteľností dodržiavalo právo na spravodlivý proces a právo na účinný opravný prostriedok; </w:t>
      </w:r>
    </w:p>
    <w:p w14:paraId="75889797" w14:textId="25AE3DC1" w:rsidR="00D677E2" w:rsidRPr="004E0320" w:rsidRDefault="00192A21" w:rsidP="00120D5B">
      <w:pPr>
        <w:pStyle w:val="NormalHanging12a"/>
        <w:rPr>
          <w:bCs/>
          <w:iCs/>
        </w:rPr>
      </w:pPr>
      <w:r w:rsidRPr="004E0320">
        <w:rPr>
          <w:bCs/>
          <w:iCs/>
        </w:rPr>
        <w:t>27</w:t>
      </w:r>
      <w:r w:rsidR="00D677E2" w:rsidRPr="004E0320">
        <w:rPr>
          <w:bCs/>
          <w:iCs/>
        </w:rPr>
        <w:t>.</w:t>
      </w:r>
      <w:r w:rsidR="00D677E2" w:rsidRPr="004E0320">
        <w:rPr>
          <w:bCs/>
          <w:iCs/>
        </w:rPr>
        <w:tab/>
        <w:t>nabáda albánsku vládu, aby riešila a naprávala neprávosti, ktoré komunistický režim páchal voči všetkým náboženským skupinám;</w:t>
      </w:r>
    </w:p>
    <w:p w14:paraId="5FC91DFD" w14:textId="2883ED9B" w:rsidR="00D677E2" w:rsidRPr="004E0320" w:rsidRDefault="00192A21" w:rsidP="00120D5B">
      <w:pPr>
        <w:pStyle w:val="NormalHanging12a"/>
        <w:rPr>
          <w:bCs/>
          <w:iCs/>
        </w:rPr>
      </w:pPr>
      <w:r w:rsidRPr="004E0320">
        <w:rPr>
          <w:bCs/>
          <w:iCs/>
        </w:rPr>
        <w:t>28</w:t>
      </w:r>
      <w:r w:rsidR="00D677E2" w:rsidRPr="004E0320">
        <w:rPr>
          <w:bCs/>
          <w:iCs/>
        </w:rPr>
        <w:t>.</w:t>
      </w:r>
      <w:r w:rsidR="00D677E2" w:rsidRPr="004E0320">
        <w:rPr>
          <w:bCs/>
          <w:iCs/>
        </w:rPr>
        <w:tab/>
        <w:t xml:space="preserve">vyjadruje znepokojenie nad pomalými reštitúciami majetku cirkví, ktorý bol skonfiškovaný komunistami; so znepokojením dodáva, že napriek početným žiadostiam náboženských obcí albánska vláda nevrátila všetky posvätné predmety, relikvie, ikony </w:t>
      </w:r>
      <w:r w:rsidR="00D677E2" w:rsidRPr="004E0320">
        <w:rPr>
          <w:bCs/>
          <w:iCs/>
        </w:rPr>
        <w:lastRenderedPageBreak/>
        <w:t>či archívne predmety skonfiškované počas komunistického režimu</w:t>
      </w:r>
      <w:r w:rsidR="00D677E2" w:rsidRPr="004E0320">
        <w:rPr>
          <w:rStyle w:val="FootnoteReference"/>
          <w:bCs/>
          <w:iCs/>
        </w:rPr>
        <w:footnoteReference w:id="5"/>
      </w:r>
      <w:r w:rsidR="00D677E2" w:rsidRPr="004E0320">
        <w:rPr>
          <w:bCs/>
          <w:iCs/>
        </w:rPr>
        <w:t>;</w:t>
      </w:r>
    </w:p>
    <w:p w14:paraId="5D1D5049" w14:textId="683F1AA3" w:rsidR="00120D5B" w:rsidRPr="004E0320" w:rsidRDefault="00192A21" w:rsidP="00120D5B">
      <w:pPr>
        <w:pStyle w:val="NormalHanging12a"/>
        <w:rPr>
          <w:bCs/>
          <w:iCs/>
        </w:rPr>
      </w:pPr>
      <w:r w:rsidRPr="004E0320">
        <w:t>29</w:t>
      </w:r>
      <w:r w:rsidR="00120D5B" w:rsidRPr="004E0320">
        <w:t>.</w:t>
      </w:r>
      <w:r w:rsidR="00120D5B" w:rsidRPr="004E0320">
        <w:tab/>
        <w:t xml:space="preserve">vyzýva na zvýšenie investícií do modernizácie systému vzdelávania s cieľom zaručiť jeho kvalitu a </w:t>
      </w:r>
      <w:proofErr w:type="spellStart"/>
      <w:r w:rsidR="00120D5B" w:rsidRPr="004E0320">
        <w:t>inkluzívnosť</w:t>
      </w:r>
      <w:proofErr w:type="spellEnd"/>
      <w:r w:rsidR="00120D5B" w:rsidRPr="004E0320">
        <w:t xml:space="preserve">; vyzýva Albánsko, aby zaviedlo opatrenia na podporu príležitostí v oblasti zamestnanosti a vzdelávania pre osoby so zdravotným postihnutím; </w:t>
      </w:r>
    </w:p>
    <w:p w14:paraId="489DEB4B" w14:textId="0A5F6B43" w:rsidR="00120D5B" w:rsidRPr="004E0320" w:rsidRDefault="00192A21" w:rsidP="00120D5B">
      <w:pPr>
        <w:pStyle w:val="NormalHanging12a"/>
      </w:pPr>
      <w:r w:rsidRPr="004E0320">
        <w:t>30</w:t>
      </w:r>
      <w:r w:rsidR="00120D5B" w:rsidRPr="004E0320">
        <w:t>.</w:t>
      </w:r>
      <w:r w:rsidR="00120D5B" w:rsidRPr="004E0320">
        <w:tab/>
      </w:r>
      <w:r w:rsidR="00F644A7" w:rsidRPr="004E0320">
        <w:t xml:space="preserve">víta uskutočnenie </w:t>
      </w:r>
      <w:r w:rsidR="00120D5B" w:rsidRPr="004E0320">
        <w:t xml:space="preserve">sčítania obyvateľstva </w:t>
      </w:r>
      <w:r w:rsidR="00F644A7" w:rsidRPr="004E0320">
        <w:t>v roku 2023 v Albánsku; vyzýva orgány, aby zverejnili podrobné údaje a tematickú analýzu v súlade s odporúčaním Komisie, ktoré uviedla vo svojej správe o Albánsku za rok 2024</w:t>
      </w:r>
      <w:r w:rsidR="00120D5B" w:rsidRPr="004E0320">
        <w:t xml:space="preserve">; </w:t>
      </w:r>
    </w:p>
    <w:p w14:paraId="6D586FDD" w14:textId="09A2A895" w:rsidR="00120D5B" w:rsidRPr="004E0320" w:rsidRDefault="00192A21" w:rsidP="00120D5B">
      <w:pPr>
        <w:pStyle w:val="NormalHanging12a"/>
      </w:pPr>
      <w:r w:rsidRPr="004E0320">
        <w:t>31</w:t>
      </w:r>
      <w:r w:rsidR="00120D5B" w:rsidRPr="004E0320">
        <w:t>.</w:t>
      </w:r>
      <w:r w:rsidR="00120D5B" w:rsidRPr="004E0320">
        <w:tab/>
        <w:t xml:space="preserve">víta prijatie zákona o ochrane osobných údajov, ktorého cieľom je dosiahnuť úplný súlad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Únie; vyjadruje uznanie albánskym orgánom za prijatie vykonávacích právnych predpisov o postupe a spravodlivej odmene za používanie osirotených diel a databázy diel chránených autorským právom, no zároveň má vážne obavy, pokiaľ ide o spracovanie osobných údajov a nedostatky v IT systémoch; vyzýva albánske orgány, aby posilnili záruky proti porušovaniu ochrany údajov, zlepšili prevenciu a informovanosť verejnosti a zlepšili inštitucionálne kapacity s cieľom účinne vykonávať nový zákon o ochrane osobných údajov; vyzýva Albánsko, aby pokračovalo v spolupráci s Úradom EÚ pre duševné vlastníctvo; </w:t>
      </w:r>
    </w:p>
    <w:p w14:paraId="74C86665" w14:textId="402A1B4B" w:rsidR="00120D5B" w:rsidRPr="004E0320" w:rsidRDefault="00192A21" w:rsidP="00120D5B">
      <w:pPr>
        <w:pStyle w:val="NormalHanging12a"/>
        <w:rPr>
          <w:bCs/>
          <w:iCs/>
        </w:rPr>
      </w:pPr>
      <w:r w:rsidRPr="004E0320">
        <w:t>32</w:t>
      </w:r>
      <w:r w:rsidR="00120D5B" w:rsidRPr="004E0320">
        <w:t>.</w:t>
      </w:r>
      <w:r w:rsidR="00120D5B" w:rsidRPr="004E0320">
        <w:tab/>
        <w:t xml:space="preserve">uznáva posilnenie spolupráce medzi Albánskom a EÚ pri riadení migračných tokov a kontrole hraníc, najmä prostredníctvom novej národnej stratégie v oblasti migrácie na roky 2024-2026 a spolupráce s agentúrou </w:t>
      </w:r>
      <w:proofErr w:type="spellStart"/>
      <w:r w:rsidR="00120D5B" w:rsidRPr="004E0320">
        <w:t>Frontex</w:t>
      </w:r>
      <w:proofErr w:type="spellEnd"/>
      <w:r w:rsidR="00120D5B" w:rsidRPr="004E0320">
        <w:t>; berie na vedomie memorandum o porozumení medzi Talianskom a Albánskom;</w:t>
      </w:r>
    </w:p>
    <w:p w14:paraId="470D2D4C" w14:textId="77777777" w:rsidR="00120D5B" w:rsidRPr="004E0320" w:rsidRDefault="00120D5B" w:rsidP="00120D5B">
      <w:pPr>
        <w:pStyle w:val="NormalHanging12a"/>
        <w:rPr>
          <w:b/>
          <w:i/>
        </w:rPr>
      </w:pPr>
      <w:r w:rsidRPr="004E0320">
        <w:rPr>
          <w:b/>
          <w:i/>
        </w:rPr>
        <w:t>Právny štát</w:t>
      </w:r>
    </w:p>
    <w:p w14:paraId="5F8F9925" w14:textId="2A65EACF" w:rsidR="00120D5B" w:rsidRPr="004E0320" w:rsidRDefault="00192A21" w:rsidP="00120D5B">
      <w:pPr>
        <w:pStyle w:val="NormalHanging12a"/>
        <w:rPr>
          <w:bCs/>
          <w:iCs/>
        </w:rPr>
      </w:pPr>
      <w:r w:rsidRPr="004E0320">
        <w:t>33</w:t>
      </w:r>
      <w:r w:rsidR="00120D5B" w:rsidRPr="004E0320">
        <w:t>.</w:t>
      </w:r>
      <w:r w:rsidR="00120D5B" w:rsidRPr="004E0320">
        <w:tab/>
        <w:t>oceňuje pokrok, ktorý Albánsko dosiahlo pri realizácii reforiem súdnictva zameraných na posilnenie nezávislosti, transparentnosti a zodpovednosti súdnictva vrátane procesu preverovania dokončeného na prvom stupni; víta nový</w:t>
      </w:r>
      <w:r w:rsidR="00120D5B" w:rsidRPr="004E0320">
        <w:rPr>
          <w:b/>
          <w:i/>
        </w:rPr>
        <w:t xml:space="preserve"> </w:t>
      </w:r>
      <w:r w:rsidR="00120D5B" w:rsidRPr="004E0320">
        <w:t xml:space="preserve">rozsiahly reformný proces s názvom Dobrá správa vecí verejných, právny štát a boj proti korupcii v Albánsku do roku 2030“, ktorý inicioval albánsky parlament; zdôrazňuje, že akákoľvek iniciatíva, ktorá má posilniť správu vecí verejných, právny štát a protikorupčné úsilie, musí byť založená na </w:t>
      </w:r>
      <w:proofErr w:type="spellStart"/>
      <w:r w:rsidR="00120D5B" w:rsidRPr="004E0320">
        <w:t>inkluzívnosti</w:t>
      </w:r>
      <w:proofErr w:type="spellEnd"/>
      <w:r w:rsidR="00120D5B" w:rsidRPr="004E0320">
        <w:t xml:space="preserve">, transparentnosti a spolupráci; </w:t>
      </w:r>
    </w:p>
    <w:p w14:paraId="22F306CC" w14:textId="22EDC385" w:rsidR="00120D5B" w:rsidRPr="004E0320" w:rsidRDefault="00192A21" w:rsidP="00120D5B">
      <w:pPr>
        <w:pStyle w:val="NormalHanging12a"/>
      </w:pPr>
      <w:r w:rsidRPr="004E0320">
        <w:t>34</w:t>
      </w:r>
      <w:r w:rsidR="00120D5B" w:rsidRPr="004E0320">
        <w:t>.</w:t>
      </w:r>
      <w:r w:rsidR="00120D5B" w:rsidRPr="004E0320">
        <w:tab/>
        <w:t xml:space="preserve">vyjadruje znepokojenie nad tým, že naďalej dochádza k politickému zasahovaniu do rozhodovania súdov a tlaku na súdny systém; so znepokojením vníma nedostatky pri vymenúvaní členov Vysokej súdnej rady a Vysokej rady prokuratúry, ktorí nie sú sudcami, na základe ich zásluh a bezúhonnosti; </w:t>
      </w:r>
      <w:r w:rsidR="006F3735" w:rsidRPr="004E0320">
        <w:t xml:space="preserve">vyjadruje poľutovanie nad pretrvávajúcimi problémami s fungovaním súdnictva, o ktorých sa píše v správe SPAK za rok 2024; </w:t>
      </w:r>
    </w:p>
    <w:p w14:paraId="6058783B" w14:textId="16728143" w:rsidR="00120D5B" w:rsidRPr="004E0320" w:rsidRDefault="00192A21" w:rsidP="00120D5B">
      <w:pPr>
        <w:pStyle w:val="NormalHanging12a"/>
        <w:rPr>
          <w:bCs/>
          <w:iCs/>
        </w:rPr>
      </w:pPr>
      <w:r w:rsidRPr="004E0320">
        <w:t>35</w:t>
      </w:r>
      <w:r w:rsidR="00120D5B" w:rsidRPr="004E0320">
        <w:t>.</w:t>
      </w:r>
      <w:r w:rsidR="00120D5B" w:rsidRPr="004E0320">
        <w:tab/>
        <w:t>vyzýva na prijatie naliehavých opatrení na zabezpečenie nezávislosti súdnictva a inštitucionálnej integrity;</w:t>
      </w:r>
    </w:p>
    <w:p w14:paraId="3D094B25" w14:textId="5B40EEBE" w:rsidR="00120D5B" w:rsidRPr="004E0320" w:rsidRDefault="00192A21" w:rsidP="00120D5B">
      <w:pPr>
        <w:pStyle w:val="NormalHanging12a"/>
      </w:pPr>
      <w:r w:rsidRPr="004E0320">
        <w:t>36</w:t>
      </w:r>
      <w:r w:rsidR="00120D5B" w:rsidRPr="004E0320">
        <w:t>.</w:t>
      </w:r>
      <w:r w:rsidR="00120D5B" w:rsidRPr="004E0320">
        <w:tab/>
        <w:t xml:space="preserve">zdôrazňuje, že Albánsko sa v indexe vnímania korupcie organizácie </w:t>
      </w:r>
      <w:proofErr w:type="spellStart"/>
      <w:r w:rsidR="00120D5B" w:rsidRPr="004E0320">
        <w:t>Transparency</w:t>
      </w:r>
      <w:proofErr w:type="spellEnd"/>
      <w:r w:rsidR="00120D5B" w:rsidRPr="004E0320">
        <w:t xml:space="preserve"> International za rok 2024 umiestnilo na 80. mieste, čo poukazuje na potrebu výrazného pokroku v boji proti korupcii na vysokej úrovni a pri zabezpečovaní nezávislosti súdnictva; vyzdvihuje zásadnú prácu albánskeho osobitného útvaru na boj proti korupcii a organizovanej trestnej činnosti (SPAK) pri dosahovaní pokroku pri vyšetrovaní, </w:t>
      </w:r>
      <w:r w:rsidR="00120D5B" w:rsidRPr="004E0320">
        <w:lastRenderedPageBreak/>
        <w:t>stíhaní a usvedčovaní v prípadoch korupcie na vysokej úrovni, ako aj v prípadoch týkajúcich sa ochrany finančných záujmov EÚ; zdôrazňuje význam zaručenia úplnej nezávislosti protikorupčných inštitúcií a vyzýva na posilnenie ich operačných a vyšetrovacích kapacít; víta vyšetrovanie a súdne konania v oblasti korupcie na vysokej úrovni; zdôrazňuje, že zvýšenie počtu právoplatných odsúdení vysokopostavených úradníkov zostáva dôležitou prioritou; naliehavo vyzýva všetkých aktérov, aby sa zdržali akýchkoľvek krokov, ktoré by sťažovali prácu nezávislým inštitúciám, akou je SPAK; vyjadruje poľutovanie nad tým, že súdne orgány musia fungovať v atmosfére zastrašovania, ako aj nad prípadmi neprimeraného tlaku, ktorému musia čeliť, čo vážne ohrozuje ich nezávislosť; vyjadruje obavy, že nedostatočná inštitucionálna podpora sudcov, ktorí čelia hrozbám, oslabuje dôveru verejnosti a vážne ohrozuje právny štát a proces integrácie Albánska do EÚ;</w:t>
      </w:r>
    </w:p>
    <w:p w14:paraId="2894B0DF" w14:textId="3C6D00E8" w:rsidR="00120D5B" w:rsidRPr="004E0320" w:rsidRDefault="00192A21" w:rsidP="00120D5B">
      <w:pPr>
        <w:pStyle w:val="NormalHanging12a"/>
        <w:rPr>
          <w:bCs/>
          <w:iCs/>
        </w:rPr>
      </w:pPr>
      <w:r w:rsidRPr="004E0320">
        <w:t>37</w:t>
      </w:r>
      <w:r w:rsidR="00120D5B" w:rsidRPr="004E0320">
        <w:t>.</w:t>
      </w:r>
      <w:r w:rsidR="00120D5B" w:rsidRPr="004E0320">
        <w:tab/>
        <w:t>berie na vedomie výzvy týkajúce sa kvality a účinnosti súdnictva vrátane vysokého počtu voľných pozícií v súdnictve, nedostatku súdnych zamestnancov, kvality úvodnej a priebežnej súdnej odbornej prípravy, konzistencie judikatúry a nedostatku moderného integrovaného systému správy prípadov; konštatuje, že rozpočtové prostriedky sú nedostatočné, najmä v prípade súdnej zložky; zdôrazňuje, že zníženie počtu nevybavených spisov v súdnom systéme by malo zostať prioritou; napriek tomu víta skutočnosť, že albánsky ústavný súd zlepšil svoju efektívnosť znížením počtu nevybavených prípadov a naďalej udržiava inštitucionálne brzdy a protiváhy;</w:t>
      </w:r>
    </w:p>
    <w:p w14:paraId="6B521A19" w14:textId="3CC8967A" w:rsidR="00120D5B" w:rsidRPr="004E0320" w:rsidRDefault="00192A21" w:rsidP="00120D5B">
      <w:pPr>
        <w:pStyle w:val="NormalHanging12a"/>
      </w:pPr>
      <w:r w:rsidRPr="004E0320">
        <w:t>38</w:t>
      </w:r>
      <w:r w:rsidR="00120D5B" w:rsidRPr="004E0320">
        <w:t>.</w:t>
      </w:r>
      <w:r w:rsidR="00120D5B" w:rsidRPr="004E0320">
        <w:tab/>
        <w:t xml:space="preserve">víta prijatie vnútroštátnych právnych predpisov, ktorých cieľom je dosiahnuť súlad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Únie v oblasti boja proti praniu špinavých peňazí; konštatuje, že je potrebné zriadiť úrad pre vymáhanie majetku, ktorý by mal silné postavenie, a zlepšiť postupy preverovania, ako aj procesy vyšetrovania, stíhania a usvedčovania páchateľov korupcie na vysokej úrovni, a to aj prostredníctvom zabavenia a definitívnej konfiškácie majetku získaného trestnou činnosťou;</w:t>
      </w:r>
    </w:p>
    <w:p w14:paraId="47C02F09" w14:textId="7641AA1F" w:rsidR="00120D5B" w:rsidRPr="004E0320" w:rsidRDefault="00192A21" w:rsidP="00120D5B">
      <w:pPr>
        <w:pStyle w:val="NormalHanging12a"/>
        <w:rPr>
          <w:bCs/>
          <w:iCs/>
        </w:rPr>
      </w:pPr>
      <w:r w:rsidRPr="004E0320">
        <w:t>39</w:t>
      </w:r>
      <w:r w:rsidR="00120D5B" w:rsidRPr="004E0320">
        <w:t>.</w:t>
      </w:r>
      <w:r w:rsidR="00120D5B" w:rsidRPr="004E0320">
        <w:tab/>
        <w:t xml:space="preserve">vyzýva Albánsko, aby pokračovalo v zosúlaďovaní svojho právneho, rámca, a zvlášť trestného zákonníka,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rPr>
          <w:i/>
        </w:rPr>
        <w:t xml:space="preserve"> </w:t>
      </w:r>
      <w:r w:rsidR="00120D5B" w:rsidRPr="004E0320">
        <w:t xml:space="preserve">EÚ v oblasti boja proti organizovanej trestnej činnosti a obchodovania s drogami a strelnými zbraňami, ako aj v boji proti počítačovej kriminalite, extrémizmu a hrozbám terorizmu; </w:t>
      </w:r>
      <w:r w:rsidR="00B25FFD" w:rsidRPr="004E0320">
        <w:t xml:space="preserve">je naďalej znepokojený pretrvávajúcou hrozbou a diverzifikáciou činností albánskych mafiánskych skupín v Európe; vyjadruje poľutovanie nad tým, že napriek úsiliu o rozloženie ich sietí, a to aj prostredníctvom využívania údajov zo služby šifrovania správ </w:t>
      </w:r>
      <w:proofErr w:type="spellStart"/>
      <w:r w:rsidR="00B25FFD" w:rsidRPr="004E0320">
        <w:t>Sky</w:t>
      </w:r>
      <w:proofErr w:type="spellEnd"/>
      <w:r w:rsidR="00B25FFD" w:rsidRPr="004E0320">
        <w:t xml:space="preserve">-ECC pri vyšetrovaní, sa tieto zločinecké skupiny stále vo veľkej miere podieľajú na obchodovaní s drogami a so zbraňami, </w:t>
      </w:r>
      <w:proofErr w:type="spellStart"/>
      <w:r w:rsidR="00B25FFD" w:rsidRPr="004E0320">
        <w:t>prevádzačstve</w:t>
      </w:r>
      <w:proofErr w:type="spellEnd"/>
      <w:r w:rsidR="00B25FFD" w:rsidRPr="004E0320">
        <w:t xml:space="preserve"> migrantov, obchodovaní s ľuďmi a praní špinavých peňazí vo viacerých členských štátoch, najmä v Holandsku, Belgicku, Taliansku a Francúzsku; </w:t>
      </w:r>
      <w:r w:rsidR="00120D5B" w:rsidRPr="004E0320">
        <w:t>berie na vedomie vymenovanie ďalších prokurátorov do osobitnej prokuratúry, ako aj zriadenie útvaru finančného vyšetrovania; oceňuje účasť Albánska na spoločných operáciách a spolupráci v rámci Európskej multidisciplinárnej platformy proti hrozbám trestnej činnosti (EMPACT) v oblasti obchodovania s drogami, prania špinavých peňazí a počítačovej kriminality; rovnako tak uznáva intenzívnejšiu spoluprácu</w:t>
      </w:r>
      <w:r w:rsidR="00120D5B" w:rsidRPr="004E0320">
        <w:rPr>
          <w:b/>
          <w:i/>
        </w:rPr>
        <w:t xml:space="preserve"> </w:t>
      </w:r>
      <w:r w:rsidR="00120D5B" w:rsidRPr="004E0320">
        <w:t>s organizáciami EUROPOL, EUROJUST, FRONTEX,</w:t>
      </w:r>
      <w:r w:rsidR="00120D5B" w:rsidRPr="004E0320">
        <w:rPr>
          <w:b/>
          <w:i/>
        </w:rPr>
        <w:t xml:space="preserve"> </w:t>
      </w:r>
      <w:r w:rsidR="00120D5B" w:rsidRPr="004E0320">
        <w:t xml:space="preserve">INTERPOL a so sieťou CARIN v boji proti organizovanému zločinu a pri rozkladaní nadnárodných zločineckých sietí; nabáda Albánsko posilniť svoje mechanizmy na výmenu spravodajských informácií s agentúrami EÚ v záujme posilnenia regionálnej stability; vyzýva k trvalému úsiliu o zosúladenie bezpečnostných politík Albánska so stratégiami EÚ, čím by sa podporil integrovanejší a odolnejší regionálny bezpečnostný rámec; vyzýva Albánsko, aby v spolupráci s členskými štátmi a agentúrami EÚ zintenzívnilo boj proti obchodovaniu s ľuďmi; zdôrazňuje potrebu bojovať proti nezákonnému obchodovaniu s ručnými a </w:t>
      </w:r>
      <w:r w:rsidR="00120D5B" w:rsidRPr="004E0320">
        <w:lastRenderedPageBreak/>
        <w:t>ľahkými zbraňami, keďže Albánsko je aj naďalej cieľovou i tranzitnou krajinou; víta prijatie novej stratégie na ochranu obetí trestných činov; zdôrazňuje význam pokračovacieho výcviku zamestnancov orgánov na kontrolu migrácie v záujme efektívneho vykonávania európskych právnych predpisov a dôraznejšieho zásahu proti činnostiam sietí obchodovania s ľuďmi;</w:t>
      </w:r>
    </w:p>
    <w:p w14:paraId="32D95326" w14:textId="5028655E" w:rsidR="00120D5B" w:rsidRPr="004E0320" w:rsidRDefault="00192A21" w:rsidP="00120D5B">
      <w:pPr>
        <w:pStyle w:val="NormalHanging12a"/>
        <w:rPr>
          <w:bCs/>
          <w:iCs/>
        </w:rPr>
      </w:pPr>
      <w:r w:rsidRPr="004E0320">
        <w:t>40</w:t>
      </w:r>
      <w:r w:rsidR="00120D5B" w:rsidRPr="004E0320">
        <w:t>.</w:t>
      </w:r>
      <w:r w:rsidR="00120D5B" w:rsidRPr="004E0320">
        <w:tab/>
        <w:t>vyzýva Európsku službu pre vonkajšiu činnosť a Komisiu, aby ďalej pomáhali zvyšovať odolnosť Albánska voči hybridným hrozbám v oblasti kybernetickej bezpečnosti, manipulácie s informáciami a ochrany kritickej infraštruktúry; vyzýva Albánsko, aby posúdilo riziká spojené s priamymi zahraničnými investíciami a monitorovalo ich, najmä v strategických odvetviach, ako sú energetika, ťažobný priemysel a telekomunikácie, s cieľom vyhnúť sa hospodárskej závislosti a dlhovým pasciam a chrániť národné záujmy, zvýšiť bezpečnosť a zabezpečiť súlad s normami EÚ;</w:t>
      </w:r>
    </w:p>
    <w:p w14:paraId="56579B57" w14:textId="38C59599" w:rsidR="00120D5B" w:rsidRPr="004E0320" w:rsidRDefault="00192A21" w:rsidP="00120D5B">
      <w:pPr>
        <w:pStyle w:val="NormalHanging12a"/>
        <w:rPr>
          <w:bCs/>
          <w:iCs/>
        </w:rPr>
      </w:pPr>
      <w:r w:rsidRPr="004E0320">
        <w:t>41</w:t>
      </w:r>
      <w:r w:rsidR="00120D5B" w:rsidRPr="004E0320">
        <w:t>.</w:t>
      </w:r>
      <w:r w:rsidR="00120D5B" w:rsidRPr="004E0320">
        <w:tab/>
        <w:t>vyzýva EÚ a krajiny západného Balkánu, aby vytvorili rámec na účinnú spoluprácu medzi Európskou prokuratúrou (EPPO) a pristupujúcimi krajinami, s cieľom uľahčiť úzku spoluprácu a stíhanie zneužívania finančných prostriedkov EÚ; víta skutočnosť, že Albánsko uzavrelo bilaterálnu pracovnú dohodu s EPPO;</w:t>
      </w:r>
    </w:p>
    <w:p w14:paraId="79EF3DD5" w14:textId="77777777" w:rsidR="00120D5B" w:rsidRPr="004E0320" w:rsidRDefault="00120D5B" w:rsidP="00120D5B">
      <w:pPr>
        <w:pStyle w:val="NormalHanging12a"/>
        <w:rPr>
          <w:b/>
          <w:i/>
        </w:rPr>
      </w:pPr>
      <w:r w:rsidRPr="004E0320">
        <w:rPr>
          <w:b/>
          <w:i/>
        </w:rPr>
        <w:t>Sociálno-ekonomické reformy</w:t>
      </w:r>
    </w:p>
    <w:p w14:paraId="6A23FD6D" w14:textId="0F08EF3E" w:rsidR="00120D5B" w:rsidRPr="004E0320" w:rsidRDefault="00192A21" w:rsidP="00120D5B">
      <w:pPr>
        <w:pStyle w:val="NormalHanging12a"/>
      </w:pPr>
      <w:r w:rsidRPr="004E0320">
        <w:t>42</w:t>
      </w:r>
      <w:r w:rsidR="00120D5B" w:rsidRPr="004E0320">
        <w:t>.</w:t>
      </w:r>
      <w:r w:rsidR="00120D5B" w:rsidRPr="004E0320">
        <w:tab/>
        <w:t>víta, že Albánsko sa aktívne zapája do vykonávania plánu EÚ rastu pre západný Balkán, ktorého súčasťou je integrácia do jednotného trhu EÚ, regionálna hospodárska integrácia, základné reformy a vyššia finančná podpora;</w:t>
      </w:r>
    </w:p>
    <w:p w14:paraId="01BE31EB" w14:textId="64CEDD23" w:rsidR="00120D5B" w:rsidRPr="004E0320" w:rsidRDefault="00192A21" w:rsidP="00120D5B">
      <w:pPr>
        <w:pStyle w:val="NormalHanging12a"/>
        <w:rPr>
          <w:bCs/>
          <w:iCs/>
        </w:rPr>
      </w:pPr>
      <w:r w:rsidRPr="004E0320">
        <w:t>43</w:t>
      </w:r>
      <w:r w:rsidR="00120D5B" w:rsidRPr="004E0320">
        <w:t>.</w:t>
      </w:r>
      <w:r w:rsidR="00120D5B" w:rsidRPr="004E0320">
        <w:tab/>
        <w:t>opätovne zdôrazňuje význam zlepšenia verejnej infraštruktúry v krajinách západného Balkánu a budovania prepojení s členskými štátmi EÚ; pripomína potenciál hospodárskeho a investičného plánu pre západný Balkán na zlepšenie regionálneho prepojenia v podobe železničnej a cestnej infraštruktúry; v tejto súvislosti vyzýva orgány všetkých krajín, aby dokončili koridor VIII spájajúci Albánsko, Severné Macedónsko a Bulharsko; pripomína význam zlepšenia leteckého spojenia medzi krajinami západného Balkánu a s členskými štátmi EÚ;</w:t>
      </w:r>
    </w:p>
    <w:p w14:paraId="788DA663" w14:textId="6F0669B8" w:rsidR="00120D5B" w:rsidRPr="004E0320" w:rsidRDefault="00192A21" w:rsidP="00120D5B">
      <w:pPr>
        <w:pStyle w:val="NormalHanging12a"/>
        <w:rPr>
          <w:bCs/>
          <w:iCs/>
        </w:rPr>
      </w:pPr>
      <w:r w:rsidRPr="004E0320">
        <w:t>44</w:t>
      </w:r>
      <w:r w:rsidR="00120D5B" w:rsidRPr="004E0320">
        <w:t>.</w:t>
      </w:r>
      <w:r w:rsidR="00120D5B" w:rsidRPr="004E0320">
        <w:tab/>
        <w:t>víta program reforiem Albánska zameraný na podnikateľské prostredie, ľudský kapitál, digitalizáciu, energetiku a zelenú transformáciu, základné práva a právny štát; zároveň víta zapojenie Albánska do programu EÚ Digitálna Európa; víta skutočnosť, že Albánsko získalo v rámci programu podpory zlepšenia správy a riadenia vecí verejných, ktorý vedie EÚ spolu s Organizáciou pre hospodársku spoluprácu a rozvoj, postavenie regionálneho lídra v oblasti verejnej správy a digitálneho verejného obstarávania;</w:t>
      </w:r>
    </w:p>
    <w:p w14:paraId="6D350FA3" w14:textId="6412A829" w:rsidR="00120D5B" w:rsidRPr="004E0320" w:rsidRDefault="00192A21" w:rsidP="00120D5B">
      <w:pPr>
        <w:pStyle w:val="NormalHanging12a"/>
        <w:rPr>
          <w:bCs/>
          <w:iCs/>
        </w:rPr>
      </w:pPr>
      <w:r w:rsidRPr="004E0320">
        <w:t>45</w:t>
      </w:r>
      <w:r w:rsidR="00120D5B" w:rsidRPr="004E0320">
        <w:t>.</w:t>
      </w:r>
      <w:r w:rsidR="00120D5B" w:rsidRPr="004E0320">
        <w:tab/>
        <w:t>nabáda albánske orgány, aby znížili riziko chudoby a sociálneho vylúčenia výraznejším zlepšením prístupu k vzdelávaniu a bývaniu, ale aj k sociálnym službám a službám zdravotnej starostlivosti, najmä pre znevýhodnené obyvateľstvo a menšinové skupiny vrátane Rómov a Egypťanov; vyzýva na realizáciu národnej stratégie Albánska v oblasti sociálnej ochrany na roky 2024 – 2030 a národnej stratégie pre zamestnanosť a zručnosti na roky 2023 – 2030; vyzýva Albánsko, aby prijalo ďalšie opatrenia na boj proti nezamestnanosti mladých ľudí, a nabáda albánske orgány efektívne vykonávať národný program v oblasti práv dieťaťa poskytovaním pomoci deťom vystaveným vylúčeniu a chudobe;</w:t>
      </w:r>
    </w:p>
    <w:p w14:paraId="27A5D1BC" w14:textId="3ACA1186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46</w:t>
      </w:r>
      <w:r w:rsidR="00120D5B" w:rsidRPr="004E0320">
        <w:t>.</w:t>
      </w:r>
      <w:r w:rsidR="00120D5B" w:rsidRPr="004E0320">
        <w:tab/>
        <w:t xml:space="preserve">vyjadruje uznanie albánskym orgánom za prijatie legislatívnych aktov na reformu vysokoškolského vzdelávania a za vykonávanie národnej stratégie pre vzdelávanie na </w:t>
      </w:r>
      <w:r w:rsidR="00120D5B" w:rsidRPr="004E0320">
        <w:lastRenderedPageBreak/>
        <w:t>roky 2021 – 2026; vyzýva Albánsko, aby rozšírilo mediálnu gramotnosť ako základný predmet v školských osnovách a zároveň zabezpečilo, aby učitelia dostali špecializovanú odbornú prípravu a moderné zdroje na poskytovanie kvalitných programov; podporuje spoluprácu so vzdelávacími iniciatívami EÚ a regionálnymi sieťami, ako je Stredisko pre monitorovanie mediálnej gramotnosti na západnom Balkáne, s cieľom zaviesť najlepšie postupy v oblasti kritického myslenia a vzdelávania v oblasti digitálnej gramotnosti;</w:t>
      </w:r>
    </w:p>
    <w:p w14:paraId="1F6BD3F8" w14:textId="750F1958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47</w:t>
      </w:r>
      <w:r w:rsidR="00120D5B" w:rsidRPr="004E0320">
        <w:t>.</w:t>
      </w:r>
      <w:r w:rsidR="00120D5B" w:rsidRPr="004E0320">
        <w:tab/>
        <w:t>víta pokrok, ktorý Albánsko dosiahlo uzavretím dvojstranných dohôd o sociálnom zabezpečení s členskými štátmi EÚ, ako aj pokrok v prípravách na pripojenie svojho systému služieb zamestnanosti k Európskej sieti služieb zamestnanosti EURES;</w:t>
      </w:r>
    </w:p>
    <w:p w14:paraId="06AF8D31" w14:textId="5F4C32BD" w:rsidR="00120D5B" w:rsidRPr="004E0320" w:rsidRDefault="00192A21" w:rsidP="00120D5B">
      <w:pPr>
        <w:pStyle w:val="NormalHanging12a"/>
        <w:rPr>
          <w:bCs/>
          <w:iCs/>
        </w:rPr>
      </w:pPr>
      <w:r w:rsidRPr="004E0320">
        <w:t>48</w:t>
      </w:r>
      <w:r w:rsidR="00120D5B" w:rsidRPr="004E0320">
        <w:t>.</w:t>
      </w:r>
      <w:r w:rsidR="00120D5B" w:rsidRPr="004E0320">
        <w:tab/>
        <w:t xml:space="preserve">víta skutočnosť, že Albánsko sa v novembri 2024 pripojilo k jednotnej oblasti platieb v eurách, čím sa znížia náklady občanov a podnikov a prispeje k ďalšej integrácii Albánska do jednotného trhu; vyjadruje uznanie albánskym orgánom za dosiahnutie súladu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EÚ v oblasti platieb (smernica o platobných účtoch</w:t>
      </w:r>
      <w:r w:rsidR="00120D5B" w:rsidRPr="004E0320">
        <w:rPr>
          <w:rStyle w:val="FootnoteReference"/>
          <w:bCs/>
          <w:iCs/>
        </w:rPr>
        <w:footnoteReference w:id="6"/>
      </w:r>
      <w:r w:rsidR="00120D5B" w:rsidRPr="004E0320">
        <w:t>) a za ich opatrenia, vďaka ktorým bolo Albánsko vyradené zo „šedého zoznamu“ Finančnej akčnej skupiny; berie na vedomie úsilie Albánska o zlepšenie hospodárskej konkurencieschopnosti a vyzýva vládu, aby pokračovala v štrukturálnych reformách na podporu atraktívnejšieho podnikateľského prostredia v súlade s normami EÚ; vyjadruje poľutovanie nad tým, že neefektívnosť verejnej správy, neúmerný regulačný rámec, korupcia a priveľmi rozšírená neformálna ekonomika škodia podnikateľskému prostrediu a ohrozujú hospodársku súťaž;</w:t>
      </w:r>
    </w:p>
    <w:p w14:paraId="17C837D7" w14:textId="09435A8D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49</w:t>
      </w:r>
      <w:r w:rsidR="00120D5B" w:rsidRPr="004E0320">
        <w:t>.</w:t>
      </w:r>
      <w:r w:rsidR="00120D5B" w:rsidRPr="004E0320">
        <w:tab/>
        <w:t>oceňuje zlepšenie fiškálnej výkonnosti Albánska; vyzýva albánske orgány, aby ďalej zlepšovali analýzu fiškálnych rizík posilnením príslušného odboru ministerstva financií; vyzýva na väčšiu transparentnosť a zodpovednosť štátnych podnikov prostredníctvom výročných finančných správ; vyzýva Albánsko, aby sprísnilo svoju verejnú vnútornú finančnú kontrolu a zabezpečilo vykonávanie odporúčaní najvyššieho kontrolného orgánu (ALSAI);</w:t>
      </w:r>
    </w:p>
    <w:p w14:paraId="7712FEEE" w14:textId="77F5772F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50</w:t>
      </w:r>
      <w:r w:rsidR="00120D5B" w:rsidRPr="004E0320">
        <w:t>.</w:t>
      </w:r>
      <w:r w:rsidR="00120D5B" w:rsidRPr="004E0320">
        <w:tab/>
        <w:t xml:space="preserve">víta ďalšie zosúlaďovanie právnych predpisov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EÚ v oblasti súkromných dôchodkových fondov, ozdravenia bánk a rámca pre riešenie krízových situácií; vyzýva Albánsko, aby dokončilo zosúlaďovanie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EÚ v oblasti poisťovníctva, kapitálových trhov, trhov s cennými papiermi, investičných fondov a infraštruktúr finančného trhu;</w:t>
      </w:r>
    </w:p>
    <w:p w14:paraId="2ECAE9C5" w14:textId="1EEA4D79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51</w:t>
      </w:r>
      <w:r w:rsidR="00120D5B" w:rsidRPr="004E0320">
        <w:t>.</w:t>
      </w:r>
      <w:r w:rsidR="00120D5B" w:rsidRPr="004E0320">
        <w:tab/>
        <w:t xml:space="preserve">víta dohodu dosiahnutú na samite v Tirane o znížení nákladov na roaming; v tejto súvislosti vyzýva príslušné orgány, súkromné subjekty a všetky zainteresované strany, aby sa usilovali dosiahnuť do roku 2027 dohodnuté ciele podstatného zníženia </w:t>
      </w:r>
      <w:proofErr w:type="spellStart"/>
      <w:r w:rsidR="00120D5B" w:rsidRPr="004E0320">
        <w:t>roamingových</w:t>
      </w:r>
      <w:proofErr w:type="spellEnd"/>
      <w:r w:rsidR="00120D5B" w:rsidRPr="004E0320">
        <w:t xml:space="preserve"> poplatkov za dáta a postupného znižovania cien za roaming medzi západným Balkánom a EÚ na úroveň blízku domácim cenám do roku 2027; víta realizáciu prvej fázy plánu na zníženie </w:t>
      </w:r>
      <w:proofErr w:type="spellStart"/>
      <w:r w:rsidR="00120D5B" w:rsidRPr="004E0320">
        <w:t>roamingových</w:t>
      </w:r>
      <w:proofErr w:type="spellEnd"/>
      <w:r w:rsidR="00120D5B" w:rsidRPr="004E0320">
        <w:t xml:space="preserve"> poplatkov medzi západným Balkánom a EÚ;</w:t>
      </w:r>
    </w:p>
    <w:p w14:paraId="39770767" w14:textId="1DAAD720" w:rsidR="00120D5B" w:rsidRPr="004E0320" w:rsidRDefault="00192A21" w:rsidP="00120D5B">
      <w:pPr>
        <w:pStyle w:val="NormalHanging12a"/>
        <w:rPr>
          <w:bCs/>
          <w:iCs/>
        </w:rPr>
      </w:pPr>
      <w:r w:rsidRPr="004E0320">
        <w:t>52</w:t>
      </w:r>
      <w:r w:rsidR="00120D5B" w:rsidRPr="004E0320">
        <w:t>.</w:t>
      </w:r>
      <w:r w:rsidR="00120D5B" w:rsidRPr="004E0320">
        <w:tab/>
        <w:t xml:space="preserve">je znepokojený nedostatočným pokrokom v oblasti právnych predpisov v oblasti práva obchodných spoločností v Albánsku; vyzýva albánske orgány, aby dokončili </w:t>
      </w:r>
      <w:r w:rsidR="00120D5B" w:rsidRPr="004E0320">
        <w:lastRenderedPageBreak/>
        <w:t xml:space="preserve">zosúladenie právnych predpisov v oblasti práva obchodných spoločností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EÚ;</w:t>
      </w:r>
    </w:p>
    <w:p w14:paraId="2663D648" w14:textId="77777777" w:rsidR="00120D5B" w:rsidRPr="004E0320" w:rsidRDefault="00120D5B" w:rsidP="00120D5B">
      <w:pPr>
        <w:pStyle w:val="NormalHanging12a"/>
        <w:rPr>
          <w:b/>
          <w:i/>
        </w:rPr>
      </w:pPr>
      <w:r w:rsidRPr="004E0320">
        <w:rPr>
          <w:b/>
          <w:i/>
        </w:rPr>
        <w:t>Životné prostredie, biodiverzita, energetika a doprava, udržateľný cestovný ruch</w:t>
      </w:r>
    </w:p>
    <w:p w14:paraId="5F205628" w14:textId="3E0BBAFF" w:rsidR="00120D5B" w:rsidRPr="004E0320" w:rsidRDefault="00192A21" w:rsidP="00120D5B">
      <w:pPr>
        <w:pStyle w:val="NormalHanging12a"/>
        <w:rPr>
          <w:bCs/>
          <w:iCs/>
        </w:rPr>
      </w:pPr>
      <w:r w:rsidRPr="004E0320">
        <w:t>53</w:t>
      </w:r>
      <w:r w:rsidR="00120D5B" w:rsidRPr="004E0320">
        <w:t>.</w:t>
      </w:r>
      <w:r w:rsidR="00120D5B" w:rsidRPr="004E0320">
        <w:tab/>
        <w:t xml:space="preserve">zdôrazňuje, že Albánsko musí vyvinúť väčšie úsilie o dosiahnutie súladu s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Únie v oblasti životného prostredia; vyzýva, aby zabezpečilo súlad so smernicami EÚ o posudzovaní vplyvov na životné prostredie</w:t>
      </w:r>
      <w:r w:rsidR="00120D5B" w:rsidRPr="004E0320">
        <w:rPr>
          <w:rStyle w:val="FootnoteReference"/>
        </w:rPr>
        <w:footnoteReference w:id="7"/>
      </w:r>
      <w:r w:rsidR="00120D5B" w:rsidRPr="004E0320">
        <w:t xml:space="preserve"> a o strategickom environmentálnom hodnotení</w:t>
      </w:r>
      <w:r w:rsidR="00120D5B" w:rsidRPr="004E0320">
        <w:rPr>
          <w:rStyle w:val="FootnoteReference"/>
        </w:rPr>
        <w:footnoteReference w:id="8"/>
      </w:r>
      <w:r w:rsidR="00120D5B" w:rsidRPr="004E0320">
        <w:t>; zdôrazňuje potrebu zintenzívniť boj proti trestnej činnosti v oblasti životného prostredia;</w:t>
      </w:r>
    </w:p>
    <w:p w14:paraId="769619BD" w14:textId="63119057" w:rsidR="00120D5B" w:rsidRPr="004E0320" w:rsidRDefault="00192A21" w:rsidP="00120D5B">
      <w:pPr>
        <w:pStyle w:val="NormalHanging12a"/>
        <w:rPr>
          <w:bCs/>
          <w:iCs/>
        </w:rPr>
      </w:pPr>
      <w:r w:rsidRPr="004E0320">
        <w:t>54</w:t>
      </w:r>
      <w:r w:rsidR="00120D5B" w:rsidRPr="004E0320">
        <w:t>.</w:t>
      </w:r>
      <w:r w:rsidR="00120D5B" w:rsidRPr="004E0320">
        <w:tab/>
        <w:t xml:space="preserve">zdôrazňuje potrebu transparentných a inkluzívnych verejných konzultácií v súlade s </w:t>
      </w:r>
      <w:proofErr w:type="spellStart"/>
      <w:r w:rsidR="00120D5B" w:rsidRPr="004E0320">
        <w:t>Aarhuským</w:t>
      </w:r>
      <w:proofErr w:type="spellEnd"/>
      <w:r w:rsidR="00120D5B" w:rsidRPr="004E0320">
        <w:t xml:space="preserve"> dohovorom, ktoré zabezpečia aktívne zapojenie miestnych komunít, mimovládnych organizácií a vedeckých inštitúcií do rozhodovacích procesov v oblasti životného prostredia, najmä v prípade projektov s veľkými environmentálnymi a sociálno-ekonomickými dôsledkami; upozorňuje, že nedostatočné zapojenie zainteresovaných strán narúša štandardy riadenia a dodržiavanie záväzkov, ktoré Albánsku vyplývajú z </w:t>
      </w:r>
      <w:proofErr w:type="spellStart"/>
      <w:r w:rsidR="00120D5B" w:rsidRPr="004E0320">
        <w:rPr>
          <w:i/>
        </w:rPr>
        <w:t>acquis</w:t>
      </w:r>
      <w:proofErr w:type="spellEnd"/>
      <w:r w:rsidR="00120D5B" w:rsidRPr="004E0320">
        <w:t xml:space="preserve"> EÚ; vyjadruje znepokojenie nad hospodárskym a environmentálnym vplyvom nekonkurenčných rozvojových projektov financovaných zo zahraničia;</w:t>
      </w:r>
    </w:p>
    <w:p w14:paraId="7766665C" w14:textId="33DB534A" w:rsidR="00120D5B" w:rsidRPr="004E0320" w:rsidRDefault="00192A21" w:rsidP="00120D5B">
      <w:pPr>
        <w:pStyle w:val="NormalHanging12a"/>
        <w:rPr>
          <w:bCs/>
          <w:iCs/>
        </w:rPr>
      </w:pPr>
      <w:r w:rsidRPr="004E0320">
        <w:t>55</w:t>
      </w:r>
      <w:r w:rsidR="00120D5B" w:rsidRPr="004E0320">
        <w:t>.</w:t>
      </w:r>
      <w:r w:rsidR="00120D5B" w:rsidRPr="004E0320">
        <w:tab/>
        <w:t>pripomína, že Albánsko musí vyvinúť značné úsilie, aby dosiahlo ciele týkajúce sa ochrany klímy, energetickej efektívnosti, diverzifikácie a ekologizácie dodávok energie a dopravy; konštatuje, že kvalita ovzdušia a vody a nakladanie s odpadom sú pre krajinu aj naďalej mimoriadne problematické; vyzýva centrálnu vládu a miestne orgány, aby zintenzívnili svoje úsilie o zlepšenie kvality ovzdušia a zníženie potenciálne smrteľného znečisťovania; naliehavo vyzýva albánsku vládu, aby uprednostnila vykonávanie stratégií adaptácie na zmenu klímy, rozvoja energie z obnoviteľných zdrojov a modernizáciu systému nakladania s odpadom v krajine s cieľom splniť normy EÚ a podporiť udržateľný hospodársky rast; nabáda albánske orgány, aby posilnili opatrenia a investície na rozšírenie systémov verejnej a železničnej dopravy;</w:t>
      </w:r>
    </w:p>
    <w:p w14:paraId="2E71DD9F" w14:textId="00171720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56</w:t>
      </w:r>
      <w:r w:rsidR="00120D5B" w:rsidRPr="004E0320">
        <w:t>.</w:t>
      </w:r>
      <w:r w:rsidR="00120D5B" w:rsidRPr="004E0320">
        <w:tab/>
        <w:t xml:space="preserve">je pevne presvedčený o tom, že ochrana životného prostredia a rozvoj udržateľného cestovného ruchu musia ísť ruka v ruke; víta vznik prvého národného parku na divokej rieke v Európe – Národného parku </w:t>
      </w:r>
      <w:proofErr w:type="spellStart"/>
      <w:r w:rsidR="00120D5B" w:rsidRPr="004E0320">
        <w:t>Vjosa</w:t>
      </w:r>
      <w:proofErr w:type="spellEnd"/>
      <w:r w:rsidR="00120D5B" w:rsidRPr="004E0320">
        <w:t xml:space="preserve"> – a vyzýva, aby sa vyčlenili dostatočné zdroje na jeho ochranu; vyzýva orgány, aby plne rešpektovali ekologickú integritu tohto národného parku a prehodnotili projekty infraštruktúry, najmä projekt získavania vody z rieky </w:t>
      </w:r>
      <w:proofErr w:type="spellStart"/>
      <w:r w:rsidR="00120D5B" w:rsidRPr="004E0320">
        <w:t>Sušica</w:t>
      </w:r>
      <w:proofErr w:type="spellEnd"/>
      <w:r w:rsidR="00120D5B" w:rsidRPr="004E0320">
        <w:t xml:space="preserve">, v súlade s medzinárodnými normami na ochranu biodiverzity a najlepšími postupmi s cieľom zabezpečiť, aby biodiverzita, biotopy a ekologické funkcie parku zostali zachované; opätovne vyjadruje znepokojenie nad výstavbou letiska </w:t>
      </w:r>
      <w:proofErr w:type="spellStart"/>
      <w:r w:rsidR="00120D5B" w:rsidRPr="004E0320">
        <w:t>Vlora</w:t>
      </w:r>
      <w:proofErr w:type="spellEnd"/>
      <w:r w:rsidR="00120D5B" w:rsidRPr="004E0320">
        <w:t xml:space="preserve"> v chránenej oblasti </w:t>
      </w:r>
      <w:proofErr w:type="spellStart"/>
      <w:r w:rsidR="00120D5B" w:rsidRPr="004E0320">
        <w:t>Vjosa</w:t>
      </w:r>
      <w:proofErr w:type="spellEnd"/>
      <w:r w:rsidR="00120D5B" w:rsidRPr="004E0320">
        <w:t xml:space="preserve"> – </w:t>
      </w:r>
      <w:proofErr w:type="spellStart"/>
      <w:r w:rsidR="00120D5B" w:rsidRPr="004E0320">
        <w:t>Narta</w:t>
      </w:r>
      <w:proofErr w:type="spellEnd"/>
      <w:r w:rsidR="00120D5B" w:rsidRPr="004E0320">
        <w:t>, ktorá je v rozpore s vnútroštátnymi a medzinárodnými normami na ochranu biodiverzity a vyzýva Európsku komisiu, aby sa riešenie tejto otázky doplnila do kapitoly 27 prístupových rokovaní; vyzýva albánske orgány, aby prijali vykonávacie právne predpisy k zákonu o kultúrnom dedičstve a múzeách;</w:t>
      </w:r>
    </w:p>
    <w:p w14:paraId="614FDC86" w14:textId="10DEE6EB" w:rsidR="00120D5B" w:rsidRPr="004E0320" w:rsidRDefault="00192A21" w:rsidP="00120D5B">
      <w:pPr>
        <w:pStyle w:val="NormalHanging12a"/>
        <w:rPr>
          <w:bCs/>
          <w:iCs/>
        </w:rPr>
      </w:pPr>
      <w:r w:rsidRPr="004E0320">
        <w:t>57</w:t>
      </w:r>
      <w:r w:rsidR="00120D5B" w:rsidRPr="004E0320">
        <w:t>.</w:t>
      </w:r>
      <w:r w:rsidR="00120D5B" w:rsidRPr="004E0320">
        <w:tab/>
        <w:t xml:space="preserve">vyjadruje vážne znepokojenie nad nedávnymi zmenami a doplneniami albánskeho </w:t>
      </w:r>
      <w:r w:rsidR="00120D5B" w:rsidRPr="004E0320">
        <w:lastRenderedPageBreak/>
        <w:t>zákona o chránených oblastiach, ktoré umožňujú realizáciu veľkých projektov v oblasti infraštruktúry a cestovného ruchu v ekologicky citlivých oblastiach; vyzýva, aby sa tieto legislatívne zmeny zrušili v záujme zabezpečenia úplného a dôsledného súladu s vnútroštátnymi a medzinárodnými právnymi rámcami a normami ochrany a aby sa riešilo znečisťovanie mora odpadom, ktoré zasahuje aj susedné krajiny;</w:t>
      </w:r>
    </w:p>
    <w:p w14:paraId="4FCBF09F" w14:textId="524D7301" w:rsidR="00120D5B" w:rsidRPr="004E0320" w:rsidRDefault="00192A21" w:rsidP="00120D5B">
      <w:pPr>
        <w:pStyle w:val="NormalHanging12a"/>
        <w:rPr>
          <w:bCs/>
          <w:iCs/>
          <w:szCs w:val="24"/>
        </w:rPr>
      </w:pPr>
      <w:r w:rsidRPr="004E0320">
        <w:t>58</w:t>
      </w:r>
      <w:r w:rsidR="00120D5B" w:rsidRPr="004E0320">
        <w:t>.</w:t>
      </w:r>
      <w:r w:rsidR="00120D5B" w:rsidRPr="004E0320">
        <w:tab/>
        <w:t xml:space="preserve">vyzýva albánske orgány, aby vytýčili a efektívne riadili chránené oblasti, ktoré sú nevyhnutné na prežitie kriticky ohrozených druhov, najmä rysa balkánskeho, okrem iného aj formou komplexných programov monitorovania biodiverzity, a aby vykonávali a prísne presadzovali právne predpisy proti pytliactvu; naliehavo žiada Albánsko, aby upustilo od plánov na výstavbu vodnej elektrárne </w:t>
      </w:r>
      <w:proofErr w:type="spellStart"/>
      <w:r w:rsidR="00120D5B" w:rsidRPr="004E0320">
        <w:t>Skavica</w:t>
      </w:r>
      <w:proofErr w:type="spellEnd"/>
      <w:r w:rsidR="00120D5B" w:rsidRPr="004E0320">
        <w:t xml:space="preserve"> na rieke Čierny </w:t>
      </w:r>
      <w:proofErr w:type="spellStart"/>
      <w:r w:rsidR="00120D5B" w:rsidRPr="004E0320">
        <w:t>Drin</w:t>
      </w:r>
      <w:proofErr w:type="spellEnd"/>
      <w:r w:rsidR="00120D5B" w:rsidRPr="004E0320">
        <w:t xml:space="preserve"> vzhľadom na jej závažné ekologické, sociálne a kultúrne dôsledky vrátane vysídľovania miestnych komunít;</w:t>
      </w:r>
    </w:p>
    <w:p w14:paraId="5DDAEBD6" w14:textId="77777777" w:rsidR="00120D5B" w:rsidRPr="004E0320" w:rsidRDefault="00120D5B" w:rsidP="00120D5B">
      <w:pPr>
        <w:pStyle w:val="NormalHanging12a"/>
        <w:rPr>
          <w:b/>
          <w:i/>
        </w:rPr>
      </w:pPr>
      <w:r w:rsidRPr="004E0320">
        <w:rPr>
          <w:b/>
          <w:i/>
        </w:rPr>
        <w:t>Regionálna spolupráca a zahraničná politika</w:t>
      </w:r>
    </w:p>
    <w:p w14:paraId="3296560C" w14:textId="0041C640" w:rsidR="00120D5B" w:rsidRPr="004E0320" w:rsidRDefault="00192A21" w:rsidP="00120D5B">
      <w:pPr>
        <w:pStyle w:val="NormalHanging12a"/>
        <w:rPr>
          <w:bCs/>
          <w:iCs/>
        </w:rPr>
      </w:pPr>
      <w:r w:rsidRPr="004E0320">
        <w:t>59</w:t>
      </w:r>
      <w:r w:rsidR="00120D5B" w:rsidRPr="004E0320">
        <w:t>.</w:t>
      </w:r>
      <w:r w:rsidR="00120D5B" w:rsidRPr="004E0320">
        <w:tab/>
        <w:t>víta partnerstvo medzi EÚ a Albánskom v oblasti bezpečnosti a obrany, ktoré bolo uzavreté 19. novembra 2024 a ktorým sa zaviedla platforma pre posilnený dialóg a spoluprácu v bezpečnostných a obranných otázkach a ktoré predstavuje významný krok vpred; zdôrazňuje, že je dôležité zabezpečiť, aby sa toto partnerstvo premietlo do konkrétnych opatrení vrátane spoločných iniciatív v oblasti odbornej prípravy, spoločného využívania spravodajských kapacít a posilnených opatrení na ochranu hraníc s cieľom riešiť regionálne a globálne bezpečnostné výzvy; zdôrazňuje potrebu prehĺbiť bezpečnostnú spoluprácu v rámci západného Balkánu a podporiť užšiu koordináciu medzi regionálnymi partnermi v boji proti organizovanej trestnej činnosti, kybernetickým hrozbám a hybridným výzvam; vyzýva na posilnenie podpory EÚ pre regionálne bezpečnostné iniciatívy, ktoré posilňujú stabilitu a odolnosť na západnom Balkáne; potvrdzuje, že toto partnerstvo predstavuje významný krok vpred pri posilňovaní úlohy Albánska ako spoľahlivého bezpečnostného partnera EÚ; ďalej zdôrazňuje, že partnerstvo okrem iného uľahčí spoločné iniciatívy a úsilie o budovanie kapacít, čím prispeje k odolnejšej a integrovanejšej bezpečnostnej štruktúre na západnom Balkáne;</w:t>
      </w:r>
    </w:p>
    <w:p w14:paraId="4C6FD403" w14:textId="765F4131" w:rsidR="00120D5B" w:rsidRPr="004E0320" w:rsidRDefault="00192A21" w:rsidP="00120D5B">
      <w:pPr>
        <w:pStyle w:val="NormalHanging12a"/>
      </w:pPr>
      <w:r w:rsidRPr="004E0320">
        <w:t>60</w:t>
      </w:r>
      <w:r w:rsidR="00120D5B" w:rsidRPr="004E0320">
        <w:t>.</w:t>
      </w:r>
      <w:r w:rsidR="00120D5B" w:rsidRPr="004E0320">
        <w:tab/>
        <w:t>víta schválenie národnej bezpečnostnej stratégie v roku 2024, ktorá má zintenzívniť boj proti hybridným hrozbám, ako aj nového zákona o kybernetickej bezpečnosti; víta spoločné vyhlásenie podpísané Albánskom, Kosovom a Chorvátskom, ktorého cieľom je zlepšiť spoluprácu a posilniť obranný potenciál a zároveň plne podporiť euroatlantickú a regionálnu obrannú integráciu;</w:t>
      </w:r>
    </w:p>
    <w:p w14:paraId="3795895E" w14:textId="3F54DAA1" w:rsidR="00B25FFD" w:rsidRPr="004E0320" w:rsidRDefault="00192A21" w:rsidP="00120D5B">
      <w:pPr>
        <w:pStyle w:val="NormalHanging12a"/>
      </w:pPr>
      <w:r w:rsidRPr="004E0320">
        <w:t>61</w:t>
      </w:r>
      <w:r w:rsidR="00404F68" w:rsidRPr="004E0320">
        <w:t>.</w:t>
      </w:r>
      <w:r w:rsidR="00404F68" w:rsidRPr="004E0320">
        <w:tab/>
        <w:t>vyjadruje znepokojenie nad rastúcim vplyvom Ruska v krajinách susediacich s EÚ; oceňuje opatrenia prijaté v októbri 2024 albánskym Úradom pre elektronickú a poštovú komunikáciu (AKEP), ktoré viedli k zrušeniu 155 online účtov spravovaných z Ruska a zapojených do šírenia dezinformácií, ako aj ôsmich účtov napojených na skupiny kybernetickej špionáže</w:t>
      </w:r>
      <w:r w:rsidR="00404F68" w:rsidRPr="004E0320">
        <w:rPr>
          <w:rStyle w:val="FootnoteReference"/>
        </w:rPr>
        <w:footnoteReference w:id="9"/>
      </w:r>
      <w:r w:rsidR="00404F68" w:rsidRPr="004E0320">
        <w:t>; zdôrazňuje, že tieto opatrenia sú dôkazom pokračujúceho úsilia Albánska o zmierňovanie vplyvu kybernetických hrozieb; naliehavo vyzýva EÚ, aby zintenzívnila svoju podporu Albánsku v boji proti škodlivému vplyvu Ruska a ochrane regionálnej stability;</w:t>
      </w:r>
    </w:p>
    <w:p w14:paraId="79256621" w14:textId="35543505" w:rsidR="00120D5B" w:rsidRPr="004E0320" w:rsidRDefault="00192A21" w:rsidP="00120D5B">
      <w:pPr>
        <w:pStyle w:val="NormalHanging12a"/>
      </w:pPr>
      <w:r w:rsidRPr="004E0320">
        <w:t>62</w:t>
      </w:r>
      <w:r w:rsidR="00120D5B" w:rsidRPr="004E0320">
        <w:t>.</w:t>
      </w:r>
      <w:r w:rsidR="00120D5B" w:rsidRPr="004E0320">
        <w:tab/>
        <w:t xml:space="preserve">oceňuje dosiahnutie úplného súladu Albánska so spoločnou zahraničnou a </w:t>
      </w:r>
      <w:r w:rsidR="00120D5B" w:rsidRPr="004E0320">
        <w:lastRenderedPageBreak/>
        <w:t xml:space="preserve">bezpečnostnou politikou EÚ vrátane jeho podpory v otázke sankcií EÚ voči tretím krajinám, ako aj jeho pozitívny príspevok k misiám spoločnej bezpečnostnej a obrannej politiky, najmä EUFOR </w:t>
      </w:r>
      <w:proofErr w:type="spellStart"/>
      <w:r w:rsidR="00120D5B" w:rsidRPr="004E0320">
        <w:t>Althea</w:t>
      </w:r>
      <w:proofErr w:type="spellEnd"/>
      <w:r w:rsidR="00120D5B" w:rsidRPr="004E0320">
        <w:t xml:space="preserve">, čo len podčiarkuje záväzok krajiny prispievať k regionálnej a medzinárodnej bezpečnosti a stabilite, a víta účasť Albánska na operáciách vedených EÚ a NATO a jeho spoluprácu s </w:t>
      </w:r>
      <w:proofErr w:type="spellStart"/>
      <w:r w:rsidR="00120D5B" w:rsidRPr="004E0320">
        <w:t>Europolom</w:t>
      </w:r>
      <w:proofErr w:type="spellEnd"/>
      <w:r w:rsidR="00120D5B" w:rsidRPr="004E0320">
        <w:t xml:space="preserve"> a </w:t>
      </w:r>
      <w:proofErr w:type="spellStart"/>
      <w:r w:rsidR="00120D5B" w:rsidRPr="004E0320">
        <w:t>Interpolom</w:t>
      </w:r>
      <w:proofErr w:type="spellEnd"/>
      <w:r w:rsidR="00120D5B" w:rsidRPr="004E0320">
        <w:t xml:space="preserve">; Vyzýva, aby sa aj naďalej zapájalo do operácií krízového riadenia a misií spoločnej bezpečnostnej a obrannej politiky pod vedením EÚ, ako napríklad do operácie v oblasti námornej bezpečnosti EUNAVFOR </w:t>
      </w:r>
      <w:proofErr w:type="spellStart"/>
      <w:r w:rsidR="00120D5B" w:rsidRPr="004E0320">
        <w:t>Aspides</w:t>
      </w:r>
      <w:proofErr w:type="spellEnd"/>
      <w:r w:rsidR="00120D5B" w:rsidRPr="004E0320">
        <w:t>; uznáva strategický význam jadransko-iónskeho regiónu pre európsku bezpečnosť a hospodársku stabilitu; vyzýva Albánsko, aby v koordinácii s EÚ a NATO posilnilo svoje spôsobilosti v oblasti námornej bezpečnosti;</w:t>
      </w:r>
    </w:p>
    <w:p w14:paraId="2ACC0789" w14:textId="7A82D52F" w:rsidR="00120D5B" w:rsidRPr="004E0320" w:rsidRDefault="00192A21" w:rsidP="00120D5B">
      <w:pPr>
        <w:pStyle w:val="NormalHanging12a"/>
      </w:pPr>
      <w:r w:rsidRPr="004E0320">
        <w:t>63</w:t>
      </w:r>
      <w:r w:rsidR="00120D5B" w:rsidRPr="004E0320">
        <w:t>.</w:t>
      </w:r>
      <w:r w:rsidR="00120D5B" w:rsidRPr="004E0320">
        <w:tab/>
        <w:t>víta pretrvávajúce úsilie albánskej vlády pri podporovaní dobrých susedských vzťahov; v tejto súvislosti pripomína, že je dôležité, aby sa Albánsko zaviazalo riešiť všetky pohraničné spory v súlade so zásadou mierového urovnávania sporov a v súlade s Chartou OSN a Dohovorom OSN o morskom práve, v prípade potreby aj dodržiavaním rozsudkov Medzinárodného súdneho dvora; víta aktívny príspevok Albánska k berlínskemu procesu; ďalej podporuje trvalé a konštruktívne zapojenie sa do iniciatív regionálnej spolupráce v súlade s hodnotami EÚ a cieľmi rozširovania, keďže prispieva k mieru, bezpečnosti a stabilite na západnom Balkáne; varuje pred akýmikoľvek krokmi, ako je napríklad iniciatíva Otvorený Balkán, ktoré by mohli ohroziť spoločný regionálny trh alebo sa odchýliť od berlínskeho procesu tak, že by vznikli prekážky v integrácii a súdržnosti EÚ a bolo by ohrozené smerovanie Albánska k hlbšej regionálnej a európskej integrácii;</w:t>
      </w:r>
    </w:p>
    <w:p w14:paraId="7049DCDF" w14:textId="08395A26" w:rsidR="00120D5B" w:rsidRPr="004E0320" w:rsidRDefault="00192A21" w:rsidP="00120D5B">
      <w:pPr>
        <w:pStyle w:val="NormalHanging12a"/>
        <w:rPr>
          <w:bCs/>
          <w:iCs/>
        </w:rPr>
      </w:pPr>
      <w:r w:rsidRPr="004E0320">
        <w:t>64</w:t>
      </w:r>
      <w:r w:rsidR="00120D5B" w:rsidRPr="004E0320">
        <w:t>.</w:t>
      </w:r>
      <w:r w:rsidR="00120D5B" w:rsidRPr="004E0320">
        <w:tab/>
        <w:t>víta ratifikáciu dvojstranných dohôd o koordinácii systémov sociálneho zabezpečenia s Chorvátskom, Čiernou Horou a Bulharskom zo strany Albánska;</w:t>
      </w:r>
    </w:p>
    <w:p w14:paraId="5CAB4980" w14:textId="1B4410D7" w:rsidR="00120D5B" w:rsidRPr="004E0320" w:rsidRDefault="00192A21" w:rsidP="00120D5B">
      <w:pPr>
        <w:pStyle w:val="NormalHanging12a"/>
      </w:pPr>
      <w:r w:rsidRPr="004E0320">
        <w:t>65</w:t>
      </w:r>
      <w:r w:rsidR="00120D5B" w:rsidRPr="004E0320">
        <w:t>.</w:t>
      </w:r>
      <w:r w:rsidR="00120D5B" w:rsidRPr="004E0320">
        <w:tab/>
        <w:t>zdôrazňuje konštruktívnu úlohu Albánska pri podpore stability a spolupráce na západnom Balkáne, najmä vďaka dvojstrannému dialógu so susednými krajinami a jeho angažovanosti v regionálnych organizáciách;</w:t>
      </w:r>
    </w:p>
    <w:p w14:paraId="664F5D1E" w14:textId="0DB42AA8" w:rsidR="00540AAE" w:rsidRPr="004E0320" w:rsidRDefault="00540AAE" w:rsidP="00540AAE">
      <w:pPr>
        <w:pStyle w:val="NormalHanging12a"/>
        <w:widowControl/>
        <w:ind w:left="0" w:firstLine="0"/>
        <w:jc w:val="center"/>
        <w:rPr>
          <w:bCs/>
          <w:iCs/>
        </w:rPr>
      </w:pPr>
      <w:r w:rsidRPr="004E0320">
        <w:rPr>
          <w:bCs/>
          <w:iCs/>
        </w:rPr>
        <w:t>°</w:t>
      </w:r>
    </w:p>
    <w:p w14:paraId="34E9CC42" w14:textId="084DD46D" w:rsidR="00540AAE" w:rsidRPr="004E0320" w:rsidRDefault="00540AAE" w:rsidP="00540AAE">
      <w:pPr>
        <w:pStyle w:val="NormalHanging12a"/>
        <w:widowControl/>
        <w:ind w:left="0" w:firstLine="0"/>
        <w:jc w:val="center"/>
        <w:rPr>
          <w:bCs/>
          <w:iCs/>
        </w:rPr>
      </w:pPr>
      <w:r w:rsidRPr="004E0320">
        <w:rPr>
          <w:bCs/>
          <w:iCs/>
        </w:rPr>
        <w:t>°     °</w:t>
      </w:r>
    </w:p>
    <w:p w14:paraId="55617705" w14:textId="1D46C1F4" w:rsidR="00E365E1" w:rsidRPr="004E0320" w:rsidRDefault="00192A21" w:rsidP="00192A21">
      <w:pPr>
        <w:pStyle w:val="NormalHanging12a"/>
      </w:pPr>
      <w:r w:rsidRPr="004E0320">
        <w:t>66</w:t>
      </w:r>
      <w:r w:rsidR="00120D5B" w:rsidRPr="004E0320">
        <w:t>.</w:t>
      </w:r>
      <w:r w:rsidR="00120D5B" w:rsidRPr="004E0320">
        <w:tab/>
        <w:t>poveruje svoju predsedníčku, aby postúpila toto uznesenie predsedovi Európskej rady, Rade, Komisii, podpredsedníčke Komisie/vysokej predstaviteľke Únie pre zahraničné veci a bezpečnostnú politiku, vládam a parlamentom členských štátov a prezidentovi, vláde a parlamentu Albánskej republiky.</w:t>
      </w:r>
    </w:p>
    <w:sectPr w:rsidR="00E365E1" w:rsidRPr="004E0320" w:rsidSect="000335A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BB06D" w14:textId="77777777" w:rsidR="001F7430" w:rsidRPr="000335A2" w:rsidRDefault="001F7430">
      <w:r w:rsidRPr="000335A2">
        <w:separator/>
      </w:r>
    </w:p>
  </w:endnote>
  <w:endnote w:type="continuationSeparator" w:id="0">
    <w:p w14:paraId="44D40184" w14:textId="77777777" w:rsidR="001F7430" w:rsidRPr="000335A2" w:rsidRDefault="001F7430">
      <w:r w:rsidRPr="000335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1CED" w14:textId="77777777" w:rsidR="001F7430" w:rsidRPr="000335A2" w:rsidRDefault="001F7430">
      <w:r w:rsidRPr="000335A2">
        <w:separator/>
      </w:r>
    </w:p>
  </w:footnote>
  <w:footnote w:type="continuationSeparator" w:id="0">
    <w:p w14:paraId="536E39D5" w14:textId="77777777" w:rsidR="001F7430" w:rsidRPr="000335A2" w:rsidRDefault="001F7430">
      <w:r w:rsidRPr="000335A2">
        <w:continuationSeparator/>
      </w:r>
    </w:p>
  </w:footnote>
  <w:footnote w:id="1">
    <w:p w14:paraId="1728E05B" w14:textId="7D37DD9A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 xml:space="preserve">Ú. v. EÚ L 107, 28.4.2009, s. 166, ELI: </w:t>
      </w:r>
      <w:hyperlink r:id="rId1" w:tooltip="Umožňuje prístup k tomuto dokumentu prostredníctvom jeho ELI URL." w:history="1">
        <w:r w:rsidRPr="000335A2">
          <w:rPr>
            <w:rStyle w:val="Hyperlink"/>
            <w:sz w:val="24"/>
            <w:lang w:val="sk-SK"/>
          </w:rPr>
          <w:t>http://data.europa.eu/eli/agree_internation/2009/332/oj</w:t>
        </w:r>
      </w:hyperlink>
      <w:r w:rsidRPr="000335A2">
        <w:rPr>
          <w:sz w:val="24"/>
          <w:lang w:val="sk-SK"/>
        </w:rPr>
        <w:t>.</w:t>
      </w:r>
    </w:p>
  </w:footnote>
  <w:footnote w:id="2">
    <w:p w14:paraId="1633B124" w14:textId="418AAAD0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>Ú. v. EÚ L 330, 20.9.2021, s. </w:t>
      </w:r>
      <w:r w:rsidRPr="000335A2">
        <w:rPr>
          <w:sz w:val="24"/>
          <w:lang w:val="sk-SK"/>
        </w:rPr>
        <w:t xml:space="preserve">1, ELI: </w:t>
      </w:r>
      <w:hyperlink r:id="rId2" w:tooltip="Umožňuje prístup k tomuto dokumentu prostredníctvom jeho ELI URL." w:history="1">
        <w:r w:rsidRPr="000335A2">
          <w:rPr>
            <w:rStyle w:val="Hyperlink"/>
            <w:sz w:val="24"/>
            <w:lang w:val="sk-SK"/>
          </w:rPr>
          <w:t>http://data.europa.eu/eli/reg/2021/1529/oj</w:t>
        </w:r>
      </w:hyperlink>
      <w:r w:rsidRPr="000335A2">
        <w:rPr>
          <w:sz w:val="24"/>
          <w:lang w:val="sk-SK"/>
        </w:rPr>
        <w:t>.</w:t>
      </w:r>
    </w:p>
  </w:footnote>
  <w:footnote w:id="3">
    <w:p w14:paraId="581F80C0" w14:textId="2FFCD7C9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>Ú. v. </w:t>
      </w:r>
      <w:r w:rsidRPr="000335A2">
        <w:rPr>
          <w:sz w:val="24"/>
          <w:lang w:val="sk-SK"/>
        </w:rPr>
        <w:t xml:space="preserve">EÚ L, 2024/1449, 24.5.2024, ELI: </w:t>
      </w:r>
      <w:hyperlink r:id="rId3" w:tgtFrame="_blank" w:tooltip="Umožňuje prístup k tomuto dokumentu prostredníctvom jeho ELI URL." w:history="1">
        <w:r w:rsidRPr="000335A2">
          <w:rPr>
            <w:rStyle w:val="Hyperlink"/>
            <w:sz w:val="24"/>
            <w:lang w:val="sk-SK"/>
          </w:rPr>
          <w:t>http://data.europa.eu/eli/reg/2024/1449/oj</w:t>
        </w:r>
      </w:hyperlink>
      <w:r w:rsidRPr="000335A2">
        <w:rPr>
          <w:sz w:val="24"/>
          <w:lang w:val="sk-SK"/>
        </w:rPr>
        <w:t>.</w:t>
      </w:r>
    </w:p>
  </w:footnote>
  <w:footnote w:id="4">
    <w:p w14:paraId="4B9B3B50" w14:textId="1C91A852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>Nariadenie Európskeho parlamentu a Rady (EÚ) 2024/1083 z 11. apríla 2024, ktorým sa stanovuje spoločný rámec pre mediálne služby na vnútornom trhu a mení smernica 2010/13/EÚ (Európsky akt o slobode médií) (Ú. v. </w:t>
      </w:r>
      <w:r w:rsidRPr="000335A2">
        <w:rPr>
          <w:sz w:val="24"/>
          <w:lang w:val="sk-SK"/>
        </w:rPr>
        <w:t xml:space="preserve">EÚ L, 2024/1083, 17.4.2024, ELI: </w:t>
      </w:r>
      <w:hyperlink r:id="rId4" w:history="1">
        <w:r w:rsidRPr="000335A2">
          <w:rPr>
            <w:rStyle w:val="Hyperlink"/>
            <w:sz w:val="24"/>
            <w:lang w:val="sk-SK"/>
          </w:rPr>
          <w:t>http://data.europa.eu/eli/reg/2024/1083/oj</w:t>
        </w:r>
      </w:hyperlink>
      <w:r w:rsidRPr="000335A2">
        <w:rPr>
          <w:sz w:val="24"/>
          <w:lang w:val="sk-SK"/>
        </w:rPr>
        <w:t>).</w:t>
      </w:r>
    </w:p>
  </w:footnote>
  <w:footnote w:id="5">
    <w:p w14:paraId="271DB6C6" w14:textId="734937DB" w:rsidR="00D677E2" w:rsidRPr="004E0320" w:rsidRDefault="00D677E2" w:rsidP="004E0320">
      <w:pPr>
        <w:pStyle w:val="FootnoteText"/>
        <w:ind w:left="567" w:hanging="567"/>
        <w:rPr>
          <w:sz w:val="24"/>
          <w:szCs w:val="24"/>
          <w:lang w:val="sk-SK"/>
        </w:rPr>
      </w:pPr>
      <w:r w:rsidRPr="004E0320">
        <w:rPr>
          <w:rStyle w:val="FootnoteReference"/>
          <w:sz w:val="24"/>
          <w:szCs w:val="24"/>
        </w:rPr>
        <w:footnoteRef/>
      </w:r>
      <w:r w:rsidRPr="004E0320">
        <w:rPr>
          <w:sz w:val="24"/>
          <w:szCs w:val="24"/>
          <w:lang w:val="sk-SK"/>
        </w:rPr>
        <w:t xml:space="preserve"> </w:t>
      </w:r>
      <w:r w:rsidRPr="004E0320">
        <w:rPr>
          <w:sz w:val="24"/>
          <w:szCs w:val="24"/>
          <w:lang w:val="sk-SK"/>
        </w:rPr>
        <w:tab/>
      </w:r>
      <w:hyperlink r:id="rId5" w:history="1">
        <w:r w:rsidRPr="004E0320">
          <w:rPr>
            <w:rStyle w:val="Hyperlink"/>
            <w:sz w:val="24"/>
            <w:szCs w:val="24"/>
            <w:lang w:val="sk-SK"/>
          </w:rPr>
          <w:t>https://www.state.gov/reports/2023-report-on-international-religious-freedom/albania/</w:t>
        </w:r>
      </w:hyperlink>
      <w:r w:rsidRPr="004E0320">
        <w:rPr>
          <w:sz w:val="24"/>
          <w:szCs w:val="24"/>
          <w:lang w:val="sk-SK"/>
        </w:rPr>
        <w:t>.</w:t>
      </w:r>
    </w:p>
  </w:footnote>
  <w:footnote w:id="6">
    <w:p w14:paraId="1D3F45AE" w14:textId="78C48BDF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>Smernica Európskeho parlamentu a Rady 2014/92/EÚ z 23. júla 2014 o porovnateľnosti poplatkov za platobné účty, o presune platobných účtov a o prístupe k platobným účtom so základnými funkciami (Ú. v. EÚ L 257, 28.8.2014, s. </w:t>
      </w:r>
      <w:r w:rsidRPr="000335A2">
        <w:rPr>
          <w:sz w:val="24"/>
          <w:lang w:val="sk-SK"/>
        </w:rPr>
        <w:t xml:space="preserve">214, ELI: </w:t>
      </w:r>
      <w:hyperlink r:id="rId6" w:history="1">
        <w:r w:rsidRPr="000335A2">
          <w:rPr>
            <w:rStyle w:val="Hyperlink"/>
            <w:sz w:val="24"/>
            <w:lang w:val="sk-SK"/>
          </w:rPr>
          <w:t>http://data.europa.eu/eli/dir/2014/92/oj</w:t>
        </w:r>
      </w:hyperlink>
      <w:r w:rsidRPr="000335A2">
        <w:rPr>
          <w:sz w:val="24"/>
          <w:lang w:val="sk-SK"/>
        </w:rPr>
        <w:t>).</w:t>
      </w:r>
    </w:p>
  </w:footnote>
  <w:footnote w:id="7">
    <w:p w14:paraId="1F60E0FB" w14:textId="7F5FA1C3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>Smernica Európskeho parlamentu a Rady 2011/92/EÚ z 13. decembra 2011 o posudzovaní vplyvov určitých verejných a súkromných projektov na životné prostredie (Ú. v. EÚ L 26, 28.1.2012, s. </w:t>
      </w:r>
      <w:r w:rsidRPr="000335A2">
        <w:rPr>
          <w:sz w:val="24"/>
          <w:lang w:val="sk-SK"/>
        </w:rPr>
        <w:t xml:space="preserve">1, ELI: </w:t>
      </w:r>
      <w:hyperlink r:id="rId7" w:history="1">
        <w:r w:rsidRPr="000335A2">
          <w:rPr>
            <w:rStyle w:val="Hyperlink"/>
            <w:sz w:val="24"/>
            <w:lang w:val="sk-SK"/>
          </w:rPr>
          <w:t>http://data.europa.eu/eli/dir/2011/92/oj</w:t>
        </w:r>
      </w:hyperlink>
      <w:r w:rsidRPr="000335A2">
        <w:rPr>
          <w:sz w:val="24"/>
          <w:lang w:val="sk-SK"/>
        </w:rPr>
        <w:t>).</w:t>
      </w:r>
    </w:p>
  </w:footnote>
  <w:footnote w:id="8">
    <w:p w14:paraId="62A3BC92" w14:textId="75DF5792" w:rsidR="00120D5B" w:rsidRPr="000335A2" w:rsidRDefault="00120D5B" w:rsidP="000335A2">
      <w:pPr>
        <w:pStyle w:val="FootnoteText"/>
        <w:ind w:left="567" w:hanging="567"/>
        <w:rPr>
          <w:sz w:val="24"/>
          <w:lang w:val="sk-SK"/>
        </w:rPr>
      </w:pPr>
      <w:r w:rsidRPr="000335A2">
        <w:rPr>
          <w:rStyle w:val="FootnoteReference"/>
          <w:sz w:val="24"/>
          <w:lang w:val="sk-SK"/>
        </w:rPr>
        <w:footnoteRef/>
      </w:r>
      <w:r w:rsidR="000335A2" w:rsidRPr="000335A2">
        <w:rPr>
          <w:sz w:val="24"/>
          <w:lang w:val="sk-SK"/>
        </w:rPr>
        <w:t xml:space="preserve"> </w:t>
      </w:r>
      <w:r w:rsidR="000335A2" w:rsidRPr="000335A2">
        <w:rPr>
          <w:sz w:val="24"/>
          <w:lang w:val="sk-SK"/>
        </w:rPr>
        <w:tab/>
      </w:r>
      <w:r w:rsidRPr="000335A2">
        <w:rPr>
          <w:sz w:val="24"/>
          <w:lang w:val="sk-SK"/>
        </w:rPr>
        <w:t>Smernica Európskeho parlamentu a Rady 2001/42/ES z 27. júna 2001 o posudzovaní účinkov určitých plánov a programov na životné prostredie (Ú. v. ES L 197, 21.7.2001, s. </w:t>
      </w:r>
      <w:r w:rsidRPr="000335A2">
        <w:rPr>
          <w:sz w:val="24"/>
          <w:lang w:val="sk-SK"/>
        </w:rPr>
        <w:t xml:space="preserve">30, ELI: </w:t>
      </w:r>
      <w:hyperlink r:id="rId8" w:history="1">
        <w:r w:rsidRPr="000335A2">
          <w:rPr>
            <w:rStyle w:val="Hyperlink"/>
            <w:sz w:val="24"/>
            <w:lang w:val="sk-SK"/>
          </w:rPr>
          <w:t>http://data.europa.eu/eli/dir/2001/42/oj</w:t>
        </w:r>
      </w:hyperlink>
      <w:r w:rsidRPr="000335A2">
        <w:rPr>
          <w:sz w:val="24"/>
          <w:lang w:val="sk-SK"/>
        </w:rPr>
        <w:t>).</w:t>
      </w:r>
    </w:p>
  </w:footnote>
  <w:footnote w:id="9">
    <w:p w14:paraId="6071ECBC" w14:textId="3221B2FE" w:rsidR="00404F68" w:rsidRPr="004E0320" w:rsidRDefault="00404F68" w:rsidP="004E0320">
      <w:pPr>
        <w:pStyle w:val="FootnoteText"/>
        <w:ind w:left="567" w:hanging="567"/>
        <w:rPr>
          <w:sz w:val="24"/>
          <w:szCs w:val="24"/>
          <w:lang w:val="sk-SK"/>
        </w:rPr>
      </w:pPr>
      <w:r w:rsidRPr="004E0320">
        <w:rPr>
          <w:rStyle w:val="FootnoteReference"/>
          <w:sz w:val="24"/>
          <w:szCs w:val="24"/>
        </w:rPr>
        <w:footnoteRef/>
      </w:r>
      <w:r w:rsidRPr="004E0320">
        <w:rPr>
          <w:sz w:val="24"/>
          <w:szCs w:val="24"/>
          <w:lang w:val="sk-SK"/>
        </w:rPr>
        <w:t xml:space="preserve"> </w:t>
      </w:r>
      <w:r w:rsidRPr="004E0320">
        <w:rPr>
          <w:sz w:val="24"/>
          <w:szCs w:val="24"/>
          <w:lang w:val="sk-SK"/>
        </w:rPr>
        <w:tab/>
      </w:r>
      <w:hyperlink r:id="rId9" w:history="1">
        <w:r w:rsidRPr="004E0320">
          <w:rPr>
            <w:rStyle w:val="Hyperlink"/>
            <w:sz w:val="24"/>
            <w:szCs w:val="24"/>
            <w:lang w:val="sk-SK"/>
          </w:rPr>
          <w:t>https://politiko.al/english/e-tjera/-mbyll-155-llogari-ruse-ne-internet-per-dezinformimin-ne-tirane-i517028?</w:t>
        </w:r>
      </w:hyperlink>
      <w:r w:rsidRPr="004E0320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6723218">
    <w:abstractNumId w:val="9"/>
  </w:num>
  <w:num w:numId="2" w16cid:durableId="1586912610">
    <w:abstractNumId w:val="9"/>
  </w:num>
  <w:num w:numId="3" w16cid:durableId="1902519969">
    <w:abstractNumId w:val="7"/>
  </w:num>
  <w:num w:numId="4" w16cid:durableId="273639090">
    <w:abstractNumId w:val="7"/>
  </w:num>
  <w:num w:numId="5" w16cid:durableId="1175878588">
    <w:abstractNumId w:val="6"/>
  </w:num>
  <w:num w:numId="6" w16cid:durableId="1084644115">
    <w:abstractNumId w:val="6"/>
  </w:num>
  <w:num w:numId="7" w16cid:durableId="1564095282">
    <w:abstractNumId w:val="5"/>
  </w:num>
  <w:num w:numId="8" w16cid:durableId="2101288064">
    <w:abstractNumId w:val="5"/>
  </w:num>
  <w:num w:numId="9" w16cid:durableId="959190940">
    <w:abstractNumId w:val="4"/>
  </w:num>
  <w:num w:numId="10" w16cid:durableId="1973290236">
    <w:abstractNumId w:val="4"/>
  </w:num>
  <w:num w:numId="11" w16cid:durableId="1968778481">
    <w:abstractNumId w:val="8"/>
  </w:num>
  <w:num w:numId="12" w16cid:durableId="760292885">
    <w:abstractNumId w:val="8"/>
  </w:num>
  <w:num w:numId="13" w16cid:durableId="2138142067">
    <w:abstractNumId w:val="3"/>
  </w:num>
  <w:num w:numId="14" w16cid:durableId="1386683915">
    <w:abstractNumId w:val="3"/>
  </w:num>
  <w:num w:numId="15" w16cid:durableId="2104914055">
    <w:abstractNumId w:val="2"/>
  </w:num>
  <w:num w:numId="16" w16cid:durableId="414061389">
    <w:abstractNumId w:val="2"/>
  </w:num>
  <w:num w:numId="17" w16cid:durableId="1649935926">
    <w:abstractNumId w:val="1"/>
  </w:num>
  <w:num w:numId="18" w16cid:durableId="1753160836">
    <w:abstractNumId w:val="1"/>
  </w:num>
  <w:num w:numId="19" w16cid:durableId="1962031838">
    <w:abstractNumId w:val="0"/>
  </w:num>
  <w:num w:numId="20" w16cid:durableId="849029575">
    <w:abstractNumId w:val="0"/>
  </w:num>
  <w:num w:numId="21" w16cid:durableId="1188249924">
    <w:abstractNumId w:val="9"/>
  </w:num>
  <w:num w:numId="22" w16cid:durableId="1712463604">
    <w:abstractNumId w:val="7"/>
  </w:num>
  <w:num w:numId="23" w16cid:durableId="824517440">
    <w:abstractNumId w:val="6"/>
  </w:num>
  <w:num w:numId="24" w16cid:durableId="583419990">
    <w:abstractNumId w:val="5"/>
  </w:num>
  <w:num w:numId="25" w16cid:durableId="980232106">
    <w:abstractNumId w:val="4"/>
  </w:num>
  <w:num w:numId="26" w16cid:durableId="3748338">
    <w:abstractNumId w:val="8"/>
  </w:num>
  <w:num w:numId="27" w16cid:durableId="1661469241">
    <w:abstractNumId w:val="3"/>
  </w:num>
  <w:num w:numId="28" w16cid:durableId="365717713">
    <w:abstractNumId w:val="2"/>
  </w:num>
  <w:num w:numId="29" w16cid:durableId="1795443771">
    <w:abstractNumId w:val="1"/>
  </w:num>
  <w:num w:numId="30" w16cid:durableId="1798529370">
    <w:abstractNumId w:val="0"/>
  </w:num>
  <w:num w:numId="31" w16cid:durableId="1047754809">
    <w:abstractNumId w:val="9"/>
  </w:num>
  <w:num w:numId="32" w16cid:durableId="1984112606">
    <w:abstractNumId w:val="7"/>
  </w:num>
  <w:num w:numId="33" w16cid:durableId="2069262030">
    <w:abstractNumId w:val="6"/>
  </w:num>
  <w:num w:numId="34" w16cid:durableId="171189329">
    <w:abstractNumId w:val="5"/>
  </w:num>
  <w:num w:numId="35" w16cid:durableId="552539880">
    <w:abstractNumId w:val="4"/>
  </w:num>
  <w:num w:numId="36" w16cid:durableId="219945492">
    <w:abstractNumId w:val="8"/>
  </w:num>
  <w:num w:numId="37" w16cid:durableId="870647525">
    <w:abstractNumId w:val="3"/>
  </w:num>
  <w:num w:numId="38" w16cid:durableId="331883941">
    <w:abstractNumId w:val="2"/>
  </w:num>
  <w:num w:numId="39" w16cid:durableId="683476415">
    <w:abstractNumId w:val="1"/>
  </w:num>
  <w:num w:numId="40" w16cid:durableId="202719915">
    <w:abstractNumId w:val="0"/>
  </w:num>
  <w:num w:numId="41" w16cid:durableId="1396465320">
    <w:abstractNumId w:val="10"/>
  </w:num>
  <w:num w:numId="42" w16cid:durableId="126899676">
    <w:abstractNumId w:val="10"/>
  </w:num>
  <w:num w:numId="43" w16cid:durableId="1230723785">
    <w:abstractNumId w:val="10"/>
  </w:num>
  <w:num w:numId="44" w16cid:durableId="577835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6/2025"/>
    <w:docVar w:name="dvlangue" w:val="SK"/>
    <w:docVar w:name="dvnumam" w:val="0"/>
    <w:docVar w:name="dvpe" w:val="769.914"/>
    <w:docVar w:name="dvrapporteur" w:val="Spravodajca: "/>
    <w:docVar w:name="dvtitre" w:val="Uznesenie Európskeho parlamentu z xx. júla 2025 o správach Komisie o Albánsku za roky 2023 a 2024(2025/2017(INI))"/>
  </w:docVars>
  <w:rsids>
    <w:rsidRoot w:val="001F7430"/>
    <w:rsid w:val="00002272"/>
    <w:rsid w:val="000335A2"/>
    <w:rsid w:val="00064002"/>
    <w:rsid w:val="000677B9"/>
    <w:rsid w:val="000831BA"/>
    <w:rsid w:val="000A42CC"/>
    <w:rsid w:val="000B51F8"/>
    <w:rsid w:val="000E7DD9"/>
    <w:rsid w:val="0010095E"/>
    <w:rsid w:val="00120D5B"/>
    <w:rsid w:val="00121498"/>
    <w:rsid w:val="00125B37"/>
    <w:rsid w:val="00187494"/>
    <w:rsid w:val="00192A21"/>
    <w:rsid w:val="001F32AE"/>
    <w:rsid w:val="001F7430"/>
    <w:rsid w:val="002767FF"/>
    <w:rsid w:val="002B18FE"/>
    <w:rsid w:val="002B5493"/>
    <w:rsid w:val="002B6E8C"/>
    <w:rsid w:val="002C4443"/>
    <w:rsid w:val="00343214"/>
    <w:rsid w:val="00361C00"/>
    <w:rsid w:val="00395FA1"/>
    <w:rsid w:val="00396C5B"/>
    <w:rsid w:val="003E15D4"/>
    <w:rsid w:val="00404F68"/>
    <w:rsid w:val="00411CCE"/>
    <w:rsid w:val="0041666E"/>
    <w:rsid w:val="00421060"/>
    <w:rsid w:val="00471C19"/>
    <w:rsid w:val="004867E3"/>
    <w:rsid w:val="00494A28"/>
    <w:rsid w:val="004962CC"/>
    <w:rsid w:val="004C0004"/>
    <w:rsid w:val="004C5D52"/>
    <w:rsid w:val="004E0320"/>
    <w:rsid w:val="0050519A"/>
    <w:rsid w:val="005072A1"/>
    <w:rsid w:val="00514517"/>
    <w:rsid w:val="00540AAE"/>
    <w:rsid w:val="005422C2"/>
    <w:rsid w:val="00545827"/>
    <w:rsid w:val="00550DE8"/>
    <w:rsid w:val="00560270"/>
    <w:rsid w:val="005C2568"/>
    <w:rsid w:val="005F1B17"/>
    <w:rsid w:val="006037C0"/>
    <w:rsid w:val="006631B6"/>
    <w:rsid w:val="00680577"/>
    <w:rsid w:val="006F3735"/>
    <w:rsid w:val="006F74FA"/>
    <w:rsid w:val="00731ADD"/>
    <w:rsid w:val="00734777"/>
    <w:rsid w:val="00747932"/>
    <w:rsid w:val="00751A4A"/>
    <w:rsid w:val="00754596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FFD"/>
    <w:rsid w:val="00B558F0"/>
    <w:rsid w:val="00B6413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7E2"/>
    <w:rsid w:val="00D74F48"/>
    <w:rsid w:val="00D834A0"/>
    <w:rsid w:val="00D872DF"/>
    <w:rsid w:val="00D91E21"/>
    <w:rsid w:val="00DA7FCD"/>
    <w:rsid w:val="00E2633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4A7"/>
    <w:rsid w:val="00F74202"/>
    <w:rsid w:val="00F77B3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FF5BF"/>
  <w15:chartTrackingRefBased/>
  <w15:docId w15:val="{FA48AD10-68FD-4390-ADE1-48219710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20D5B"/>
    <w:pPr>
      <w:spacing w:after="240"/>
      <w:ind w:left="567" w:hanging="567"/>
    </w:pPr>
  </w:style>
  <w:style w:type="paragraph" w:customStyle="1" w:styleId="EPComma">
    <w:name w:val="EPComma"/>
    <w:basedOn w:val="Normal"/>
    <w:rsid w:val="00120D5B"/>
    <w:pPr>
      <w:spacing w:before="480" w:after="240"/>
    </w:pPr>
  </w:style>
  <w:style w:type="character" w:styleId="Hyperlink">
    <w:name w:val="Hyperlink"/>
    <w:basedOn w:val="DefaultParagraphFont"/>
    <w:rsid w:val="00120D5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20D5B"/>
    <w:rPr>
      <w:sz w:val="24"/>
      <w:lang w:val="sk-SK"/>
    </w:rPr>
  </w:style>
  <w:style w:type="paragraph" w:styleId="Revision">
    <w:name w:val="Revision"/>
    <w:hidden/>
    <w:uiPriority w:val="99"/>
    <w:semiHidden/>
    <w:rsid w:val="00754596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D67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1/42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dir/2011/92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9/332/oj" TargetMode="External"/><Relationship Id="rId6" Type="http://schemas.openxmlformats.org/officeDocument/2006/relationships/hyperlink" Target="http://data.europa.eu/eli/dir/2014/92/oj" TargetMode="External"/><Relationship Id="rId5" Type="http://schemas.openxmlformats.org/officeDocument/2006/relationships/hyperlink" Target="https://www.state.gov/reports/2023-report-on-international-religious-freedom/albania/" TargetMode="External"/><Relationship Id="rId4" Type="http://schemas.openxmlformats.org/officeDocument/2006/relationships/hyperlink" Target="http://data.europa.eu/eli/reg/2024/1083/oj" TargetMode="External"/><Relationship Id="rId9" Type="http://schemas.openxmlformats.org/officeDocument/2006/relationships/hyperlink" Target="https://politiko.al/english/e-tjera/-mbyll-155-llogari-ruse-ne-internet-per-dezinformimin-ne-tirane-i517028?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6312</Words>
  <Characters>40595</Characters>
  <Application>Microsoft Office Word</Application>
  <DocSecurity>0</DocSecurity>
  <Lines>1127</Lines>
  <Paragraphs>670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2025-07-09T14:42:00Z</dcterms:created>
  <dcterms:modified xsi:type="dcterms:W3CDTF">2025-07-09T14:42:00Z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A10-0106/2025</vt:lpwstr>
  </property>
  <property fmtid="{D5CDD505-2E9C-101B-9397-08002B2CF9AE}" pid="4" name="&lt;Type&gt;">
    <vt:lpwstr>RR</vt:lpwstr>
  </property>
</Properties>
</file>