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3D6C" w14:paraId="32E3D3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FF2739" w14:textId="77777777" w:rsidR="00751A4A" w:rsidRPr="00D23D6C" w:rsidRDefault="00F55B3E" w:rsidP="0010095E">
            <w:pPr>
              <w:pStyle w:val="EPName"/>
            </w:pPr>
            <w:r w:rsidRPr="00D23D6C">
              <w:t>Evropský parlament</w:t>
            </w:r>
          </w:p>
          <w:p w14:paraId="05906D88" w14:textId="77777777" w:rsidR="00751A4A" w:rsidRPr="00D23D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3D6C">
              <w:t>2024</w:t>
            </w:r>
            <w:r w:rsidR="00817416" w:rsidRPr="00D23D6C">
              <w:t>-202</w:t>
            </w:r>
            <w:r w:rsidRPr="00D23D6C">
              <w:t>9</w:t>
            </w:r>
          </w:p>
        </w:tc>
        <w:tc>
          <w:tcPr>
            <w:tcW w:w="2268" w:type="dxa"/>
            <w:shd w:val="clear" w:color="auto" w:fill="auto"/>
          </w:tcPr>
          <w:p w14:paraId="10C6BA40" w14:textId="77777777" w:rsidR="00751A4A" w:rsidRPr="00D23D6C" w:rsidRDefault="00187494" w:rsidP="0010095E">
            <w:pPr>
              <w:pStyle w:val="EPLogo"/>
            </w:pPr>
            <w:r w:rsidRPr="00D23D6C">
              <w:rPr>
                <w:noProof/>
                <w:lang w:eastAsia="ja-JP"/>
              </w:rPr>
              <w:drawing>
                <wp:inline distT="0" distB="0" distL="0" distR="0" wp14:anchorId="2A54E506" wp14:editId="15E2E2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32D47" w14:textId="77777777" w:rsidR="00D058B8" w:rsidRPr="00D23D6C" w:rsidRDefault="00D058B8" w:rsidP="004C5D52">
      <w:pPr>
        <w:pStyle w:val="LineTop"/>
      </w:pPr>
    </w:p>
    <w:p w14:paraId="6B5CE278" w14:textId="77777777" w:rsidR="00680577" w:rsidRPr="00D23D6C" w:rsidRDefault="00F55B3E" w:rsidP="00680577">
      <w:pPr>
        <w:pStyle w:val="EPBodyTA1"/>
      </w:pPr>
      <w:r w:rsidRPr="00D23D6C">
        <w:t>PŘIJATÉ TEXTY</w:t>
      </w:r>
    </w:p>
    <w:p w14:paraId="65690217" w14:textId="77777777" w:rsidR="00D058B8" w:rsidRPr="00D23D6C" w:rsidRDefault="00D058B8" w:rsidP="00D058B8">
      <w:pPr>
        <w:pStyle w:val="LineBottom"/>
      </w:pPr>
    </w:p>
    <w:p w14:paraId="088206CC" w14:textId="64E09AB6" w:rsidR="00F55B3E" w:rsidRPr="00D23D6C" w:rsidRDefault="00F55B3E" w:rsidP="00F55B3E">
      <w:pPr>
        <w:pStyle w:val="ATHeading1"/>
      </w:pPr>
      <w:bookmarkStart w:id="0" w:name="TANumber"/>
      <w:r w:rsidRPr="00D23D6C">
        <w:t>P10_TA(2025)0</w:t>
      </w:r>
      <w:r w:rsidR="00522C7B">
        <w:t>156</w:t>
      </w:r>
      <w:bookmarkEnd w:id="0"/>
    </w:p>
    <w:p w14:paraId="7F4B7CCC" w14:textId="77777777" w:rsidR="00F55B3E" w:rsidRPr="00D23D6C" w:rsidRDefault="00F55B3E" w:rsidP="00F55B3E">
      <w:pPr>
        <w:pStyle w:val="ATHeading2"/>
      </w:pPr>
      <w:bookmarkStart w:id="1" w:name="title"/>
      <w:r w:rsidRPr="00D23D6C">
        <w:t>Zprávy o Bosně a Hercegovině za roky 2023 a 2024</w:t>
      </w:r>
      <w:bookmarkEnd w:id="1"/>
    </w:p>
    <w:p w14:paraId="0DFFA343" w14:textId="77777777" w:rsidR="00F55B3E" w:rsidRPr="00D23D6C" w:rsidRDefault="00F55B3E" w:rsidP="00F55B3E">
      <w:pPr>
        <w:rPr>
          <w:i/>
          <w:vanish/>
        </w:rPr>
      </w:pPr>
      <w:r w:rsidRPr="00D23D6C">
        <w:rPr>
          <w:i/>
        </w:rPr>
        <w:fldChar w:fldCharType="begin"/>
      </w:r>
      <w:r w:rsidRPr="00D23D6C">
        <w:rPr>
          <w:i/>
        </w:rPr>
        <w:instrText xml:space="preserve"> TC"(</w:instrText>
      </w:r>
      <w:bookmarkStart w:id="2" w:name="DocNumber"/>
      <w:r w:rsidRPr="00D23D6C">
        <w:rPr>
          <w:i/>
        </w:rPr>
        <w:instrText>A10-0108/2025</w:instrText>
      </w:r>
      <w:bookmarkEnd w:id="2"/>
      <w:r w:rsidRPr="00D23D6C">
        <w:rPr>
          <w:i/>
        </w:rPr>
        <w:instrText xml:space="preserve"> - Zpravodaj: Ondřej Kolář)"\l3 \n&gt; \* MERGEFORMAT </w:instrText>
      </w:r>
      <w:r w:rsidRPr="00D23D6C">
        <w:rPr>
          <w:i/>
        </w:rPr>
        <w:fldChar w:fldCharType="end"/>
      </w:r>
    </w:p>
    <w:p w14:paraId="2326EC47" w14:textId="77777777" w:rsidR="00F55B3E" w:rsidRPr="00D23D6C" w:rsidRDefault="00F55B3E" w:rsidP="00F55B3E">
      <w:pPr>
        <w:rPr>
          <w:vanish/>
        </w:rPr>
      </w:pPr>
      <w:bookmarkStart w:id="3" w:name="Commission"/>
      <w:r w:rsidRPr="00D23D6C">
        <w:rPr>
          <w:vanish/>
        </w:rPr>
        <w:t>Výbor pro zahraniční věci</w:t>
      </w:r>
      <w:bookmarkEnd w:id="3"/>
    </w:p>
    <w:p w14:paraId="27431658" w14:textId="77777777" w:rsidR="00F55B3E" w:rsidRPr="00D23D6C" w:rsidRDefault="00F55B3E" w:rsidP="00F55B3E">
      <w:pPr>
        <w:rPr>
          <w:vanish/>
        </w:rPr>
      </w:pPr>
      <w:bookmarkStart w:id="4" w:name="PE"/>
      <w:r w:rsidRPr="00D23D6C">
        <w:rPr>
          <w:vanish/>
        </w:rPr>
        <w:t>PE769.995</w:t>
      </w:r>
      <w:bookmarkEnd w:id="4"/>
    </w:p>
    <w:p w14:paraId="53BCEA6F" w14:textId="65A89DCB" w:rsidR="00F55B3E" w:rsidRPr="00D23D6C" w:rsidRDefault="00F55B3E" w:rsidP="00F55B3E">
      <w:pPr>
        <w:pStyle w:val="ATHeading3"/>
      </w:pPr>
      <w:bookmarkStart w:id="5" w:name="Sujet"/>
      <w:r w:rsidRPr="00D23D6C">
        <w:t xml:space="preserve">Usnesení Evropského parlamentu ze dne </w:t>
      </w:r>
      <w:r w:rsidR="00F95A3F">
        <w:t>9</w:t>
      </w:r>
      <w:r w:rsidRPr="00D23D6C">
        <w:t>. července 2025 o zprávách Komise o Bosně a Hercegovině za rok</w:t>
      </w:r>
      <w:r w:rsidR="001F3D76">
        <w:t>y</w:t>
      </w:r>
      <w:r w:rsidRPr="00D23D6C">
        <w:t xml:space="preserve"> 2023 a 2024</w:t>
      </w:r>
      <w:bookmarkEnd w:id="5"/>
      <w:r w:rsidRPr="00D23D6C">
        <w:t xml:space="preserve"> </w:t>
      </w:r>
      <w:bookmarkStart w:id="6" w:name="References"/>
      <w:r w:rsidRPr="00D23D6C">
        <w:t>(2025/2018(INI))</w:t>
      </w:r>
      <w:bookmarkEnd w:id="6"/>
    </w:p>
    <w:p w14:paraId="39FF8CF1" w14:textId="77777777" w:rsidR="00492CBA" w:rsidRPr="00D23D6C" w:rsidRDefault="00492CBA" w:rsidP="00492CBA">
      <w:pPr>
        <w:pStyle w:val="EPComma"/>
      </w:pPr>
      <w:r w:rsidRPr="00D23D6C">
        <w:rPr>
          <w:rStyle w:val="Italic"/>
        </w:rPr>
        <w:t>Evropský parlament</w:t>
      </w:r>
      <w:r w:rsidRPr="00D23D6C">
        <w:t>,</w:t>
      </w:r>
    </w:p>
    <w:p w14:paraId="1BCEBC9D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t>–</w:t>
      </w:r>
      <w:r w:rsidRPr="00D23D6C">
        <w:tab/>
        <w:t>s ohledem na Všeobecnou rá</w:t>
      </w:r>
      <w:r w:rsidRPr="00D23D6C">
        <w:rPr>
          <w:szCs w:val="24"/>
        </w:rPr>
        <w:t>mcovou dohodu o míru v Bosně a Hercegovině, která byla parafována dne 21. listopadu 1995 v Daytonu a podepsána dne 14. prosince 1995 v Paříži (Daytonská mírová dohoda),</w:t>
      </w:r>
    </w:p>
    <w:p w14:paraId="65269C50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Dohodu o stabilizaci a přidružení mezi Evropskými společenstvími a jejich členskými státy na jedné straně a Bosnou a Hercegovinou na straně druhé</w:t>
      </w:r>
      <w:r w:rsidRPr="00D23D6C">
        <w:rPr>
          <w:rStyle w:val="FootnoteReference"/>
          <w:szCs w:val="24"/>
        </w:rPr>
        <w:footnoteReference w:id="1"/>
      </w:r>
      <w:r w:rsidRPr="00D23D6C">
        <w:rPr>
          <w:szCs w:val="24"/>
        </w:rPr>
        <w:t>, jež vstoupila v platnost dne 1. června 2015,</w:t>
      </w:r>
    </w:p>
    <w:p w14:paraId="15479BA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žádost Bosny a Hercegoviny o členství v EU podanou dne 15. února 2016,</w:t>
      </w:r>
    </w:p>
    <w:p w14:paraId="772A3EE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 stanovisko Komise k žádosti Bosny a Hercegoviny o členství v Evropské unii ze dne 29. května 2019 (COM(2019)0261),</w:t>
      </w:r>
    </w:p>
    <w:p w14:paraId="2ABC5F2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závěry Evropské rady ze dne 15. prosince 2022, kterými byl Bosně a Hercegovině udělen status kandidátské země EU,</w:t>
      </w:r>
    </w:p>
    <w:p w14:paraId="179BA51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závěry Evropské rady ze dne 22. března 2024 o zahájení přístupových jednání s Bosnou a Hercegovinou,</w:t>
      </w:r>
    </w:p>
    <w:p w14:paraId="49199DED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nařízení Evropského parlamentu a Rady (EU) 2021/1529 ze dne 15. září 2021, kterým se zřizuje Nástroj předvstupní pomoci (NPP III)</w:t>
      </w:r>
      <w:r w:rsidRPr="00D23D6C">
        <w:rPr>
          <w:rStyle w:val="FootnoteReference"/>
          <w:szCs w:val="24"/>
        </w:rPr>
        <w:footnoteReference w:id="2"/>
      </w:r>
      <w:r w:rsidRPr="00D23D6C">
        <w:rPr>
          <w:szCs w:val="24"/>
        </w:rPr>
        <w:t>,</w:t>
      </w:r>
    </w:p>
    <w:p w14:paraId="76CC71E0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nařízení Evropského parlamentu a Rady (EU) 2024/1449 ze dne 14. května 2024 o zřízení nástroje pro reformy a růst pro země západního Balkánu</w:t>
      </w:r>
      <w:r w:rsidRPr="00D23D6C">
        <w:rPr>
          <w:rStyle w:val="FootnoteReference"/>
          <w:szCs w:val="24"/>
        </w:rPr>
        <w:footnoteReference w:id="3"/>
      </w:r>
      <w:r w:rsidRPr="00D23D6C">
        <w:rPr>
          <w:szCs w:val="24"/>
        </w:rPr>
        <w:t>,</w:t>
      </w:r>
    </w:p>
    <w:p w14:paraId="1C3983F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–</w:t>
      </w:r>
      <w:r w:rsidRPr="00D23D6C">
        <w:rPr>
          <w:szCs w:val="24"/>
        </w:rPr>
        <w:tab/>
        <w:t>s ohledem na závěry předsednictví přijaté na zasedání Evropské rady v Soluni konaném ve dnech 19. a 20. června 2003,</w:t>
      </w:r>
    </w:p>
    <w:p w14:paraId="6588F35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prohlášení přijatá na summitech EU – západní Balkán konaných dne 6. května 2020, 13. prosince 2023 a 18. prosince 2024 v Bruselu,</w:t>
      </w:r>
    </w:p>
    <w:p w14:paraId="51EC7BE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berlínský proces zahájený dne 28. srpna 2014,</w:t>
      </w:r>
    </w:p>
    <w:p w14:paraId="7859BC8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rozhodnutí Rady (EU) 2021/1923 ze dne 4. listopadu 2021 o opatření pomoci v rámci Evropského mírového nástroje na podporu budování kapacit ozbrojených sil Bosny a Hercegoviny</w:t>
      </w:r>
      <w:r w:rsidRPr="00D23D6C">
        <w:rPr>
          <w:rStyle w:val="FootnoteReference"/>
          <w:szCs w:val="24"/>
        </w:rPr>
        <w:footnoteReference w:id="4"/>
      </w:r>
      <w:r w:rsidRPr="00D23D6C">
        <w:rPr>
          <w:szCs w:val="24"/>
        </w:rPr>
        <w:t>,</w:t>
      </w:r>
    </w:p>
    <w:p w14:paraId="25A1A98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rozhodnutí Rady (EU) 2022/2353 ze dne 1. prosince 2022 o opatření pomoci v rámci Evropského mírového nástroje na posílení kapacit ozbrojených sil Bosny a Hercegoviny</w:t>
      </w:r>
      <w:r w:rsidRPr="00D23D6C">
        <w:rPr>
          <w:rStyle w:val="FootnoteReference"/>
          <w:szCs w:val="24"/>
        </w:rPr>
        <w:footnoteReference w:id="5"/>
      </w:r>
      <w:r w:rsidRPr="00D23D6C">
        <w:rPr>
          <w:szCs w:val="24"/>
        </w:rPr>
        <w:t>,</w:t>
      </w:r>
    </w:p>
    <w:p w14:paraId="45F1AC3C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 5. února 2020 nazvané „Posílení procesu přistoupení – přesvědčivá perspektiva EU pro západní Balkán“ (COM(2020)0057),</w:t>
      </w:r>
    </w:p>
    <w:p w14:paraId="63694DDD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 6. října 2020 nazvané „Hospodářský a investiční plán pro západní Balkán“ (COM(2020)0641),</w:t>
      </w:r>
    </w:p>
    <w:p w14:paraId="59DD0FD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 8. listopadu 2023 nazvané „Sdělení o politice rozšíření EU pro rok 2023“ (COM(2023)0690) doplněné pracovním dokumentem útvarů Komise nazvaným „Zpráva o Bosně a Hercegovině za rok 2023“ (SWD(2023)0691),</w:t>
      </w:r>
    </w:p>
    <w:p w14:paraId="10B5B547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 8. listopadu 2023 nazvané „Nový plán růstu pro západní Balkán“(COM(2023)0691),</w:t>
      </w:r>
    </w:p>
    <w:p w14:paraId="25F8162C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 12. března 2024 nazvané „Zpráva o pokroku Bosny a Hercegoviny – březen 2024“ (COM(2024)0129),</w:t>
      </w:r>
    </w:p>
    <w:p w14:paraId="3977645C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 20. března 2024 o předvstupních reformách a přezkumech předvstupní politiky (COM(2024)0146),</w:t>
      </w:r>
    </w:p>
    <w:p w14:paraId="3451F71D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sdělení Komise ze dne 30. října 2024 nazvané „Sdělení o politice rozšíření EU pro rok 2024“ (COM(2024)0690) doplněné pracovním dokumentem útvarů Komise nazvaným „Zpráva o Bosně a Hercegovině za rok 2024“ (SWD(2024)0691),</w:t>
      </w:r>
    </w:p>
    <w:p w14:paraId="4781D745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dokumenty Komise ze dnů 31. května 2023 a 13. června 2024 obsahující přehled a hodnocení programu hospodářských reforem Bosny a Hercegoviny,</w:t>
      </w:r>
    </w:p>
    <w:p w14:paraId="5B2C53B2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páté zasedání Rady stabilizace a přidružení EU – Bosna a Hercegovina, které se konalo dne 19. července 2023, a na sedmé zasedání Výboru pro stabilizaci a přidružení EU – Bosna a Hercegovina, které proběhlo dne 19. září 2024,</w:t>
      </w:r>
    </w:p>
    <w:p w14:paraId="4E93C78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–</w:t>
      </w:r>
      <w:r w:rsidRPr="00D23D6C">
        <w:rPr>
          <w:szCs w:val="24"/>
        </w:rPr>
        <w:tab/>
        <w:t>s ohledem na výsledky třetí, čtvrté, páté a šesté schůze Parlamentního výboru pro stabilizaci a přidružení EU – Bosna a Hercegovina, jež se konaly ve dnech 30.–31. října 2023, 13.–14. března 2024, 30. října 2024 a 12.–13. března 2025,</w:t>
      </w:r>
    </w:p>
    <w:p w14:paraId="165972A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odbornou zprávu o otázkách právního státu v Bosně a Hercegovině ze dne 5. prosince 2019,</w:t>
      </w:r>
    </w:p>
    <w:p w14:paraId="00908C39" w14:textId="77777777" w:rsidR="00492CBA" w:rsidRPr="00D23D6C" w:rsidRDefault="00492CBA" w:rsidP="00D23D6C">
      <w:pPr>
        <w:pStyle w:val="NormalHanging12a"/>
        <w:rPr>
          <w:bCs/>
          <w:iCs/>
          <w:szCs w:val="24"/>
        </w:rPr>
      </w:pPr>
      <w:r w:rsidRPr="00D23D6C">
        <w:rPr>
          <w:b/>
          <w:i/>
          <w:szCs w:val="24"/>
        </w:rPr>
        <w:t>–</w:t>
      </w:r>
      <w:r w:rsidRPr="00D23D6C">
        <w:rPr>
          <w:b/>
          <w:i/>
          <w:szCs w:val="24"/>
        </w:rPr>
        <w:tab/>
      </w:r>
      <w:r w:rsidRPr="00D23D6C">
        <w:rPr>
          <w:szCs w:val="24"/>
        </w:rPr>
        <w:t>s ohledem na politickou dohodu Evropské rady ze dne 12. června 2022 o zásadách k zajištění toho, aby Bosna a Hercegovina byla fungující zemí, která bude postupovat na cestě k evropské integraci,</w:t>
      </w:r>
    </w:p>
    <w:p w14:paraId="44601D7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zprávy vysokého představitele pro provádění mírové dohody v Bosně a Hercegovině předložené generálnímu tajemníkovi OSN dne 9. května 2023 (63. zpráva), 2. listopadu 2023 (64. zpráva), 15. května 2024 (65. zpráva) a 1. listopadu 2024 (66. zpráva),</w:t>
      </w:r>
    </w:p>
    <w:p w14:paraId="3657C90F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rezoluci Rady bezpečnosti OSN 2757 (2024) ze dne 1. listopadu 2024, kterou se prodlužuje mandát sil pod vedením EU v Bosně a Hercegovině (EUFOR) do 2. listopadu 2025,</w:t>
      </w:r>
    </w:p>
    <w:p w14:paraId="60C90D6D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rezoluci Valného shromáždění OSN 78/282 ze dne 23. května 2024, jíž byl 11. červenec vyhlášen Mezinárodním dnem reflexe a připomínání genocidy v Srebrenici v roce 1995,</w:t>
      </w:r>
    </w:p>
    <w:p w14:paraId="1C150BA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Úmluvu Organizace spojených národů o právech dítěte (UNCRC), kterou Bosna a Hercegovina ratifikovala dne 6. března 1992, a na její tři opční protokoly: Opční protokol o zapojování dětí do ozbrojených konfliktů ratifikovaný dne 10. října 2003, Opční protokol týkající se prodeje dětí, dětské prostituce a dětské pornografie ratifikovaný dne 4. září 2001 a Opční protokol zavádějící postup předkládání oznámení ratifikovaný dne 19. října 2018,</w:t>
      </w:r>
    </w:p>
    <w:p w14:paraId="6E6CE593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rezoluce UNESCO o právu na vzdělání v mateřském jazyce, na úmluvu UNESCO ze dne 17. října 2003 o zachování nehmotného kulturního dědictví a na úmluvu UNESCO ze dne 20. října 2005 o ochraně a podpoře rozmanitosti kulturních projevů,</w:t>
      </w:r>
    </w:p>
    <w:p w14:paraId="62B0256C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ústavu Bosny a Hercegoviny,</w:t>
      </w:r>
    </w:p>
    <w:p w14:paraId="1A98852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novelu volebního zákona Bosny a Hercegoviny, kterou dne 26. března 2024 vyhlásil vysoký představitel pro Bosnu a Hercegovinu,</w:t>
      </w:r>
    </w:p>
    <w:p w14:paraId="6839696F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cesty místopředsedkyně Komise, vysoké představitelky Unie pro zahraniční věci a bezpečnostní politiku Kaji Kallasové a generálního tajemníka NATO Marka Rutteho do Bosny a Hercegoviny v březnu a dubnu 2025,</w:t>
      </w:r>
    </w:p>
    <w:p w14:paraId="7D8EA49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prohlášení předsedy Evropské rady Antónia Costy z dubna 2025 adresované předním politickým představitelům Bosny a Hercegoviny,</w:t>
      </w:r>
    </w:p>
    <w:p w14:paraId="644DD3F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–</w:t>
      </w:r>
      <w:r w:rsidRPr="00D23D6C">
        <w:rPr>
          <w:szCs w:val="24"/>
        </w:rPr>
        <w:tab/>
        <w:t>s ohledem na své doporučení Radě, Komisi a místopředsedovi Komise, vysokému představiteli Unie pro zahraniční věci a bezpečnostní politiku vydané dne 23. listopadu 2022 a týkající se nové strategie EU v oblasti rozšíření</w:t>
      </w:r>
      <w:r w:rsidRPr="00D23D6C">
        <w:rPr>
          <w:rStyle w:val="FootnoteReference"/>
          <w:szCs w:val="24"/>
        </w:rPr>
        <w:footnoteReference w:id="6"/>
      </w:r>
      <w:r w:rsidRPr="00D23D6C">
        <w:rPr>
          <w:szCs w:val="24"/>
        </w:rPr>
        <w:t>,</w:t>
      </w:r>
    </w:p>
    <w:p w14:paraId="18CA1FD3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svou zprávu ze dne 17. ledna 2024 nazvanou „Úloha preventivní diplomacie při řešení přetrvávajících konfliktů po celém světě – promarněné příležitosti nebo změny pro budoucnost?“</w:t>
      </w:r>
      <w:r w:rsidRPr="00D23D6C">
        <w:rPr>
          <w:rStyle w:val="FootnoteReference"/>
          <w:szCs w:val="24"/>
        </w:rPr>
        <w:footnoteReference w:id="7"/>
      </w:r>
      <w:r w:rsidRPr="00D23D6C">
        <w:rPr>
          <w:szCs w:val="24"/>
        </w:rPr>
        <w:t>,</w:t>
      </w:r>
    </w:p>
    <w:p w14:paraId="1D339AC0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svá předchozí usnesení o Bosně a Hercegovině,</w:t>
      </w:r>
    </w:p>
    <w:p w14:paraId="5FC47AF6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článek 55 jednacího řádu,</w:t>
      </w:r>
    </w:p>
    <w:p w14:paraId="0FAE0696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–</w:t>
      </w:r>
      <w:r w:rsidRPr="00D23D6C">
        <w:rPr>
          <w:szCs w:val="24"/>
        </w:rPr>
        <w:tab/>
        <w:t>s ohledem na zprávu Výboru pro zahraniční věci (A10-0108/2025),</w:t>
      </w:r>
    </w:p>
    <w:p w14:paraId="223F6C7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A.</w:t>
      </w:r>
      <w:r w:rsidRPr="00D23D6C">
        <w:rPr>
          <w:szCs w:val="24"/>
        </w:rPr>
        <w:tab/>
        <w:t>vzhledem k tomu, že rozšíření je jedním z nejúčinnějších nástrojů zahraniční politiky EU a geostrategickou investicí do míru, demokracie, stability, bezpečnosti a prosperity na evropském kontinentu a má i nadále zásadní význam, zejména v souvislosti s rychlými a významnými geopolitickými změnami a rostoucí rivalitou s autoritářskými režimy;</w:t>
      </w:r>
    </w:p>
    <w:p w14:paraId="76306E50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B.</w:t>
      </w:r>
      <w:r w:rsidRPr="00D23D6C">
        <w:rPr>
          <w:szCs w:val="24"/>
        </w:rPr>
        <w:tab/>
        <w:t>vzhledem k tomu, že každá země je posuzována podle toho, jak úspěšně plní kodaňská kritéria, včetně důsledného dodržování zásad demokracie, právního státu a základních hodnot EU, lidských práv, práv menšin a svobody sdělovacích prostředků;</w:t>
      </w:r>
    </w:p>
    <w:p w14:paraId="3B04DA8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C.</w:t>
      </w:r>
      <w:r w:rsidRPr="00D23D6C">
        <w:rPr>
          <w:szCs w:val="24"/>
        </w:rPr>
        <w:tab/>
        <w:t>vzhledem k tomu, že EU zůstává hlavním politickým a hospodářským partnerem zemí západního Balkánu; vzhledem k tomu, že EU je stále hlavním obchodním a investičním partnerem Bosny a Hercegoviny, neboť do Unie směřuje většina jejího zahraničního obchodu a Unie hraje ústřední úlohu v procesu její hospodářské integrace;</w:t>
      </w:r>
    </w:p>
    <w:p w14:paraId="4440B42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D.</w:t>
      </w:r>
      <w:r w:rsidRPr="00D23D6C">
        <w:rPr>
          <w:szCs w:val="24"/>
        </w:rPr>
        <w:tab/>
        <w:t>vzhledem k tomu, že Bosna a Hercegovina je kandidátskou zemí a velká většina jejích občanů aspiruje na euroatlantickou integraci ve snaze dosáhnout udržitelného míru, demokracie a prosperity; vzhledem k tomu, že v roce 2025 si připomeneme 30. výročí Daytonské mírové dohody, která je dodnes základem institucionálního uspořádání Bosny a Hercegoviny a která byla koncipována jako záruka rovnosti jejích tří konstitutivních národů;</w:t>
      </w:r>
    </w:p>
    <w:p w14:paraId="014B213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E.</w:t>
      </w:r>
      <w:r w:rsidRPr="00D23D6C">
        <w:rPr>
          <w:szCs w:val="24"/>
        </w:rPr>
        <w:tab/>
        <w:t>vzhledem k tomu, že podpora veřejnosti je i nadále křehká v důsledku protiunijních narativů, které propagují neliberální aktéři z regionu i mimo něj;</w:t>
      </w:r>
    </w:p>
    <w:p w14:paraId="3A4622E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F.</w:t>
      </w:r>
      <w:r w:rsidRPr="00D23D6C">
        <w:rPr>
          <w:szCs w:val="24"/>
        </w:rPr>
        <w:tab/>
        <w:t xml:space="preserve">vzhledem k tomu, že Daytonská mírová dohoda přispěla navzdory svým nedostatkům k míru a následné stabilizaci v Bosně a Hercegovině, neboť vytvořila klíčové instituce, díky nimž bylo možné pokročit na cestě k integraci země do EU a NATO; </w:t>
      </w:r>
    </w:p>
    <w:p w14:paraId="2FB5F5A6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G.</w:t>
      </w:r>
      <w:r w:rsidRPr="00D23D6C">
        <w:rPr>
          <w:szCs w:val="24"/>
        </w:rPr>
        <w:tab/>
        <w:t xml:space="preserve">vzhledem k tomu, že ani třicet let po válce není Bosna a Hercegovina fungující zemí, znovu se ocitá v hluboké politické a bezpečnostní krizi a čelí separatistickým pokusům a vysoké míře korupce; </w:t>
      </w:r>
    </w:p>
    <w:p w14:paraId="729DBEA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H.</w:t>
      </w:r>
      <w:r w:rsidRPr="00D23D6C">
        <w:rPr>
          <w:szCs w:val="24"/>
        </w:rPr>
        <w:tab/>
        <w:t xml:space="preserve">vzhledem k tomu, že EU důrazně podporuje územní celistvost a svrchovanost Bosny a Hercegoviny a nebude akceptovat žádné pokusy o její narušení; vzhledem k tomu, že </w:t>
      </w:r>
      <w:r w:rsidRPr="00D23D6C">
        <w:rPr>
          <w:szCs w:val="24"/>
        </w:rPr>
        <w:lastRenderedPageBreak/>
        <w:t>podle Strategického kompasu je v zájmu bezpečnosti a stability Bosny a Hercegoviny obzvláště důležité podporovat její svrchovanost, jednotu a územní celistvost;</w:t>
      </w:r>
    </w:p>
    <w:p w14:paraId="28A8660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I.</w:t>
      </w:r>
      <w:r w:rsidRPr="00D23D6C">
        <w:rPr>
          <w:szCs w:val="24"/>
        </w:rPr>
        <w:tab/>
        <w:t>vzhledem k tomu, že prezident entity Republika srbská Milorad Dodik a politici Aliance nezávislých sociálních demokratů (SNSD) iniciovali protiústavní kroky ke zrušení některých zákonů Republiky srbské a napadli klíčové státní instituce, konkrétně Úřad vysokého představitele, Ústavní soud Bosny a Hercegoviny a soudnictví; vzhledem k tomu, že orgány Republiky srbské se dne 8. června 2024 v Bělehradě zúčastnily „všesrbského shromáždění“, které se konalo pod heslem „Jeden národ, jedno shromáždění“, vzhledem k tomu, že byl zahájen proces formování nové proevropské většiny;</w:t>
      </w:r>
    </w:p>
    <w:p w14:paraId="5F5F3EDC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J.</w:t>
      </w:r>
      <w:r w:rsidRPr="00D23D6C">
        <w:rPr>
          <w:szCs w:val="24"/>
        </w:rPr>
        <w:tab/>
        <w:t>vzhledem k tomu, že EUFOR Althea je mise vyslaná v rámci SBOP EU, která v Bosně a Hercegovině pomáhá udržovat stabilní a bezpečné prostředí a podporuje ozbrojené síly v jejich úsilí o sladění se standardy NATO a zároveň slouží k odrazování od veškerých hrozeb ze zahraničí;</w:t>
      </w:r>
    </w:p>
    <w:p w14:paraId="63FB64B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K.</w:t>
      </w:r>
      <w:r w:rsidRPr="00D23D6C">
        <w:rPr>
          <w:szCs w:val="24"/>
        </w:rPr>
        <w:tab/>
        <w:t>vzhledem k tomu, že směřování Bosny a Hercegoviny do EU se stále častěji stává terčem nepřátelských zahraničních aktérů, zejména Ruské federace a Čínské lidové republiky, kteří zneužívají spory mezi etniky a institucionální nestabilitu k blokování reforem, oslabování ústavního pořádku a narušování důvěry veřejnosti v EU; vzhledem k tomu, že v Bosně a Hercegovině, zejména v entitě Republika srbská, nadále působí sdělovací prostředky kontrolované ruskou vládou, včetně tiskové agentury Sputnik Srbsko a televizní stanice RT Balkan, které v rozporu se sankcemi EU vůči ruským propagandistickým médiím šíří dezinformace a prokremelské narativy;</w:t>
      </w:r>
    </w:p>
    <w:p w14:paraId="3E53EF2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L.</w:t>
      </w:r>
      <w:r w:rsidRPr="00D23D6C">
        <w:rPr>
          <w:szCs w:val="24"/>
        </w:rPr>
        <w:tab/>
        <w:t>vzhledem k tomu, že Bosna a Hercegovina je mnohonárodnostní stát, na jehož území po staletí žily různé náboženské a etnické skupiny, což dokazuje, že národy s různými názory mohou vedle sebe existovat v prostředí tolerance a vzájemného respektu; vzhledem k tomu, že jazyková a kulturní rozmanitost, jak je zakotvena v článcích 21 a 22 Listiny základních práv, je jedním ze základních principů Evropské unie</w:t>
      </w:r>
    </w:p>
    <w:p w14:paraId="3509FB1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M.</w:t>
      </w:r>
      <w:r w:rsidRPr="00D23D6C">
        <w:rPr>
          <w:szCs w:val="24"/>
        </w:rPr>
        <w:tab/>
        <w:t>vzhledem k tomu, že pozorovatelská mise, kterou k volbám konaným v roce 2022 vyslal Úřad pro demokratické instituce a lidská práva Organizace pro bezpečnost a spolupráci v Evropě (OBSE/ODIHR), dospěla k závěru, že volební proces je i nadále citlivý na vnější zásahy, jako je zneužívání administrativních zdrojů a neobjektivní zpravodajství ve sdělovacích prostředcích pod vlivem platforem podporovaných ze zahraničí, a vyzvala k posílení ochrany před dezinformacemi, k transparentnosti financování kampaní a k zajištění záruk pro novináře a občanskou společnost;</w:t>
      </w:r>
    </w:p>
    <w:p w14:paraId="5AF17D7C" w14:textId="77777777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Odhodlání zasazovat se o přistoupení k EU</w:t>
      </w:r>
    </w:p>
    <w:p w14:paraId="7D67F4B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1.</w:t>
      </w:r>
      <w:r w:rsidRPr="00D23D6C">
        <w:rPr>
          <w:szCs w:val="24"/>
        </w:rPr>
        <w:tab/>
        <w:t>znovu opakuje, že podporuje přistoupení Bosny a Hercegoviny k EU prostřednictvím procesu založeného na výsledcích při plnění kodaňských kritérií, a to při zachování její jednoty, svrchovanosti a územní celistvosti a rovnosti mezi občany;</w:t>
      </w:r>
    </w:p>
    <w:p w14:paraId="18249F5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2.</w:t>
      </w:r>
      <w:r w:rsidRPr="00D23D6C">
        <w:rPr>
          <w:szCs w:val="24"/>
        </w:rPr>
        <w:tab/>
        <w:t xml:space="preserve">vítá rozhodnutí Evropské rady zahájit s Bosnou a Hercegovinou přístupová jednání v kontextu změněné geopolitické reality, kterou přinesla útočná válka Ruska proti Ukrajině; oceňuje, že před přijetím tohoto rozhodnutí bylo schváleno několik klíčových zákonů, avšak vyjadřuje politování nad tím, že se zastavila pozitivní dynamika reforem, a poukazuje na nedostatečné provádění a prosazování přijatých zákonů; vyjadřuje </w:t>
      </w:r>
      <w:r w:rsidRPr="00D23D6C">
        <w:rPr>
          <w:szCs w:val="24"/>
        </w:rPr>
        <w:lastRenderedPageBreak/>
        <w:t>politování nad tím, že legislativní proces je negativně poznamenán nedostatkem transparentnosti a omezeným přístupem klíčových zúčastněných stran; bere na vědomí nedávno přijaté zákony o ochraně hranic a o ochraně osobních údajů a požaduje jejich důkladné provádění; vyzývá k zahájení příprav na to, aby pro toto rozšíření vznikl institucionální a finanční základ, který zajistí dlouhodobou udržitelnost integrace do EU;</w:t>
      </w:r>
    </w:p>
    <w:p w14:paraId="5001E515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3.</w:t>
      </w:r>
      <w:r w:rsidRPr="00D23D6C">
        <w:rPr>
          <w:szCs w:val="24"/>
        </w:rPr>
        <w:tab/>
        <w:t>důrazně vyzývá legitimní politické představitele Bosny a Hercegoviny na všech úrovních, aby zcela v souladu s řádnými demokratickými, transparentními a inkluzivními postupy v rámci příslušných institucí učinili všechny příslušné kroky stanovené v doporučení Komise ze dne 12. října 2022 k tomu, aby Rada mohla přijmout rámec pro jednání, jakmile budou tyto podmínky splněny, a aby zvýšili úsilí o prosazování 14 klíčových priorit, které stanovila Komise v roce 2019; vyzývá všechny politické aktéry, aby podporovali jednotu, svrchovanost a územní celistvost Bosny a Hercegoviny a zdrželi se veškerých konfrontačních výroků a činů, a to i separatistických, a neuchylovali se k podněcování k etnické, náboženské a rasové nesnášenlivosti, popírání genocidy a dalších válečných zločinů a oslavování válečných zločinců a jejich pachatelů;</w:t>
      </w:r>
    </w:p>
    <w:p w14:paraId="73BE48F7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4.</w:t>
      </w:r>
      <w:r w:rsidRPr="00D23D6C">
        <w:rPr>
          <w:szCs w:val="24"/>
        </w:rPr>
        <w:tab/>
        <w:t>opakuje, že proces přistoupení Bosny a Hercegoviny se musí opírat o fungující demokratické instituce, právní stát, boj proti korupci a organizované trestné činnosti, dodržování základních práv a zákaz diskriminace všech občanů, včetně konstitutivních národů, bez ohledu na etnickou, náboženskou nebo jinou příslušnost;</w:t>
      </w:r>
    </w:p>
    <w:p w14:paraId="660232F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5.</w:t>
      </w:r>
      <w:r w:rsidRPr="00D23D6C">
        <w:rPr>
          <w:szCs w:val="24"/>
        </w:rPr>
        <w:tab/>
        <w:t>důrazně odsuzuje opakované používání štvavé rétoriky, přijetí separatistických zákonů a uplatňování separatistické politiky prezidentem Republiky srbské Miloradem Dodikem, stranou SNSD a parlamentem Republiky srbské, včetně oslav takzvaného „Dne Republiky srbské“ a Dne srbské státnosti; zdůrazňuje, že tyto kroky narušují ústavní pořádek, územní celistvost a svrchovanost Bosny a Hercegoviny, jsou neslučitelné s procesem přistoupení Bosny a Hercegoviny k EU a podkopávají Daytonskou mírovou dohodu;</w:t>
      </w:r>
    </w:p>
    <w:p w14:paraId="7D6A756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6.</w:t>
      </w:r>
      <w:r w:rsidRPr="00D23D6C">
        <w:rPr>
          <w:szCs w:val="24"/>
        </w:rPr>
        <w:tab/>
        <w:t>naléhavě vyzývá všechny členské státy – a apeluje na jejich jednotu –, jakož i Evropskou službu pro vnější činnost (ESVČ) a Komisi, aby rozhodněji reagovaly na tato přímá ohrožení evropské bezpečnosti, a opakuje výzvu k uvalení cílených sankcí na všechny destabilizující aktéry, zejména Milorada Dodika, ale i další vysoce postavené představitele Republiky srbské a Srbska, kteří separatistický kurz podporují po politické a materiální stránce; vyzývá všechny členské státy, aby zajistily, že Rada bude moci tyto sankce přijmout, a pokud by jejich přijetí v Radě možné nebylo, aby je uplatnily na bilaterální úrovni nebo na základě dohody s ostatními členskými státy; odsuzuje roli, kterou při blokování sankcí sehrává maďarská vláda; podporuje prohlášení generálního tajemníka NATO Marka Rutteho, které učinil dne 10. března 2025 v Sarajevu, a prohlášení místopředsedkyně Komise, vysoké představitelky Kaji Kallasové, které učinila dne 8. dubna v Sarajevu, a vyzývá k zachování stability v zemi; je přesvědčen, že by vysoce postavení činitelé EU neměli spolupracovat s osobami či subjekty narušujícími ústavní pořádek Bosny a Hercegoviny, aby nepoškozovali důvěryhodnost EU při podpoře státních institucí Bosny a Hercegoviny, a vítá fakt, že některé členské státy zakázaly určitým vysoce postaveným jedincům z Republiky srbské vstup na své území;</w:t>
      </w:r>
    </w:p>
    <w:p w14:paraId="7827401E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7.</w:t>
      </w:r>
      <w:r w:rsidRPr="00D23D6C">
        <w:rPr>
          <w:szCs w:val="24"/>
        </w:rPr>
        <w:tab/>
        <w:t>bere na vědomí rozhodnutí soudu Bosny a Hercegoviny ve věci Milorada Dodika ze dne 26. února 2025 a je velmi znepokojen eskalací napětí a různými akcemi, které podnikal po vynesení rozsudku, včetně bezprecedentních útoků na instituce Bosny a Hercegoviny a zastrašování opozice v Republice srbské; vyjadřuje politování nad podporou těchto politik ze strany ruských a srbských orgánů a vyzývá všechny domácí, regionální a mezinárodní aktéry, aby respektovali svrchovanost a územní celistvost Bosny a Hercegoviny; vyzývá k mezinárodní izolaci Milorada Dodika; odsuzuje nedávné rozhodnutí vlády entity Republika srbská prohlásit vysoce postaveného činitele německého ministerstva zahraničních věcí za nežádoucí osobu; se znepokojením konstatuje, že Interpol odmítl vydat červený oběžník k mezinárodnímu zatýkacímu rozkazu a vyzývá síly EUFOR, aby orgány Bosny a Hercegoviny konkrétně podpořily v jejich snaze o zastavení neustálých pokusů o oslabení právní a politické stability země a prokázaly odhodlání a schopnost EU a EUFOR chránit mír, prosazovat právní stát a zachovat integritu právních institucí;</w:t>
      </w:r>
    </w:p>
    <w:p w14:paraId="14D3AC3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8.</w:t>
      </w:r>
      <w:r w:rsidRPr="00D23D6C">
        <w:rPr>
          <w:szCs w:val="24"/>
        </w:rPr>
        <w:tab/>
        <w:t>vyjadřuje politování nad tím, že politika a jednání Milorada Dodika, včetně častého blokování orgánů a rozhodovacích procesů na úrovni státu a oslabování institucí Bosny a Hercegoviny nezbytných k technické práci na sbližování s </w:t>
      </w:r>
      <w:r w:rsidRPr="00D23D6C">
        <w:rPr>
          <w:i/>
          <w:szCs w:val="24"/>
        </w:rPr>
        <w:t>acquis</w:t>
      </w:r>
      <w:r w:rsidRPr="00D23D6C">
        <w:rPr>
          <w:szCs w:val="24"/>
        </w:rPr>
        <w:t xml:space="preserve"> EU, jsou hlavním faktorem komplikujícím cestu Bosny a Hercegoviny k přistoupení k EU a jasným porušením politické dohody ze dne 12. června 2022; vítá práci příslušných orgánů Bosny a Hercegoviny a vyzývá je, aby se řídily řádnými postupy a vykonávaly a prováděly veškerá rozhodnutí a plně přitom dodržovaly zásady právního státu; naléhavě vyzývá všechny politické aktéry, zejména v entitě Republika srbská, aby odmítali všechny separatistické kroky oslabující jednotu, svrchovanost, územní celistvost a bezpečnost země; naléhavě vyzývá Národní shromáždění Republiky srbské, aby zajistilo, že jeho úřední věstník bude reprodukovat rozhodnutí Ústavního soudu Bosny a Hercegoviny týkající se legislativy Republiky srbské, kterou soud zrušil jako odporující ústavnímu pořádku země;</w:t>
      </w:r>
    </w:p>
    <w:p w14:paraId="1782BAC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9.</w:t>
      </w:r>
      <w:r w:rsidRPr="00D23D6C">
        <w:rPr>
          <w:szCs w:val="24"/>
        </w:rPr>
        <w:tab/>
        <w:t>naléhavě vyzývá Komisi, aby v úzké spolupráci s členskými státy a mezinárodními partnery, včetně Úřadu vysokého představitele, Organizace pro bezpečnost a spolupráci v Evropě a Rady Evropy, zhodnotila zkušenosti získané v uplynulých 15 letech aktivity Evropské unie v Bosně a Hercegovině a odpovídajícím způsobem přizpůsobila svou strategii a nově se zaměřila na dosažení hmatatelného pokroku a reforem, které urychlí cestu země k členství v EU, čímž znovu potvrdí pevné odhodlání EU dospět k plné integraci Bosny a Hercegoviny do Unie;</w:t>
      </w:r>
    </w:p>
    <w:p w14:paraId="0D446DB7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10.</w:t>
      </w:r>
      <w:r w:rsidRPr="00D23D6C">
        <w:rPr>
          <w:szCs w:val="24"/>
        </w:rPr>
        <w:tab/>
        <w:t>vítá skutečnost, že Bosna a Hercegovina oficiálně postupuje v plném souladu se společnou zahraniční a bezpečnostní politikou EU, včetně restriktivních opatření v reakci na ruskou útočnou válku proti Ukrajině, a naléhavě vyzývá k účinnému provádění těchto opatření; vítá pokračující účast Bosny a Hercegoviny v misích a operacích EU pro řešení krizí; odsuzuje proruské postoje vedoucích představitelů entity Republika srbská a jejich častá setkání s Vladimirem Putinem a dalšími ruskými činiteli; je vážně znepokojen bezpečnostními riziky plynoucími z těchto vazeb; naléhavě vyzývá EU, aby prošetřila využívání entity Republiky srbské jako brány pro ruské zpravodajské operace a hybridní útoky na členské státy EU; vyzývá, aby byla v rámci společného úsilí proti hybridním hrozbám poskytována Bosně a Hercegovině podpora v boji proti dezinformačním kampaním pocházejícím z Ruska; velmi podporuje soustavné úsilí Bosny a Hercegoviny o euroatlantickou integraci a členství v NATO a vyzývá všechny politické aktéry, aby v tomto směru podnikli konkrétní politické kroky;</w:t>
      </w:r>
    </w:p>
    <w:p w14:paraId="1531BDE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11.</w:t>
      </w:r>
      <w:r w:rsidRPr="00D23D6C">
        <w:rPr>
          <w:szCs w:val="24"/>
        </w:rPr>
        <w:tab/>
        <w:t>znovu vyjadřuje svou podporu Úřadu vysokého představitele a operaci EUFOR Althea, pokud jde o provádění Daytonské mírové dohody v souladu s jejich mandáty, a to na základě politické neutrality a plného respektování ústavy Bosny a Hercegoviny,</w:t>
      </w:r>
      <w:r w:rsidRPr="00D23D6C">
        <w:rPr>
          <w:b/>
          <w:bCs/>
          <w:i/>
          <w:iCs/>
          <w:szCs w:val="24"/>
        </w:rPr>
        <w:t xml:space="preserve"> </w:t>
      </w:r>
      <w:r w:rsidRPr="00D23D6C">
        <w:rPr>
          <w:szCs w:val="24"/>
        </w:rPr>
        <w:t>dokud země nesplní „program 5+2“ a neskončí mezinárodní dohled; vítá, že operaci EUFOR Althea byl obnoven mandát; vyjadřuje politování nad tím, že Bosna a Hercegovina je stále do značné míry závislá na mandátu Úřadu vysokého představitele a na přítomnosti operace EUFOR Althea, ale uznává a oceňuje ji jako instituci, která je nezbytná nejen proto, aby byl zachován mír, ale také aby země vůbec mohla fungovat;</w:t>
      </w:r>
    </w:p>
    <w:p w14:paraId="304F182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12.</w:t>
      </w:r>
      <w:r w:rsidRPr="00D23D6C">
        <w:rPr>
          <w:szCs w:val="24"/>
        </w:rPr>
        <w:tab/>
        <w:t xml:space="preserve">připomíná, že operace EUFOR Althea je klíčová pro zajištění bezpečnosti, územní celistvosti, stability, svrchovanosti a politické nezávislosti Bosny a Hercegoviny a zároveň zajišťuje, aby místní zúčastněné strany jednaly v souladu s těmito základními zásadami, jak jsou stanoveny v Daytonské mírové dohodě a rezolucích Rady bezpečnosti OSN; naléhavě vyzývá síly EUFOR, aby občanům Bosny a Hercegoviny tento mandát jednoznačně prezentovaly jako opatření k budování důvěry; </w:t>
      </w:r>
    </w:p>
    <w:p w14:paraId="655DF305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13.</w:t>
      </w:r>
      <w:r w:rsidRPr="00D23D6C">
        <w:rPr>
          <w:szCs w:val="24"/>
        </w:rPr>
        <w:tab/>
        <w:t>dále vítá rozhodnutí Rady, kterým bylo schváleno poskytnutí pomoci v rámci evropského mírového nástroje ve výši 10 milionů EUR ve prospěch ozbrojených sil Bosny a Hercegoviny (AFBiH), a vítá rovněž smlouvu o spolupráci a výcviku na rok 2023 mezi AFBiH a EUFOR; vyzývá Radu a místopředsedkyni Komise, vysokou představitelku, aby účast na mírových misích EU, jako je operace EUFOR Althea v Bosně a Hercegovině, umožnily všem způsobilým členským státům; vyzývá orgány Bosny a Hercegoviny, NATO a EUFOR Althea, aby zahájily reformní proces ozbrojených sil Bosny a Hercegoviny;</w:t>
      </w:r>
    </w:p>
    <w:p w14:paraId="6040EDC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14.</w:t>
      </w:r>
      <w:r w:rsidRPr="00D23D6C">
        <w:rPr>
          <w:szCs w:val="24"/>
        </w:rPr>
        <w:tab/>
        <w:t xml:space="preserve">je i nadále znepokojen tím, že v Bosně a Hercegovině dochází k nepřátelskému zahraničnímu vměšování a dezinformačním kampaním vedených zahraničními aktéry, zejména Ruskem a Čínou, a za znepokojivé považuje i to, jak jsou dezinformace reprodukovány v místních sdělovacích prostředcích a politických vyjádřeních, zejména ze strany Republiky srbské; vyjadřuje vážné znepokojení nad tím, že Kreml podporuje separatistickou rétoriku, pokouší se delegitimizovat státní instituce a vměšuje se do soudních a volebních záležitostí; poukazuje na to, že Rusko se v nedávné době snažilo v Radě bezpečnosti OSN obhajovat protiústavní kroky Republiky srbské; </w:t>
      </w:r>
    </w:p>
    <w:p w14:paraId="35EE6812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15.</w:t>
      </w:r>
      <w:r w:rsidRPr="00D23D6C">
        <w:rPr>
          <w:szCs w:val="24"/>
        </w:rPr>
        <w:tab/>
        <w:t>vyzývá k dalším krokům, mimo jiné ke sladění právních předpisů Bosny a Hercegoviny s </w:t>
      </w:r>
      <w:r w:rsidRPr="00D23D6C">
        <w:rPr>
          <w:i/>
          <w:iCs/>
          <w:szCs w:val="24"/>
        </w:rPr>
        <w:t>acquis</w:t>
      </w:r>
      <w:r w:rsidRPr="00D23D6C">
        <w:rPr>
          <w:szCs w:val="24"/>
        </w:rPr>
        <w:t xml:space="preserve"> EU a k podpoře EU v účinném boji proti nepřátelskému zahraničnímu vměšování a dezinformačním kampaním; vyzývá ESVČ a delegaci EU v Bosně a Hercegovině, aby zintenzivnily úsilí při propagaci výhod užší integrace a investovaly do komunikačních kampaní s cílem čelit protidemokratickým narativům a jiným formám zahraničnímu vlivu;</w:t>
      </w:r>
    </w:p>
    <w:p w14:paraId="161B5BA6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16.</w:t>
      </w:r>
      <w:r w:rsidRPr="00D23D6C">
        <w:rPr>
          <w:szCs w:val="24"/>
        </w:rPr>
        <w:tab/>
        <w:t>vyjadřuje politování nad účastí orgánů entity Republika srbská na „Všesrbském shromáždění“, které se konalo dne 8. června 2024 v Bělehradě pod heslem „Jeden národ, jedno shromáždění“, a odmítá jeho prohlášení, které podkopává svrchovanost Bosny a Hercegoviny a dalších zemí západního Balkánu, a nepřispívá k dobrým sousedským vztahům; odsuzuje vměšování srbského prezidenta Aleksandara Vučiće do záležitostí Bosny a Hercegoviny, spočívající mimo jiné v tom, že Vučić vyjadřuje podporu nelegitimním krokům Milorada Dodika a organizuje „všesrbské shromáždění“ podporované Ruskem, což podkopává svrchovanost a územní celistvost Bosny a Hercegoviny;</w:t>
      </w:r>
    </w:p>
    <w:p w14:paraId="3297B25E" w14:textId="77777777" w:rsidR="00492CBA" w:rsidRPr="00D23D6C" w:rsidRDefault="00492CBA" w:rsidP="00D23D6C">
      <w:pPr>
        <w:pStyle w:val="NormalHanging12a"/>
        <w:rPr>
          <w:bCs/>
          <w:iCs/>
          <w:szCs w:val="24"/>
        </w:rPr>
      </w:pPr>
      <w:r w:rsidRPr="00D23D6C">
        <w:rPr>
          <w:szCs w:val="24"/>
        </w:rPr>
        <w:lastRenderedPageBreak/>
        <w:t>17.</w:t>
      </w:r>
      <w:r w:rsidRPr="00D23D6C">
        <w:rPr>
          <w:szCs w:val="24"/>
        </w:rPr>
        <w:tab/>
        <w:t>odsuzuje rostoucí škodlivý vliv Íránu v Bosně a Hercegovině a jiných zemích západního Balkánu, což představuje hrozbu pro bezpečnost EU a jejích členských států;</w:t>
      </w:r>
    </w:p>
    <w:p w14:paraId="00A2896F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18.</w:t>
      </w:r>
      <w:r w:rsidRPr="00D23D6C">
        <w:rPr>
          <w:szCs w:val="24"/>
        </w:rPr>
        <w:tab/>
        <w:t>vítá, že se Bosna a Hercegovina opět soustavně angažuje v Parlamentním výboru pro stabilizaci a přidružení EU – Bosna a Hercegovina, čímž splnila jednu ze 14 klíčových priorit stanovených Komisí;</w:t>
      </w:r>
    </w:p>
    <w:p w14:paraId="767F0D2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19.</w:t>
      </w:r>
      <w:r w:rsidRPr="00D23D6C">
        <w:rPr>
          <w:szCs w:val="24"/>
        </w:rPr>
        <w:tab/>
        <w:t xml:space="preserve">naléhavě vyzývá orgány Bosny a Hercegoviny, aby reformovaly koordinační mechanismus pro záležitosti EU, který se ukázal jako neúčinný a neefektivní při plnění úkolů souvisejících se procesem přistoupení k EU; vyzývá orgány, aby předložily vnitrostátní program pro přijetí </w:t>
      </w:r>
      <w:r w:rsidRPr="00D23D6C">
        <w:rPr>
          <w:i/>
          <w:iCs/>
          <w:szCs w:val="24"/>
        </w:rPr>
        <w:t xml:space="preserve">acquis </w:t>
      </w:r>
      <w:r w:rsidRPr="00D23D6C">
        <w:rPr>
          <w:szCs w:val="24"/>
        </w:rPr>
        <w:t>EU v souladu s připomínkami Komise a aby zajistily, že sbližování s </w:t>
      </w:r>
      <w:r w:rsidRPr="00D23D6C">
        <w:rPr>
          <w:i/>
          <w:iCs/>
          <w:szCs w:val="24"/>
        </w:rPr>
        <w:t xml:space="preserve">acquis </w:t>
      </w:r>
      <w:r w:rsidRPr="00D23D6C">
        <w:rPr>
          <w:szCs w:val="24"/>
        </w:rPr>
        <w:t>EU bude v celé zemi probíhat koordinovaně; zdůrazňuje, že nyní, když Evropská rada rozhodla o zahájení přístupových jednání, je nutné vytvořit funkční vyjednávací strukturu a jmenovat vyjednávací tým a hlavního vyjednavače, který bude plně zmocněn prezentovat postoj země;</w:t>
      </w:r>
    </w:p>
    <w:p w14:paraId="0328D3B0" w14:textId="77777777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Demokracie a právní stát</w:t>
      </w:r>
    </w:p>
    <w:p w14:paraId="504DB445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20.</w:t>
      </w:r>
      <w:r w:rsidRPr="00D23D6C">
        <w:rPr>
          <w:szCs w:val="24"/>
        </w:rPr>
        <w:tab/>
        <w:t>vyjadřuje politování nad tím, že političtí představitelé dosud neschválili nezbytné změny ústavy a volebního zákona, jež by byly v souladu s Evropskou úmluvou o lidských právech, a neprovedly příslušná rozhodnutí Ústavního soudu Bosny a Hercegoviny a Evropského soudu pro lidská práva požadující, aby byly odstraněny s cílem odstranit všechny formy nerovnosti a diskriminace ve volebním procesu a zajistit nediskriminaci, ochranu základních práv a rovnost pro všechny občany Bosny a Hercegoviny, aby „došlo k posunu od Daytonu k Bruselu“; opakuje, že neprovedení těchto rozsudků je neslučitelné s hodnotami EU a přistoupením Bosny a Hercegoviny k Evropské unii; zdůrazňuje, že je třeba, aby všechny ústavní a volební reformní procesy byly inkluzivní, zakládaly se na rozsáhlých konzultacích s občany, občanskou společností a nezávislými odborníky a všemi příslušnými zúčastněnými stranami v zemi a byly v souladu s evropskými normami a zásadami; opakuje, že žádná volební reforma nesmí prohloubit nebo upevnit etnické rozdělení;</w:t>
      </w:r>
    </w:p>
    <w:p w14:paraId="500990C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21.</w:t>
      </w:r>
      <w:r w:rsidRPr="00D23D6C">
        <w:rPr>
          <w:szCs w:val="24"/>
        </w:rPr>
        <w:tab/>
        <w:t>vyjadřuje politování nad tím, že orgány Bosny a Hercegoviny nebyly schopny sjednotit společnost ani vytvořit spravedlivý a funkční systém v zemi, ale naopak do značné míry samy přispívají k prohlubování rozporů; vyzývá EU a členské státy, aby zahájily proces transparentních a inkluzivních reforem, který by umožnil udržitelnou transformaci Daytonské mírové dohody v ústavu, v plném souladu s evropskými normami a zásadami, s cílem zajistit funkční, odpovědný, reprezentativní a všeobecně legitimní systém správy, překonat etnicko-nacionalistické spory a dosáhnout udržitelného pokroku na cestě do EU;</w:t>
      </w:r>
    </w:p>
    <w:p w14:paraId="1A045812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22.</w:t>
      </w:r>
      <w:r w:rsidRPr="00D23D6C">
        <w:rPr>
          <w:szCs w:val="24"/>
        </w:rPr>
        <w:tab/>
        <w:t>bere na vědomí změny volebního zákona, které provedl vysoký představitel v březnu 2024 a jimiž se zavádí důležité normy integrity a opatření k budování důvěry a které jsou zaměřeny na obnovení důvěry voličů ve volební proces obecně; vyzývá Parlamentní shromáždění Bosny a Hercegoviny, aby se urychleně zabývalo všemi zbývajícími doporučeními OBSE/ODIHR, Benátské komise a Skupiny států proti korupci (GRECO), zejména pokud jde o záležitosti týkající se řízení volebního procesu, praktického průběhu hlasování a sčítání hlasů, vedení a financování kampaní, výslovného zákazu nepřímého kupování hlasů, řešení volebních sporů, boje proti dezinformacím a zahraničnímu vměšování, zvýšení ochrany novinářů a ukládání sankcí za zneužívání administrativních zdrojů;</w:t>
      </w:r>
    </w:p>
    <w:p w14:paraId="33B37757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23.</w:t>
      </w:r>
      <w:r w:rsidRPr="00D23D6C">
        <w:rPr>
          <w:szCs w:val="24"/>
        </w:rPr>
        <w:tab/>
        <w:t>vítá skutečnost, že místní volby konané dne 6. října 2024 umožňovaly svobodnou soutěž a byly efektivně řízeny; vyjadřuje politování nad tím, že tyto volby proběhly v prostředí, které se vyznačovalo nízkou mírou sociální a politické soudržnosti;</w:t>
      </w:r>
    </w:p>
    <w:p w14:paraId="06F6256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24.</w:t>
      </w:r>
      <w:r w:rsidRPr="00D23D6C">
        <w:rPr>
          <w:szCs w:val="24"/>
        </w:rPr>
        <w:tab/>
        <w:t>důrazně odsuzuje kroky entity Republika srbská, které narušují ústavní pořádek Bosny a Hercegoviny a pravomoci státních orgánů, a její úmyslné maření výkonu činnosti Ústavního soudu Bosny a Hercegoviny; odsuzuje veškeré nezákonné akce, které jsou v rozporu s ústavním rámcem, a vyzývá všechny politické aktéry v Bosně a Hercegovině, aby uplatňovali proevropský přístup;</w:t>
      </w:r>
    </w:p>
    <w:p w14:paraId="2C06210F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25.</w:t>
      </w:r>
      <w:r w:rsidRPr="00D23D6C">
        <w:rPr>
          <w:szCs w:val="24"/>
        </w:rPr>
        <w:tab/>
        <w:t>bere na vědomí omezený pokrok, jehož bylo dosaženo v reformách soudnictví v Bosně a Hercegovině, zejména pokud jde o nezávislost, profesionalitu, účinnost a odpovědnost soudního systému; vyzývá k přijetí naléhavých opatření k urychlení reforem v těchto oblastech, zajištění plného souladu s normami EU a posílení schopnosti soudnictví účinně sloužit spravedlnosti a prosazovat právní stát;</w:t>
      </w:r>
    </w:p>
    <w:p w14:paraId="022F163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26.</w:t>
      </w:r>
      <w:r w:rsidRPr="00D23D6C">
        <w:rPr>
          <w:szCs w:val="24"/>
        </w:rPr>
        <w:tab/>
        <w:t>je i nadále vážně znepokojen korupcí, zejména pokud se jí dopouštějí vysocí státní činitelé neboť korupce je v Bosně a Hercegovině strukturálním problémem, jenž je pevně zakotven v jejím velmi složitém správním systému, a naléhavě vyzývá příslušné orgány, aby v boji proti korupci zaujaly rozhodnější, koordinovanější, transparentnější a proaktivnější postoj, mimo jiné zlepšením protikorupčních právních předpisů, které by měly být v plném souladu s mezinárodními standardy a doporučeními, a zajištěním účinného prosazování právních předpisů, jako jsou předpisy o předcházení střetům zájmů a ochraně oznamovatelů; vybízí Bosnu a Hercegovinu, aby se zapojila do strukturované spolupráce a výměny osvědčených postupů s členskými státy; vítá protikorupční strategii na období 2024–2028 a přijetí akčního plánu pro její provádění, jakož i pokračující úsilí o mezinárodní spolupráci;</w:t>
      </w:r>
    </w:p>
    <w:p w14:paraId="637406AF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27.</w:t>
      </w:r>
      <w:r w:rsidRPr="00D23D6C">
        <w:rPr>
          <w:szCs w:val="24"/>
        </w:rPr>
        <w:tab/>
        <w:t>vyjadřuje politování nad tím, že zákony o zadávání veřejných zakázek, střetu zájmů a Vysoké radě pro soudnictví stále nejsou v souladu s evropskými normami, a naléhavě vyzývá k přijetí nového zákona o Vysoké radě pro soudnictví a státní zastupitelství souladu s doporučeními Benátské komise; vyzývá k vytvoření nezávisle fungujícího oddělení pro majetková přiznání v rámci Nejvyšší soudní rady a zasazuje se o nestranné a účinné stíhání případů korupce na vysoké úrovni;</w:t>
      </w:r>
    </w:p>
    <w:p w14:paraId="75314516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28.</w:t>
      </w:r>
      <w:r w:rsidRPr="00D23D6C">
        <w:rPr>
          <w:szCs w:val="24"/>
        </w:rPr>
        <w:tab/>
        <w:t>zdůrazňuje, že je třeba posílit systém řešení střetů zájmů u jednotlivců zastávajících nejvyšší výkonné funkce, zejména zajištěním toho, aby prohlášení o zájmech pravidelně procházela důkladným ověřením; zdůrazňuje, že na všechny osoby zastávající nejvyšší výkonné funkce, ať už volené nebo jmenované, by se měly vztahovat jednotné oznamovací povinnosti a že všechna tato prohlášení by měla být v zájmu transparentnosti a odpovědnosti vůči veřejnosti systematicky zveřejňována a měla by být snadno dostupná na internetu;</w:t>
      </w:r>
    </w:p>
    <w:p w14:paraId="7E3441D8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29.</w:t>
      </w:r>
      <w:r w:rsidRPr="00D23D6C">
        <w:rPr>
          <w:szCs w:val="24"/>
        </w:rPr>
        <w:tab/>
        <w:t>naléhavě vyzývá Bosnu a Hercegovinu, aby byla důraznější při potírání organizované trestné činnosti; je hluboce znepokojen tím, že politické, právní a hospodářské systémy jsou náchylné k pronikání trestné činnosti; oceňuje orgány Bosny a Hercegoviny za to, že dne 24. října 2024 podepsaly dohodu o spolupráci s Eurojustem s cílem zvýšit účinnost vyšetřování a stíhání organizované trestné činnosti, terorismu, obchodování s lidmi, kyberkriminality a jiných trestných činů;</w:t>
      </w:r>
    </w:p>
    <w:p w14:paraId="35CEE831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30.</w:t>
      </w:r>
      <w:r w:rsidRPr="00D23D6C">
        <w:rPr>
          <w:szCs w:val="24"/>
        </w:rPr>
        <w:tab/>
        <w:t>zdůrazňuje, že je třeba zlepšit spolupráci s EU v boji proti obchodu s drogami; vyzývá Bosnu a Hercegovinu, aby v rámci spolupráce s Agenturou Evropské unie pro drogy (EUDA) jmenovala svého korespondenta;</w:t>
      </w:r>
    </w:p>
    <w:p w14:paraId="5DAE68D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31.</w:t>
      </w:r>
      <w:r w:rsidRPr="00D23D6C">
        <w:rPr>
          <w:szCs w:val="24"/>
        </w:rPr>
        <w:tab/>
        <w:t>vítá nový zákon o boji proti praní peněz a financování terorismu a naléhavě vyzývá Bosnu a Hercegovinu, aby posílila opatření v této oblasti, a to i přijetím nezbytných podzákonných předpisů potřebných pro účinné provádění tohoto zákona, se zvláštním důrazem na jejich účinné prosazování a monitorování; zdůrazňuje zejména, že je třeba plně sladit právní předpisy týkající se boje proti terorismu s </w:t>
      </w:r>
      <w:r w:rsidRPr="00D23D6C">
        <w:rPr>
          <w:i/>
          <w:iCs/>
          <w:szCs w:val="24"/>
        </w:rPr>
        <w:t>acquis</w:t>
      </w:r>
      <w:r w:rsidRPr="00D23D6C">
        <w:rPr>
          <w:szCs w:val="24"/>
        </w:rPr>
        <w:t xml:space="preserve"> EU a mezinárodním právem; vyzývá k zavedení přísnějších sankcí za teroristické trestné činy;</w:t>
      </w:r>
    </w:p>
    <w:p w14:paraId="06F9773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32.</w:t>
      </w:r>
      <w:r w:rsidRPr="00D23D6C">
        <w:rPr>
          <w:szCs w:val="24"/>
        </w:rPr>
        <w:tab/>
        <w:t>vítá přijetí zákona o ochraně hranic, jehož cílem je zlepšit dodržování evropských norem, a žádá, aby byl uveden v plný soulad s vízovou politikou EU jako součást politiky řízení migrace; zdůrazňuje, že Bosna a Hercegovina musí zachovat bezpečnost na svých hranicích a spolupracovat s agenturou Frontex a sousedními zeměmi s cílem předcházet nelegální migraci a zároveň zajistit dostatečný přístup k azylovému řízení pro osoby, které mají nárok na mezinárodní ochranu;</w:t>
      </w:r>
    </w:p>
    <w:p w14:paraId="2B5F7B22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33.</w:t>
      </w:r>
      <w:r w:rsidRPr="00D23D6C">
        <w:rPr>
          <w:szCs w:val="24"/>
        </w:rPr>
        <w:tab/>
        <w:t>zdůrazňuje, že je třeba zajistit, aby se jmenování vyšších policejních úředníků, zejména v pohraniční policii a Státní vyšetřovací a ochranné agentuře (SIPA), zakládalo na zásluhách a probíhalo prostřednictvím otevřených, standardizovaných a transparentních výběrových řízení;</w:t>
      </w:r>
    </w:p>
    <w:p w14:paraId="09038E63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34.</w:t>
      </w:r>
      <w:r w:rsidRPr="00D23D6C">
        <w:rPr>
          <w:szCs w:val="24"/>
        </w:rPr>
        <w:tab/>
        <w:t>poukazuje na to, že je zapotřebí, aby státní správa byla profesionální a depolitizovaná; vítá kroky přijaté v rámci reformy veřejné správy; vyzývá ke snížení administrativní zátěže ve veřejné správě; vyzývá orgány Bosny a Hercegoviny, aby zlepšily schopnost veřejných orgánů reagovat na žádosti o informace;</w:t>
      </w:r>
    </w:p>
    <w:p w14:paraId="687A26EE" w14:textId="77777777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Základní svobody a lidská práva</w:t>
      </w:r>
    </w:p>
    <w:p w14:paraId="313476CB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35.</w:t>
      </w:r>
      <w:r w:rsidRPr="00D23D6C">
        <w:rPr>
          <w:szCs w:val="24"/>
        </w:rPr>
        <w:tab/>
        <w:t>důrazně odsuzuje diskriminaci, násilí a nenávistné výroky namířené proti všem menšinám; vyzývá k účinnému stíhání těchto incidentů; naléhavě žádá Bosnu a Hercegovinu, aby prosazovala a chránila lidská práva a aby zajistila dodržování zákazu diskriminace a ochranu všech menšin; vyzývá k intenzivnějšímu provádění antidiskriminačních mechanismů v Bosně a Hercegovině se zvláštním zaměřením na boj proti nesnášenlivosti, nenávistným verbálním projevům a všem formám nerovnosti; vyzývá orgány, aby zlepšily přístup k sociálním službám, bydlení, vzdělávání a zdravotní péči pro všechny menšiny a zranitelné skupiny; zdůrazňuje, že je důležité chránit kulturní a jazykové projevy všech menšin v Bosně a Hercegovině;</w:t>
      </w:r>
    </w:p>
    <w:p w14:paraId="44BE06AA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36.</w:t>
      </w:r>
      <w:r w:rsidRPr="00D23D6C">
        <w:rPr>
          <w:szCs w:val="24"/>
        </w:rPr>
        <w:tab/>
        <w:t>vyjadřuje hluboké znepokojení nad prudkým nárůstem násilí – včetně nově se objevujících forem digitálního násilí – páchaného na ženách, dětech, seniorech a dalších zranitelných skupinách, včetně komunity LGBTIQ; naléhavě vyzývá orgány Bosny a Hercegoviny, aby své politiky, právní předpisy a postupy v oblasti boje proti sexuálnímu a digitálnímu násilí páchaném na ženách sladily s normami Rady Evropy, zejména s Istanbulskou úmluvou, příslušnou judikaturou Evropského soudu pro lidská práva a </w:t>
      </w:r>
      <w:r w:rsidRPr="00D23D6C">
        <w:rPr>
          <w:i/>
          <w:iCs/>
          <w:szCs w:val="24"/>
        </w:rPr>
        <w:t xml:space="preserve">acquis </w:t>
      </w:r>
      <w:r w:rsidRPr="00D23D6C">
        <w:rPr>
          <w:szCs w:val="24"/>
        </w:rPr>
        <w:t xml:space="preserve">EU; vyzývá k cílené podpoře klíčových institucí, k proškolení odborníků, aby byli schopni poskytovat účinnou podporu obětem, a ke zvýšení informovanosti veřejnosti a institucionální kapacity v zájmu předcházení všem formám genderově podmíněného násilí a boje proti nim; zdůrazňuje klíčovou úlohu ženských sdružení při oslovování nejzranitelnějších osob; vyzývá Bosnu a Hercegovinu, aby </w:t>
      </w:r>
      <w:r w:rsidRPr="00D23D6C">
        <w:rPr>
          <w:szCs w:val="24"/>
        </w:rPr>
        <w:lastRenderedPageBreak/>
        <w:t>zřídila oficiální centralizovaný systém shromažďování údajů o feminicidě; vítá rozhodnutí vlády Federace Bosny a Hercegoviny (FBiH) ze dne 9. dubna 2025 zahrnout feminicidu do trestního zákoníku a vyzývá parlament, aby tento nový zákon urychleně schválil;</w:t>
      </w:r>
    </w:p>
    <w:p w14:paraId="49127515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37.</w:t>
      </w:r>
      <w:r w:rsidRPr="00D23D6C">
        <w:rPr>
          <w:szCs w:val="24"/>
        </w:rPr>
        <w:tab/>
        <w:t>vyjadřuje politování nad tím, že akční plán pro rovnost žen a mužů na období 2023–2027 dosud neměl dostatečné finanční prostředky a monitorování; vyzývá ke zvýšení účasti žen na veřejném a politickém životě v Bosně a Hercegovině; uvědomuje, že ženy z etnických menšin čelí dalším překážkám a diskriminaci, zejména v přístupu ke službám;</w:t>
      </w:r>
    </w:p>
    <w:p w14:paraId="642291D9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38.</w:t>
      </w:r>
      <w:r w:rsidRPr="00D23D6C">
        <w:rPr>
          <w:szCs w:val="24"/>
        </w:rPr>
        <w:tab/>
        <w:t>kritizuje entitu Republika srbská za přijetí legislativních změn, kterými genderová identita ztratila status chráněné charakteristiky, a stejně tak i změn, po jejichž uplatnění již není zaručena ochrana dětí s různou sexuální orientací a genderovou identitou;</w:t>
      </w:r>
    </w:p>
    <w:p w14:paraId="1D422F44" w14:textId="7777777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39.</w:t>
      </w:r>
      <w:r w:rsidRPr="00D23D6C">
        <w:rPr>
          <w:szCs w:val="24"/>
        </w:rPr>
        <w:tab/>
        <w:t>vyzývá příslušné orgány Bosny a Hercegoviny, aby vypracovaly a přijaly plánovaný národní akční plán na ochranu práv dítěte; zdůrazňuje, že chudoba a sociální vyloučení postihují vysoké procento dětí v zemi, zejména dětí ze zranitelných skupin, včetně romských dětí, dětí se zdravotním postižením, dětí ve střetu se zákonem a dětí v migračním kontextu; připomíná, že Bosna a Hercegovina musí dodržovat své mezinárodní závazky, aby žádné dítě nezůstalo opomenuto;</w:t>
      </w:r>
    </w:p>
    <w:p w14:paraId="0F1BF9BB" w14:textId="77777777" w:rsidR="00492CBA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40.</w:t>
      </w:r>
      <w:r w:rsidRPr="00D23D6C">
        <w:rPr>
          <w:szCs w:val="24"/>
        </w:rPr>
        <w:tab/>
        <w:t>zdůrazňuje význam inkluzivního a kvalitního vzdělávání, včetně práva na vzdělání v mateřském jazyce, a mimo jiné význam systematické reformy školních osnov, které jsou napsané tak, že prohlubují spory mezi jednotlivými etniky, a vážně tak narušují vnitřní mobilitu a brání tomu, aby se žáci učili kritickému myšlení; znovu vyzývá k upuštění od segregačních postupů v rámci systému „dvou škol pod jednou střechou“, který jde proti snahám o sociální soudržnost a rovnost příležitostí, a zdůrazňuje, že je třeba působit ve prospěch usmíření a integraci a chránit právo každého národního společenství, včetně menšin, na jejich kulturu, jazyk a identitu; vyzývá k přijetí společných osnov v učebnicích dějepisu, které by vycházely ze skutečností týkajících se války potvrzených rozhodnutími soudů, aby se zabránilo historickému revizionismu, a vyzývá EU, aby tuto iniciativu podpořila;</w:t>
      </w:r>
    </w:p>
    <w:p w14:paraId="69A40C39" w14:textId="078613EC" w:rsidR="00522C7B" w:rsidRPr="00522C7B" w:rsidRDefault="00522C7B" w:rsidP="00D23D6C">
      <w:pPr>
        <w:pStyle w:val="NormalHanging12a"/>
        <w:rPr>
          <w:bCs/>
          <w:iCs/>
          <w:szCs w:val="24"/>
        </w:rPr>
      </w:pPr>
      <w:r w:rsidRPr="00F33EF2">
        <w:rPr>
          <w:bCs/>
          <w:iCs/>
        </w:rPr>
        <w:t>4</w:t>
      </w:r>
      <w:r w:rsidR="00BE17E8">
        <w:rPr>
          <w:bCs/>
          <w:iCs/>
        </w:rPr>
        <w:t>1</w:t>
      </w:r>
      <w:r w:rsidRPr="00F33EF2">
        <w:rPr>
          <w:bCs/>
          <w:iCs/>
        </w:rPr>
        <w:t>.</w:t>
      </w:r>
      <w:r w:rsidRPr="00522C7B">
        <w:rPr>
          <w:bCs/>
          <w:iCs/>
        </w:rPr>
        <w:tab/>
      </w:r>
      <w:r w:rsidRPr="00F33EF2">
        <w:rPr>
          <w:bCs/>
          <w:iCs/>
        </w:rPr>
        <w:t>vyzývá příslušné orgány Bosny a Hercegoviny, aby v souladu s doporučeními veřejného ochránce lidských práv Bosny a Hercegoviny přijaly právní předpisy, které zajistí účinné a rovné používání všech tří jejích úředních jazyků, konkrétně chorvatštiny, bosenštiny a srbštiny, a latinky i cyrilice při externí komunikaci s občany; zdůrazňuje, že porušování práva na rovné používání jazyka a písma je v rozporu s Ústavou Bosny a Hercegoviny, článkem 2 Mezinárodního paktu o občanských a politických právech a článkem 14 Úmluvy o ochraně lidských práv a základních svobod;</w:t>
      </w:r>
    </w:p>
    <w:p w14:paraId="3F482CFC" w14:textId="06A73CA8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2</w:t>
      </w:r>
      <w:r w:rsidRPr="00D23D6C">
        <w:rPr>
          <w:szCs w:val="24"/>
        </w:rPr>
        <w:t>.</w:t>
      </w:r>
      <w:r w:rsidRPr="00D23D6C">
        <w:rPr>
          <w:szCs w:val="24"/>
        </w:rPr>
        <w:tab/>
        <w:t xml:space="preserve">vyzývá Bosnu a Hercegovinu, aby zaručila svobodu shromažďování, sdružování a projevu, a umožnila tak zapojení občanské společnosti do tvorby politik; vyzývá orgány Bosny a Hercegoviny, aby zajistily smysluplný, systematický a inkluzivní proces veřejných konzultací; odsuzuje skutečnost, že entita Republika srbská opětovně uplatnila zákon o „zahraničních agentech“ po vzoru Ruska, a naléhavě žádá příslušné orgány, aby jej zrušily; odsuzuje také to, že entita Republika srbská používá zákony, které kriminalizují pomluvu, jako nástroj k potlačování svobody projevu, a vyzývá k tomu, aby pomluva přestala být trestným činem a řešila se opět v rámci občanského práva, neboť tak se zamezí zneužívání trestního stíhání pro pomluvu k omezování </w:t>
      </w:r>
      <w:r w:rsidRPr="00D23D6C">
        <w:rPr>
          <w:szCs w:val="24"/>
        </w:rPr>
        <w:lastRenderedPageBreak/>
        <w:t>svobody projevu; vyzývá Komisi, aby zrušení těchto zákonů vytkla jako striktní podmínku;</w:t>
      </w:r>
    </w:p>
    <w:p w14:paraId="4EF2A646" w14:textId="58CEA71C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3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vybízí Radu ministrů Bosny a Hercegoviny, aby přijala strategii pro rozvoj příznivého prostředí pro občanskou společnost a dbala na to, aby se jednoznačně zaměřovala na zlepšení legislativního rámce a zajištění většího a transparentnějšího financování organizací občanské společnosti; vyzývá k větší ochraně obránců lidských práv v Bosně a Hercegovině, včetně žen-aktivistek, novinářů a nevládních organizací;</w:t>
      </w:r>
    </w:p>
    <w:p w14:paraId="4DE1A664" w14:textId="0AEDD23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4</w:t>
      </w:r>
      <w:r w:rsidRPr="00D23D6C">
        <w:rPr>
          <w:szCs w:val="24"/>
        </w:rPr>
        <w:t>.</w:t>
      </w:r>
      <w:r w:rsidRPr="00D23D6C">
        <w:rPr>
          <w:szCs w:val="24"/>
        </w:rPr>
        <w:tab/>
        <w:t>zdůrazňuje klíčový význam nezávislých sdělovacích prostředků a dodržování standardů svobody projevu; vyzývá Bosnu a Hercegovinu, aby s ohledem na naléhavou finanční krizi veřejnoprávního vysílání BHRT zajistila finanční udržitelnost a politickou nezávislost provozovatelů veřejnoprávního vysílání a Regulační agentury pro komunikace Bosny a Hercegoviny; vyzývá Bosnu a Hercegovinu, aby přijala právní předpisy týkající se transparentnosti vlastnictví sdělovacích prostředků a jejich veřejného financování; naléhavě vyzývá státní orgány Bosny a Hercegoviny, aby urychlily přijetí zákona o elektronických komunikacích v souladu s nařízením o digitálních službách</w:t>
      </w:r>
      <w:r w:rsidRPr="00D23D6C">
        <w:rPr>
          <w:rStyle w:val="FootnoteReference"/>
          <w:szCs w:val="24"/>
        </w:rPr>
        <w:footnoteReference w:id="8"/>
      </w:r>
      <w:r w:rsidRPr="00D23D6C">
        <w:rPr>
          <w:szCs w:val="24"/>
        </w:rPr>
        <w:t xml:space="preserve"> a novým aktem EU o svobodě médií</w:t>
      </w:r>
      <w:r w:rsidRPr="00D23D6C">
        <w:rPr>
          <w:rStyle w:val="FootnoteReference"/>
          <w:szCs w:val="24"/>
        </w:rPr>
        <w:footnoteReference w:id="9"/>
      </w:r>
      <w:r w:rsidRPr="00D23D6C">
        <w:rPr>
          <w:szCs w:val="24"/>
        </w:rPr>
        <w:t>; vyzývá k zajištění plurality veřejných sdělovacích prostředků na celém území Bosny a Hercegoviny, včetně rovného zastoupení všech menšin; bere na vědomí, že po dvanácti letech obstrukcí byla ve Federaci Bosny a Hercegoviny jmenována rada veřejnoprávního vysílání, kterou tímto vyzývá, aby zajistila poskytování nestranných a objektivních informací;</w:t>
      </w:r>
    </w:p>
    <w:p w14:paraId="64B937CC" w14:textId="60A630D1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5</w:t>
      </w:r>
      <w:r w:rsidRPr="00D23D6C">
        <w:rPr>
          <w:szCs w:val="24"/>
        </w:rPr>
        <w:t>.</w:t>
      </w:r>
      <w:r w:rsidRPr="00D23D6C">
        <w:rPr>
          <w:szCs w:val="24"/>
        </w:rPr>
        <w:tab/>
        <w:t>je hluboce znepokojen ruskou propagandou ve veřejnoprávním vysílání entity Republika srbská a vyjadřuje politování nad tím, že i přes sankce EU pokračuje vysílání stanice RT (dříve Russia Today);</w:t>
      </w:r>
    </w:p>
    <w:p w14:paraId="309E7569" w14:textId="62AB9B8A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6</w:t>
      </w:r>
      <w:r w:rsidRPr="00D23D6C">
        <w:rPr>
          <w:szCs w:val="24"/>
        </w:rPr>
        <w:t>.</w:t>
      </w:r>
      <w:r w:rsidRPr="00D23D6C">
        <w:rPr>
          <w:szCs w:val="24"/>
        </w:rPr>
        <w:tab/>
        <w:t>odsuzuje politický nátlak, útoky, zastrašování, výhružky, pomluvy a strategické žaloby proti účasti veřejnosti, k nimž se uchylují zejména vysoce postavení politikové a jejich zástupné organizace a aktéři podporovaní ze zahraničí a které jsou namířeny na novináře a jiné pracovníky sdělovacích prostředků; vyjadřuje politování nad nedostatečným pokrokem při zajišťování svobody projevu a při novelizaci trestněprávních norem v souladu s požadavky EU s cílem posílit ochranu novinářů před hrozbami a útoky, a vyzývá orgány Bosny a Hercegoviny, aby přijaly zákony, které účinně ochrání novináře, nevládní organizace, obránce lidských práv, ekologické aktivisty a další zúčastněné strany před strategickými žalobami proti účasti veřejnosti; zdůrazňuje, že jsou-li novináři terčem výhrůžek a násilí vůči novinářům, je důležité zajistit, aby se těmito případy odpovídajícím způsobem zabývala justice;</w:t>
      </w:r>
    </w:p>
    <w:p w14:paraId="4A0B10FD" w14:textId="6C7AE043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4</w:t>
      </w:r>
      <w:r w:rsidR="00BE17E8">
        <w:rPr>
          <w:szCs w:val="24"/>
        </w:rPr>
        <w:t>7</w:t>
      </w:r>
      <w:r w:rsidRPr="00D23D6C">
        <w:rPr>
          <w:szCs w:val="24"/>
        </w:rPr>
        <w:t>.</w:t>
      </w:r>
      <w:r w:rsidRPr="00D23D6C">
        <w:rPr>
          <w:szCs w:val="24"/>
        </w:rPr>
        <w:tab/>
        <w:t>naléhavě žádá Bosnu a Hercegovinu, aby zajistila dodržování všeobecných lidských práv a účinně prosazovala příslušné zákony; naléhavě vyzývá Bosnu a Hercegovinu, aby stíhala trestné činy diskriminace;</w:t>
      </w:r>
    </w:p>
    <w:p w14:paraId="25979D91" w14:textId="40FA5018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8</w:t>
      </w:r>
      <w:r w:rsidRPr="00D23D6C">
        <w:rPr>
          <w:szCs w:val="24"/>
        </w:rPr>
        <w:t>.</w:t>
      </w:r>
      <w:r w:rsidRPr="00D23D6C">
        <w:rPr>
          <w:szCs w:val="24"/>
        </w:rPr>
        <w:tab/>
        <w:t>připomíná, že je třeba zajistit spravedlivé řízení migrace a azylu založené na solidaritě, které v sobě spojuje dodržování lidských práv s účinnou kontrolou hranic; vyzývá EU, aby Bosně a Hercegovině pomohla převzít plnou odpovědnost za správu přijímacích středisek, které se často nacházejí na hranicích EU, a zajistit dostatečné podmínky pro přijímání žadatelů a přístup k účinným a proveditelným azylovým řízením, při nichž bude plně dodržováno mezinárodní právo a lidská práva; je znepokojen zprávami o nedostatečných podmínkách pro přijímání žadatelů v přijímacím středisku Lipa, které je financováno z prostředků EU; zdůrazňuje, že je třeba zvýšit transparentnost a demokratickou kontrolu při přidělování a využívání finančních prostředků EU v oblasti migrace; oceňuje, že byla vyjednána nová rozšířená dohoda o postavení jednotek mezi Bosnou a Hercegovinou a agenturou Frontex, a vyzývá k jejímu urychlenému podpisu; připomíná, že dohoda s touto agenturou by měla v každém případě plně respektovat základní práva a mezinárodní normy; naléhavě žádá Bosnu a Hercegovinu, aby zvýšila své úsilí v boji proti přeshraniční trestné činnosti, zejména proti obchodování s lidmi;</w:t>
      </w:r>
    </w:p>
    <w:p w14:paraId="44848D7B" w14:textId="4DDADCBB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Usmíření, regionální spolupráce a dobré sousedské vztahy</w:t>
      </w:r>
    </w:p>
    <w:p w14:paraId="2C347E4D" w14:textId="5DDF75F8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4</w:t>
      </w:r>
      <w:r w:rsidR="00BE17E8">
        <w:rPr>
          <w:szCs w:val="24"/>
        </w:rPr>
        <w:t>9</w:t>
      </w:r>
      <w:r w:rsidRPr="00D23D6C">
        <w:rPr>
          <w:szCs w:val="24"/>
        </w:rPr>
        <w:t>.</w:t>
      </w:r>
      <w:r w:rsidRPr="00D23D6C">
        <w:rPr>
          <w:szCs w:val="24"/>
        </w:rPr>
        <w:tab/>
        <w:t>připomíná, že základními prvky procesu rozšíření EU jsou dobré sousedské vztahy a regionální spolupráce;</w:t>
      </w:r>
    </w:p>
    <w:p w14:paraId="74DE28E9" w14:textId="60BD8F59" w:rsidR="00492CBA" w:rsidRPr="00D23D6C" w:rsidRDefault="00BE17E8" w:rsidP="00D23D6C">
      <w:pPr>
        <w:pStyle w:val="NormalHanging12a"/>
        <w:rPr>
          <w:szCs w:val="24"/>
        </w:rPr>
      </w:pPr>
      <w:r>
        <w:rPr>
          <w:szCs w:val="24"/>
        </w:rPr>
        <w:t>50</w:t>
      </w:r>
      <w:r w:rsidR="00492CBA" w:rsidRPr="00D23D6C">
        <w:rPr>
          <w:szCs w:val="24"/>
        </w:rPr>
        <w:t>.</w:t>
      </w:r>
      <w:r w:rsidR="00492CBA" w:rsidRPr="00D23D6C">
        <w:rPr>
          <w:szCs w:val="24"/>
        </w:rPr>
        <w:tab/>
        <w:t xml:space="preserve">poukazuje na důležitost usmíření v Bosně a Hercegovině a naléhavě žádá všechny orgány, aby aktivně podporovaly a zajišťovaly přístup k pravdě, spravedlnosti a inkluzivní nápravě, včetně přijetí zákona na celostátní úrovni, který stanoví minimální práva obětí války v celé zemi, a podpory kultury paměti žen; domnívá se, že pozitivní vliv na usmíření může mít odpovědnost a vzájemný respekt mezi jednotlivci a komunitami a podpora vzájemného porozumění, zejména mezi mladými lidmi; naléhavě vyzývá orgány Bosny a Hercegoviny, aby přijaly vnitrostátní strategii pro přechodné soudnictví; vyzývá ke zvýšení úsilí ve věci pohřešovaných osob; naléhavě vyzývá Komisi, aby vynaložila další úsilí na propagaci, podporu a usnadnění procesů usmíření v Bosně a Hercegovině; </w:t>
      </w:r>
    </w:p>
    <w:p w14:paraId="09D463CA" w14:textId="63312485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1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vyzývá orgány Bosny a Hercegoviny, aby urychlily stíhání válečných zločinů v souladu s revidovanou státní strategií pro stíhání válečných zločinů; zdůrazňuje význam posílené regionální spolupráce, v rámci níž dochází k vydávání podezřelých osob, a stejně tak význam spolupráce mezi justičními orgány a výměny informací ve všech příslušných formálních aspektech zaměřených na trestní stíhání; vybízí orgány Bosny a Hercegoviny, aby harmonizovaly své právní předpisy s cílem zajistit, aby všechny oběti válečných zločinů měly rovný přístup k právům a ochraně;</w:t>
      </w:r>
    </w:p>
    <w:p w14:paraId="3404FAA6" w14:textId="6F52DE53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2</w:t>
      </w:r>
      <w:r w:rsidRPr="00D23D6C">
        <w:rPr>
          <w:szCs w:val="24"/>
        </w:rPr>
        <w:t>.</w:t>
      </w:r>
      <w:r w:rsidRPr="00D23D6C">
        <w:rPr>
          <w:szCs w:val="24"/>
        </w:rPr>
        <w:tab/>
        <w:t>uznává mimořádně důležitou úlohu, kterou zastává Mezinárodní komise pro pohřešované osoby (ICMP), mimo jiné tím, že zajišťuje institucionální kapacitu, poskytuje rodinám podporu a předkládá důkazy soudům; naléhavě vyzývá EU, aby zajistila, že ICMP bude mít přístup k dostatečnému financování, aby mohla pokračovat ve své činnosti;</w:t>
      </w:r>
    </w:p>
    <w:p w14:paraId="3E1089F9" w14:textId="59281874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5</w:t>
      </w:r>
      <w:r w:rsidR="00BE17E8">
        <w:rPr>
          <w:szCs w:val="24"/>
        </w:rPr>
        <w:t>3</w:t>
      </w:r>
      <w:r w:rsidRPr="00D23D6C">
        <w:rPr>
          <w:szCs w:val="24"/>
        </w:rPr>
        <w:t>.</w:t>
      </w:r>
      <w:r w:rsidRPr="00D23D6C">
        <w:rPr>
          <w:szCs w:val="24"/>
        </w:rPr>
        <w:tab/>
        <w:t>znovu vyzývá k provádění dodatečných opatření a konkrétních programů zajišťujících udržitelný návrat uprchlíků a vnitřně vysídlených osob, jejich přístup ke zdravotní péči a zaměstnání, sociální ochraně a vzdělávání a k plnému dodržování všech jejich práv a odškodnění za majetek, který jim nemůže být vrácen;</w:t>
      </w:r>
    </w:p>
    <w:p w14:paraId="1B89DCDE" w14:textId="723EEF2E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4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vyjadřuje politování nad všemi formami historického revizionismu, popírání genocidy, iredentismu, oslavování válečných zločinů a zločinců a zpochybňování faktů nebo nezávislosti a nestrannosti mezinárodních a domácích tribunálů, zejména ze strany politických špiček;</w:t>
      </w:r>
    </w:p>
    <w:p w14:paraId="12EAE819" w14:textId="736ABE21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5</w:t>
      </w:r>
      <w:r w:rsidRPr="00D23D6C">
        <w:rPr>
          <w:szCs w:val="24"/>
        </w:rPr>
        <w:t>.</w:t>
      </w:r>
      <w:r w:rsidRPr="00D23D6C">
        <w:rPr>
          <w:szCs w:val="24"/>
        </w:rPr>
        <w:tab/>
        <w:t xml:space="preserve">je znepokojen přijetím „Prohlášení o ochraně národních a politických práv a společné budoucnosti srbského lidu“, které je v rozporu s několika aspekty Daytonské mírové dohody a narušuje svrchovanost, územní celistvost a jednotu Bosny a Hercegoviny; konstatuje, že myšlenky spojené s pojmem „Srpski Svet“ jsou neslučitelné s aspiracemi na vstup do EU; vyzývá Srbsko, aby se konstruktivně zavázalo ke stabilitě a územní celistvosti Bosny a Hercegoviny a aktivně podporovalo proces přistoupení Bosny a Hercegoviny k EU; </w:t>
      </w:r>
    </w:p>
    <w:p w14:paraId="58D6CA71" w14:textId="610CF318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6</w:t>
      </w:r>
      <w:r w:rsidRPr="00D23D6C">
        <w:rPr>
          <w:szCs w:val="24"/>
        </w:rPr>
        <w:t>.</w:t>
      </w:r>
      <w:r w:rsidRPr="00D23D6C">
        <w:rPr>
          <w:szCs w:val="24"/>
        </w:rPr>
        <w:tab/>
        <w:t>zdůrazňuje význam preventivní diplomacie v Bosně a Hercegovině; vyzývá ESVČ, aby posílila rozvoj dovedností svých pracovníků s cílem lépe porozumět místnímu historickému, kulturnímu a náboženskému kontextu, jak je zdůrazněno ve zprávě o úloze preventivní diplomacie přijaté Evropským parlamentem v lednu 2024;</w:t>
      </w:r>
    </w:p>
    <w:p w14:paraId="43213634" w14:textId="48D6CA57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7</w:t>
      </w:r>
      <w:r w:rsidRPr="00D23D6C">
        <w:rPr>
          <w:szCs w:val="24"/>
        </w:rPr>
        <w:t>.</w:t>
      </w:r>
      <w:r w:rsidRPr="00D23D6C">
        <w:rPr>
          <w:szCs w:val="24"/>
        </w:rPr>
        <w:tab/>
        <w:t>vítá rozhodnutí Valného shromáždění OSN vyhlásit 11. červenec Mezinárodním dnem reflexe a připomínání genocidy v Srebrenici v roce 1995; vyzývá orgány Bosny a Hercegoviny, aby zajistily bezpečnost v památníku Srebrenica-Potočari; zdůrazňuje, že památník musel být kvůli bezpečnostním obavám dočasně uzavřen;</w:t>
      </w:r>
    </w:p>
    <w:p w14:paraId="6C294AF8" w14:textId="731D57A6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8</w:t>
      </w:r>
      <w:r w:rsidRPr="00D23D6C">
        <w:rPr>
          <w:szCs w:val="24"/>
        </w:rPr>
        <w:t>.</w:t>
      </w:r>
      <w:r w:rsidRPr="00D23D6C">
        <w:rPr>
          <w:szCs w:val="24"/>
        </w:rPr>
        <w:tab/>
        <w:t>zdůrazňuje, že regionální spolupráce prostřednictvím společného regionálního trhu přispívá k podpoře hospodářského růstu; vyzývá Bosnu a Hercegovinu, aby urychleně ratifikovala všechny regionální dohody o mobilitě sjednané v rámci berlínského procesu a dále posílila hospodářskou spolupráci prostřednictvím tohoto trhu v souladu s cíli rozšíření EU;</w:t>
      </w:r>
    </w:p>
    <w:p w14:paraId="072E0362" w14:textId="77777777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Sociální a hospodářské reformy</w:t>
      </w:r>
    </w:p>
    <w:p w14:paraId="0B4480AD" w14:textId="570C74FA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5</w:t>
      </w:r>
      <w:r w:rsidR="00BE17E8">
        <w:rPr>
          <w:szCs w:val="24"/>
        </w:rPr>
        <w:t>9</w:t>
      </w:r>
      <w:r w:rsidRPr="00D23D6C">
        <w:rPr>
          <w:szCs w:val="24"/>
        </w:rPr>
        <w:t>.</w:t>
      </w:r>
      <w:r w:rsidRPr="00D23D6C">
        <w:rPr>
          <w:szCs w:val="24"/>
        </w:rPr>
        <w:tab/>
        <w:t xml:space="preserve">vítá plán růstu pro západní Balkán, jehož součástí je Nástroj pro reformy a růst pro země západního Balkánu, který předpokládá, že Bosně a Hercegovině bude přidělena více než 1 miliarda EUR; </w:t>
      </w:r>
      <w:r w:rsidR="00522C7B">
        <w:rPr>
          <w:szCs w:val="24"/>
        </w:rPr>
        <w:t>vítá skutečnost</w:t>
      </w:r>
      <w:r w:rsidRPr="00D23D6C">
        <w:rPr>
          <w:szCs w:val="24"/>
        </w:rPr>
        <w:t xml:space="preserve">, že </w:t>
      </w:r>
      <w:r w:rsidR="00D03EE5" w:rsidRPr="00F33EF2">
        <w:rPr>
          <w:bCs/>
          <w:iCs/>
        </w:rPr>
        <w:t xml:space="preserve">Rada ministrů </w:t>
      </w:r>
      <w:r w:rsidRPr="00D23D6C">
        <w:rPr>
          <w:szCs w:val="24"/>
        </w:rPr>
        <w:t>Bosn</w:t>
      </w:r>
      <w:r w:rsidR="00D03EE5">
        <w:rPr>
          <w:szCs w:val="24"/>
        </w:rPr>
        <w:t>y</w:t>
      </w:r>
      <w:r w:rsidRPr="00D23D6C">
        <w:rPr>
          <w:szCs w:val="24"/>
        </w:rPr>
        <w:t xml:space="preserve"> a Hercegovin</w:t>
      </w:r>
      <w:r w:rsidR="00D03EE5">
        <w:rPr>
          <w:szCs w:val="24"/>
        </w:rPr>
        <w:t>y</w:t>
      </w:r>
      <w:r w:rsidRPr="00D23D6C">
        <w:rPr>
          <w:szCs w:val="24"/>
        </w:rPr>
        <w:t xml:space="preserve"> přijala </w:t>
      </w:r>
      <w:r w:rsidR="00D03EE5">
        <w:rPr>
          <w:szCs w:val="24"/>
        </w:rPr>
        <w:t xml:space="preserve">návrh </w:t>
      </w:r>
      <w:r w:rsidRPr="00D23D6C">
        <w:rPr>
          <w:szCs w:val="24"/>
        </w:rPr>
        <w:t>program</w:t>
      </w:r>
      <w:r w:rsidR="00D03EE5">
        <w:rPr>
          <w:szCs w:val="24"/>
        </w:rPr>
        <w:t>u</w:t>
      </w:r>
      <w:r w:rsidRPr="00D23D6C">
        <w:rPr>
          <w:szCs w:val="24"/>
        </w:rPr>
        <w:t xml:space="preserve"> reforem; naléhavě vyzývá </w:t>
      </w:r>
      <w:r w:rsidR="00BE17E8">
        <w:rPr>
          <w:szCs w:val="24"/>
        </w:rPr>
        <w:t>příslušné orgány</w:t>
      </w:r>
      <w:r w:rsidRPr="00D23D6C">
        <w:rPr>
          <w:szCs w:val="24"/>
        </w:rPr>
        <w:t xml:space="preserve"> Bosny a Hercegoviny, aby bezodkladně </w:t>
      </w:r>
      <w:r w:rsidR="00BE17E8">
        <w:rPr>
          <w:szCs w:val="24"/>
        </w:rPr>
        <w:t>zajistily rychlé</w:t>
      </w:r>
      <w:r w:rsidRPr="00D23D6C">
        <w:rPr>
          <w:szCs w:val="24"/>
        </w:rPr>
        <w:t xml:space="preserve"> přijetí programu reforem, a zabránily tak tomu, aby byly finanční prostředky přiděleny ostatním zemím západního Balkánu, a dále je vyzývá, aby vytvořily spolehlivý mechanismus pro transparentní, inkluzivní a včasné sledování jeho provádění; zdůrazňuje, že je třeba upřednostnit klíčové oblasti, jako je veřejná správa, právní stát, boj proti korupci, dekarbonizace, digitalizace, konektivita a rozvoj lidského kapitálu, a zároveň řešit sociální výzvy; je přesvědčen, že využijí-li se příležitosti spojené s tímto růstovým plánem, dojde k posílení hospodářství Bosny a Hercegoviny; vyzývá Komisi, aby prozkoumala způsoby spolupráce s regionálními orgány, které by byly ochotny se v tomto směru angažovat, a využívala Nástroje pro reformy a růst pro země západního Balkánu flexibilnějším způsobem;</w:t>
      </w:r>
    </w:p>
    <w:p w14:paraId="5E09178E" w14:textId="13F08226" w:rsidR="00492CBA" w:rsidRPr="00D23D6C" w:rsidRDefault="00BE17E8" w:rsidP="00D23D6C">
      <w:pPr>
        <w:pStyle w:val="NormalHanging12a"/>
        <w:rPr>
          <w:szCs w:val="24"/>
        </w:rPr>
      </w:pPr>
      <w:r>
        <w:rPr>
          <w:szCs w:val="24"/>
        </w:rPr>
        <w:lastRenderedPageBreak/>
        <w:t>60</w:t>
      </w:r>
      <w:r w:rsidR="00492CBA" w:rsidRPr="00D23D6C">
        <w:rPr>
          <w:szCs w:val="24"/>
        </w:rPr>
        <w:t>.</w:t>
      </w:r>
      <w:r w:rsidR="00492CBA" w:rsidRPr="00D23D6C">
        <w:rPr>
          <w:szCs w:val="24"/>
        </w:rPr>
        <w:tab/>
        <w:t>připomíná, že unijní financování projektů v entitě Republika srbská by mělo zůstat zmrazeno, dokud nedojde ke zvrácení protidemokratického vývoje v Republice srbské a dokud nebude její politika plně sladěna se SZBP;</w:t>
      </w:r>
    </w:p>
    <w:p w14:paraId="1DD990F5" w14:textId="0CBDB1CB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1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vybízí Bosnu a Hercegovinu, aby veškerou finanční pomoc ze strany EU využívala co nejefektivněji; vyzývá Komisi, aby i nadále finančně a technicky podporovala evropskou integraci Bosny a Hercegoviny, a to na základě jasně definovaných podmínek a přísného sledování výdajů a výsledků v souladu s cíli EU v oblasti účinného a odpovědného rozpočtového řízení; je přesvědčen, že finanční prostředky EU by měly lépe podporovat demokratické reformy v zemi; v této souvislosti vyzývá k přeprogramování příslušného unijního financování a přesměrovat více finančních prostředků na podporu technické pomoci při absorpci fondů, reformách soudnictví a provádění protikorupčních opatření; dále vyzývá EU a země západního Balkánu, aby vytvořily rámec pro plodnou spolupráci s Úřadem evropského veřejného žalobce (EPPO) s cílem zajistit, aby EPPO mohl v přistupujících zemích účinně vykonávat své pravomoci; vybízí Bosnu a Hercegovinu, aby s EPPO urychleně uzavřela dvoustranná pracovní ujednání;</w:t>
      </w:r>
    </w:p>
    <w:p w14:paraId="3E9ACFD6" w14:textId="645A5EE2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2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vyjadřuje politování nad tím, že udržitelnému zlepšení a pokroku v této oblasti brání také struktura řízení a neexistence celostátních strategií ve všech oblastech a na všech úrovních; vyzývá k urychlenému jmenování koordinátora pro NPP III a vyzývá k lepšímu čerpání prostředků z NPP III v Bosně a Hercegovině, a to i na místní a regionální úrovni; žádá, aby byla posílena kapacita místních a regionálních orgánů k provádění sociálně-ekonomických reforem a řízení projektů spolufinancovaných z fondů EU s cílem zvýšit absorpci prostředků a snížit regionální nerovnosti;</w:t>
      </w:r>
    </w:p>
    <w:p w14:paraId="54240D7F" w14:textId="79F6EF65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3</w:t>
      </w:r>
      <w:r w:rsidRPr="00D23D6C">
        <w:rPr>
          <w:szCs w:val="24"/>
        </w:rPr>
        <w:t>.</w:t>
      </w:r>
      <w:r w:rsidRPr="00D23D6C">
        <w:rPr>
          <w:szCs w:val="24"/>
        </w:rPr>
        <w:tab/>
        <w:t>naléhavě vyzývá Bosnu a Hercegovinu, aby upřednostňovala opatření, která by zlepšila konkurenceschopnost a podnikatelské prostředí, a zároveň přispěla k hospodářské a sociální soudržnosti, včetně pokroku při plnění evropského pilíře sociálních práv, a k posílení hospodářské diverzifikace, podpoře digitální a ekologické transformace a řešení problému neformální ekonomiky a vysoké nezaměstnanosti;</w:t>
      </w:r>
    </w:p>
    <w:p w14:paraId="0626A94A" w14:textId="114AFA18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4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vyjadřuje znepokojení nad mimořádně negativními demografickými trendy v zemi, které jsou vyvolány zejména tím, že ze země odchází velký počet mladých lidí, a zdůrazňuje, že k řešení tohoto problému je důležité urychleně přijmout dodatečná opatření; vyzývá k tomu, aby se pozornost zaměřila na mladé lidi jako hnací sílu, která by mohla napomoci integraci Bosny s Hercegoviny do EU; vyzývá Bosnu a Hercegovinu, aby dokončila a přijala záruku pro mladé lidi s cílem zlepšit přístup mladých lidí k zaměstnání, vzdělávání, odborné přípravě a učňovskému vzdělávání, řešit problém vysoké nezaměstnanosti s mladých lidí, odstranit nesoulad mezi nabízenými a požadovanými dovednostmi a podporovat sociální začleňování;</w:t>
      </w:r>
    </w:p>
    <w:p w14:paraId="143941CB" w14:textId="04691CB3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5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vybízí orgány EU, aby spolupracovaly s občanskou společností a odborníky na hledání řešení, která by zlepšila flexibilitu a přenosnost zdravotní a sociální ochrany, a zajistila tak v rámci Bosny a Hercegoviny rovnost a mobilitu;</w:t>
      </w:r>
    </w:p>
    <w:p w14:paraId="739DCE47" w14:textId="4F7EB86C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6</w:t>
      </w:r>
      <w:r w:rsidRPr="00D23D6C">
        <w:rPr>
          <w:szCs w:val="24"/>
        </w:rPr>
        <w:t>.</w:t>
      </w:r>
      <w:r w:rsidRPr="00D23D6C">
        <w:rPr>
          <w:szCs w:val="24"/>
        </w:rPr>
        <w:tab/>
        <w:t>vítá výzvy k tomu, aby před vlastním vstupem do EU proběhla rychlá integrace celého západního Balkánu do jednotného digitálního trhu EU, což by zásadním způsobem přispělo k vytvoření bezpečného digitálního prostředí;</w:t>
      </w:r>
    </w:p>
    <w:p w14:paraId="07FF6937" w14:textId="77777777" w:rsidR="00492CBA" w:rsidRPr="00D23D6C" w:rsidRDefault="00492CBA" w:rsidP="00BF2489">
      <w:pPr>
        <w:pStyle w:val="Normal12a24b"/>
        <w:spacing w:before="0"/>
        <w:rPr>
          <w:szCs w:val="24"/>
        </w:rPr>
      </w:pPr>
      <w:r w:rsidRPr="00D23D6C">
        <w:rPr>
          <w:rStyle w:val="BoldItalic"/>
          <w:szCs w:val="24"/>
        </w:rPr>
        <w:t>Energetika, životní prostředí, biologická rozmanitost, udržitelný rozvoj a konektivita</w:t>
      </w:r>
    </w:p>
    <w:p w14:paraId="6C741A5A" w14:textId="4B75E651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6</w:t>
      </w:r>
      <w:r w:rsidR="00BE17E8">
        <w:rPr>
          <w:szCs w:val="24"/>
        </w:rPr>
        <w:t>7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vybízí Bosnu a Hercegovinu, aby urychlila diverzifikaci zdrojů energie, zejména pokud jde o ukončení závislosti na ruském plynu; naléhavě vyzývá Bosnu a Hercegovinu, aby zvýšila energetickou bezpečnost a účinnost posílením svých elektrických přenosových a distribučních sítí, propojením s evropským trhem a přechodem na obnovitelné zdroje energie, zejména na solární a větrnou energii, a zároveň aby zajistila smysluplné veřejné konzultace a účinné záruky v oblasti životního prostředí;</w:t>
      </w:r>
    </w:p>
    <w:p w14:paraId="3D23D174" w14:textId="05119E86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8</w:t>
      </w:r>
      <w:r w:rsidRPr="00D23D6C">
        <w:rPr>
          <w:szCs w:val="24"/>
        </w:rPr>
        <w:t>.</w:t>
      </w:r>
      <w:r w:rsidRPr="00D23D6C">
        <w:rPr>
          <w:szCs w:val="24"/>
        </w:rPr>
        <w:tab/>
        <w:t>naléhavě vyzývá Bosnu a Hercegovinu, aby přijala svůj dlouho odkládaný vnitrostátní plán v oblasti energetiky a klimatu a prováděla celostátní strategie ochrany životního prostředí, mimo jiné tím, že právně ochrání své lokality kandidující na začlenění do programu Smaragd, zlepší přiměřenost své sítě Smaragd a zajistí plné provedení rámcové směrnice o stanovištích</w:t>
      </w:r>
      <w:r w:rsidRPr="00D23D6C">
        <w:rPr>
          <w:rStyle w:val="FootnoteReference"/>
          <w:szCs w:val="24"/>
        </w:rPr>
        <w:footnoteReference w:id="10"/>
      </w:r>
      <w:r w:rsidRPr="00D23D6C">
        <w:rPr>
          <w:szCs w:val="24"/>
        </w:rPr>
        <w:t>, směrnice o ptácích</w:t>
      </w:r>
      <w:r w:rsidRPr="00D23D6C">
        <w:rPr>
          <w:rStyle w:val="FootnoteReference"/>
          <w:szCs w:val="24"/>
        </w:rPr>
        <w:footnoteReference w:id="11"/>
      </w:r>
      <w:r w:rsidRPr="00D23D6C">
        <w:rPr>
          <w:szCs w:val="24"/>
        </w:rPr>
        <w:t xml:space="preserve"> a rámcové směrnice o vodě</w:t>
      </w:r>
      <w:r w:rsidRPr="00D23D6C">
        <w:rPr>
          <w:rStyle w:val="FootnoteReference"/>
          <w:szCs w:val="24"/>
        </w:rPr>
        <w:footnoteReference w:id="12"/>
      </w:r>
      <w:r w:rsidRPr="00D23D6C">
        <w:rPr>
          <w:szCs w:val="24"/>
        </w:rPr>
        <w:t xml:space="preserve"> a zároveň zlepší kvalitu a transparentnost investic do životního prostředí; opakuje, že je třeba účinně chránit a zlepšovat kvalitu ovzduší a vody a zavést účinné, přiměřené a odrazující sankce za porušení právních předpisů v oblasti životního prostředí; konstatuje, že pokrok v oblasti ochrany životního prostředí a klimatu a sbližování s normami EU je i nadále malý, a naléhavě proto vyzývá orgány Bosny a Hercegoviny, aby zajistily větší soulad s normami a politickými cíli EU v oblasti ochrany klimatu a energetiky v souladu se zelenou agendou z roku 2020 a Pařížskou dohodou;</w:t>
      </w:r>
    </w:p>
    <w:p w14:paraId="22271234" w14:textId="0FFB4024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6</w:t>
      </w:r>
      <w:r w:rsidR="00BE17E8">
        <w:rPr>
          <w:szCs w:val="24"/>
        </w:rPr>
        <w:t>9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vyzývá orgány Bosny a Hercegoviny, aby omezily přeshraniční znečišťování ovzduší, zejména v případě ropné rafinérie ve městě Bosanski Brod; připomíná, že Bosna a Hercegovina je smluvní stranou Úmluvy o posuzování vlivů na životní prostředí přesahujících hranice států (úmluva z Espoo z roku 1991) a je vázána povinnostmi, které z ní vyplývají;</w:t>
      </w:r>
    </w:p>
    <w:p w14:paraId="4FF21E2B" w14:textId="34D8672A" w:rsidR="00492CBA" w:rsidRPr="00D23D6C" w:rsidRDefault="00BE17E8" w:rsidP="00D23D6C">
      <w:pPr>
        <w:pStyle w:val="NormalHanging12a"/>
        <w:rPr>
          <w:szCs w:val="24"/>
        </w:rPr>
      </w:pPr>
      <w:r>
        <w:rPr>
          <w:szCs w:val="24"/>
        </w:rPr>
        <w:t>70</w:t>
      </w:r>
      <w:r w:rsidR="00492CBA" w:rsidRPr="00D23D6C">
        <w:rPr>
          <w:szCs w:val="24"/>
        </w:rPr>
        <w:t>.</w:t>
      </w:r>
      <w:r w:rsidR="00492CBA" w:rsidRPr="00D23D6C">
        <w:rPr>
          <w:szCs w:val="24"/>
        </w:rPr>
        <w:tab/>
        <w:t>zdůrazňuje, že je třeba zlepšit předběžně prováděné komplexní strategické posuzování vlivů na životní prostředí cestou smysluplného zapojení místních komunit, organizací občanské společnosti a nezávislých odborníků; zdůrazňuje, že je třeba zvýšit transparentnost postupů pro infrastrukturní projekty ve všech ekologicky citlivých odvětvích; zdůrazňuje, že je důležité, aby téma životního prostředí bylo více přítomné ve všech odvětvových politikách;</w:t>
      </w:r>
    </w:p>
    <w:p w14:paraId="167C4A30" w14:textId="6CFA9809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7</w:t>
      </w:r>
      <w:r w:rsidR="00BE17E8">
        <w:rPr>
          <w:szCs w:val="24"/>
        </w:rPr>
        <w:t>1</w:t>
      </w:r>
      <w:r w:rsidRPr="00D23D6C">
        <w:rPr>
          <w:szCs w:val="24"/>
        </w:rPr>
        <w:t>.</w:t>
      </w:r>
      <w:r w:rsidRPr="00D23D6C">
        <w:rPr>
          <w:szCs w:val="24"/>
        </w:rPr>
        <w:tab/>
        <w:t xml:space="preserve">naléhavě vyzývá Bosnu a Hercegovinu, aby v souladu s úmluvou z Espoo zavedla opatření na ochranu biologické rozmanitosti a ekologické celistvosti řek; </w:t>
      </w:r>
    </w:p>
    <w:p w14:paraId="3936E2DD" w14:textId="64A7930B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7</w:t>
      </w:r>
      <w:r w:rsidR="00BE17E8">
        <w:rPr>
          <w:szCs w:val="24"/>
        </w:rPr>
        <w:t>2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vyjadřuje hluboké znepokojení nad škodlivým dopadem těžební činnosti na životní prostředí v Bosně a Hercegovině a na zdraví jejích občanů, včetně činností prováděných zahraničními společnostmi; vyzývá všechny těžební subjekty působící v Bosně a Hercegovině, aby plně dodržovaly vnitrostátní právní předpisy a zařadily ochranu životního prostředí a veřejného zdraví mezi své priority;</w:t>
      </w:r>
    </w:p>
    <w:p w14:paraId="09AA0072" w14:textId="0BC0FDEB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lastRenderedPageBreak/>
        <w:t>7</w:t>
      </w:r>
      <w:r w:rsidR="00BE17E8">
        <w:rPr>
          <w:szCs w:val="24"/>
        </w:rPr>
        <w:t>3</w:t>
      </w:r>
      <w:r w:rsidRPr="00D23D6C">
        <w:rPr>
          <w:szCs w:val="24"/>
        </w:rPr>
        <w:t>.</w:t>
      </w:r>
      <w:r w:rsidRPr="00D23D6C">
        <w:rPr>
          <w:szCs w:val="24"/>
        </w:rPr>
        <w:tab/>
        <w:t>zdůrazňuje, že je naléhavě nutné, aby Federace Bosny a Hercegoviny přijala spravedlivý a moderní zákon o lesích, který bude vycházet z odborných poznatků; dále vyzývá ke zlepšení ochrany lesů a řek prostřednictvím lepšího inspekčního dohledu a vytvoření přísného právního rámce v souladu s environmentálními a systémovými normami; vyzývá ke zrušení ustanovení příslušných předpisů Federace Bosny a Hercegoviny, které umožňují vypouštět odpadní vody do řek s minimálním dohledem, což představuje významnou hrozbu pro veřejné zdraví a životní prostředí;</w:t>
      </w:r>
    </w:p>
    <w:p w14:paraId="59DFC5D1" w14:textId="05D9C996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7</w:t>
      </w:r>
      <w:r w:rsidR="00BE17E8">
        <w:rPr>
          <w:szCs w:val="24"/>
        </w:rPr>
        <w:t>4</w:t>
      </w:r>
      <w:r w:rsidRPr="00D23D6C">
        <w:rPr>
          <w:szCs w:val="24"/>
        </w:rPr>
        <w:t xml:space="preserve">. </w:t>
      </w:r>
      <w:r w:rsidRPr="00D23D6C">
        <w:rPr>
          <w:szCs w:val="24"/>
        </w:rPr>
        <w:tab/>
        <w:t>vyzývá Bosnu a Hercegovinu, aby urychleně dokončila právní kroky potřebné pro vyhlášení lokality Livanjsko Polje chráněnou krajinnou oblastí kategorie V a aby zajistila odpovídající monitorování;</w:t>
      </w:r>
    </w:p>
    <w:p w14:paraId="78B4C9CD" w14:textId="0F172F3A" w:rsidR="00492CBA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7</w:t>
      </w:r>
      <w:r w:rsidR="00BE17E8">
        <w:rPr>
          <w:szCs w:val="24"/>
        </w:rPr>
        <w:t>5</w:t>
      </w:r>
      <w:r w:rsidRPr="00D23D6C">
        <w:rPr>
          <w:szCs w:val="24"/>
        </w:rPr>
        <w:t>.</w:t>
      </w:r>
      <w:r w:rsidRPr="00D23D6C">
        <w:rPr>
          <w:szCs w:val="24"/>
        </w:rPr>
        <w:tab/>
        <w:t>vyjadřuje Bosně a Hercegovině a všem obětem svou solidaritu v souvislosti s ničivými povodněmi a sesuvy půdy, které zemi postihly ve dnech 3.–4. října 2024; vyzývá orgány Federace Bosny a Hercegoviny, aby zvýšily podporu osobám, které byly těmito katastrofami postiženy, a zajistily, aby byly řešeny veškeré nedostatky v prosazování práva a obhospodařování lesů, které mohly katastrofu ještě zhoršit;</w:t>
      </w:r>
    </w:p>
    <w:p w14:paraId="6FCEC0F9" w14:textId="77777777" w:rsidR="00D23D6C" w:rsidRDefault="00D23D6C" w:rsidP="00D23D6C">
      <w:pPr>
        <w:pStyle w:val="NormalCenter12a"/>
        <w:widowControl/>
        <w:rPr>
          <w:szCs w:val="24"/>
        </w:rPr>
      </w:pPr>
      <w:r>
        <w:rPr>
          <w:szCs w:val="24"/>
        </w:rPr>
        <w:t>°</w:t>
      </w:r>
    </w:p>
    <w:p w14:paraId="505FA6A2" w14:textId="77777777" w:rsidR="00D23D6C" w:rsidRDefault="00D23D6C" w:rsidP="00D23D6C">
      <w:pPr>
        <w:pStyle w:val="NormalCenter12a"/>
        <w:widowControl/>
        <w:rPr>
          <w:szCs w:val="24"/>
        </w:rPr>
      </w:pPr>
      <w:r>
        <w:rPr>
          <w:szCs w:val="24"/>
        </w:rPr>
        <w:t>°     °</w:t>
      </w:r>
    </w:p>
    <w:p w14:paraId="3DBA4B29" w14:textId="077B6C3C" w:rsidR="00E365E1" w:rsidRPr="00D23D6C" w:rsidRDefault="00492CBA" w:rsidP="00D23D6C">
      <w:pPr>
        <w:pStyle w:val="NormalHanging12a"/>
        <w:rPr>
          <w:szCs w:val="24"/>
        </w:rPr>
      </w:pPr>
      <w:r w:rsidRPr="00D23D6C">
        <w:rPr>
          <w:szCs w:val="24"/>
        </w:rPr>
        <w:t>7</w:t>
      </w:r>
      <w:r w:rsidR="00BE17E8">
        <w:rPr>
          <w:szCs w:val="24"/>
        </w:rPr>
        <w:t>6</w:t>
      </w:r>
      <w:r w:rsidRPr="00D23D6C">
        <w:rPr>
          <w:szCs w:val="24"/>
        </w:rPr>
        <w:t>.</w:t>
      </w:r>
      <w:r w:rsidRPr="00D23D6C">
        <w:rPr>
          <w:szCs w:val="24"/>
        </w:rPr>
        <w:tab/>
        <w:t>pověřuje svou předsedkyni, aby předala toto usnesení místopředsedkyni Komise, vysoké představitelce Unie pro zahraniční věci a bezpečnostní politiku, Radě, Komisi, Předsednictvu, Radě ministrů a Parlamentnímu shromáždění Bosny a Hercegoviny, vládám a parlamentům Federace Bosny a Hercegoviny, entity Republika srbská a Distriktu Brčko a Úřadu vysokého představitele.</w:t>
      </w:r>
    </w:p>
    <w:sectPr w:rsidR="00E365E1" w:rsidRPr="00D23D6C" w:rsidSect="004F03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96355" w14:textId="77777777" w:rsidR="00F55B3E" w:rsidRPr="004F03F0" w:rsidRDefault="00F55B3E">
      <w:r w:rsidRPr="004F03F0">
        <w:separator/>
      </w:r>
    </w:p>
  </w:endnote>
  <w:endnote w:type="continuationSeparator" w:id="0">
    <w:p w14:paraId="6F0FB023" w14:textId="77777777" w:rsidR="00F55B3E" w:rsidRPr="004F03F0" w:rsidRDefault="00F55B3E">
      <w:r w:rsidRPr="004F03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7ADC1" w14:textId="77777777" w:rsidR="00064002" w:rsidRPr="004F03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5DD10" w14:textId="77777777" w:rsidR="00064002" w:rsidRPr="004F03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009C1" w14:textId="77777777" w:rsidR="00064002" w:rsidRPr="004F03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6683C" w14:textId="77777777" w:rsidR="00F55B3E" w:rsidRPr="004F03F0" w:rsidRDefault="00F55B3E">
      <w:r w:rsidRPr="004F03F0">
        <w:separator/>
      </w:r>
    </w:p>
  </w:footnote>
  <w:footnote w:type="continuationSeparator" w:id="0">
    <w:p w14:paraId="558F3275" w14:textId="77777777" w:rsidR="00F55B3E" w:rsidRPr="004F03F0" w:rsidRDefault="00F55B3E">
      <w:r w:rsidRPr="004F03F0">
        <w:continuationSeparator/>
      </w:r>
    </w:p>
  </w:footnote>
  <w:footnote w:id="1">
    <w:p w14:paraId="1E08202E" w14:textId="70192FBC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Úř. věst. L 164, 30.6.2015, s. 2, ELI: </w:t>
      </w:r>
      <w:hyperlink r:id="rId1" w:history="1">
        <w:r w:rsidRPr="004F03F0">
          <w:rPr>
            <w:rStyle w:val="Hyperlink"/>
            <w:sz w:val="24"/>
            <w:lang w:val="cs-CZ"/>
          </w:rPr>
          <w:t>http://data.europa.eu/eli/agree_internation/2015/997/oj</w:t>
        </w:r>
      </w:hyperlink>
      <w:r w:rsidRPr="004F03F0">
        <w:rPr>
          <w:sz w:val="24"/>
          <w:lang w:val="cs-CZ"/>
        </w:rPr>
        <w:t>.</w:t>
      </w:r>
    </w:p>
  </w:footnote>
  <w:footnote w:id="2">
    <w:p w14:paraId="38C75243" w14:textId="3FB02ED2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Úř. věst. L 330, 20.9.2021, s. 1, ELI: </w:t>
      </w:r>
      <w:hyperlink r:id="rId2" w:history="1">
        <w:r w:rsidRPr="004F03F0">
          <w:rPr>
            <w:rStyle w:val="Hyperlink"/>
            <w:sz w:val="24"/>
            <w:lang w:val="cs-CZ"/>
          </w:rPr>
          <w:t>http://data.europa.eu/eli/reg/2021/1529/oj</w:t>
        </w:r>
      </w:hyperlink>
      <w:r w:rsidRPr="004F03F0">
        <w:rPr>
          <w:sz w:val="24"/>
          <w:lang w:val="cs-CZ"/>
        </w:rPr>
        <w:t>.</w:t>
      </w:r>
    </w:p>
  </w:footnote>
  <w:footnote w:id="3">
    <w:p w14:paraId="51ABAE1A" w14:textId="0E34AC0D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>Úř. věst. L</w:t>
      </w:r>
      <w:r w:rsidR="00B407F4">
        <w:rPr>
          <w:sz w:val="24"/>
          <w:lang w:val="cs-CZ"/>
        </w:rPr>
        <w:t>,</w:t>
      </w:r>
      <w:r w:rsidRPr="004F03F0">
        <w:rPr>
          <w:sz w:val="24"/>
          <w:lang w:val="cs-CZ"/>
        </w:rPr>
        <w:t xml:space="preserve"> 2024/1449, 24.5.2024, ELI: </w:t>
      </w:r>
      <w:hyperlink r:id="rId3" w:history="1">
        <w:r w:rsidRPr="004F03F0">
          <w:rPr>
            <w:rStyle w:val="Hyperlink"/>
            <w:sz w:val="24"/>
            <w:lang w:val="cs-CZ"/>
          </w:rPr>
          <w:t>http://data.europa.eu/eli/reg/2024/1449/oj</w:t>
        </w:r>
      </w:hyperlink>
      <w:r w:rsidRPr="004F03F0">
        <w:rPr>
          <w:sz w:val="24"/>
          <w:lang w:val="cs-CZ"/>
        </w:rPr>
        <w:t>.</w:t>
      </w:r>
    </w:p>
  </w:footnote>
  <w:footnote w:id="4">
    <w:p w14:paraId="42430C83" w14:textId="73D55DA9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Úř. věst. L 391, 5.11.2021, s. 45, ELI: </w:t>
      </w:r>
      <w:hyperlink r:id="rId4" w:history="1">
        <w:r w:rsidRPr="004F03F0">
          <w:rPr>
            <w:rStyle w:val="Hyperlink"/>
            <w:sz w:val="24"/>
            <w:lang w:val="cs-CZ"/>
          </w:rPr>
          <w:t>http://data.europa.eu/eli/dec/2021/1923/oj</w:t>
        </w:r>
      </w:hyperlink>
      <w:r w:rsidRPr="004F03F0">
        <w:rPr>
          <w:sz w:val="24"/>
          <w:lang w:val="cs-CZ"/>
        </w:rPr>
        <w:t>.</w:t>
      </w:r>
    </w:p>
  </w:footnote>
  <w:footnote w:id="5">
    <w:p w14:paraId="2143DB1A" w14:textId="03828C0E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Úř. věst. L 311, 2.12.2022, s. 149, ELI: </w:t>
      </w:r>
      <w:hyperlink r:id="rId5" w:history="1">
        <w:r w:rsidRPr="004F03F0">
          <w:rPr>
            <w:rStyle w:val="Hyperlink"/>
            <w:sz w:val="24"/>
            <w:lang w:val="cs-CZ"/>
          </w:rPr>
          <w:t>http://data.europa.eu/eli/dec/2022/2353/oj</w:t>
        </w:r>
      </w:hyperlink>
      <w:r w:rsidRPr="004F03F0">
        <w:rPr>
          <w:sz w:val="24"/>
          <w:lang w:val="cs-CZ"/>
        </w:rPr>
        <w:t>.</w:t>
      </w:r>
    </w:p>
  </w:footnote>
  <w:footnote w:id="6">
    <w:p w14:paraId="4339424C" w14:textId="36291ED0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BF2489">
        <w:rPr>
          <w:sz w:val="24"/>
          <w:lang w:val="cs-CZ"/>
        </w:rPr>
        <w:t xml:space="preserve">Úř. věst. </w:t>
      </w:r>
      <w:r w:rsidR="0059669A">
        <w:rPr>
          <w:sz w:val="24"/>
          <w:lang w:val="cs-CZ"/>
        </w:rPr>
        <w:t>C</w:t>
      </w:r>
      <w:r w:rsidRPr="00BF2489">
        <w:rPr>
          <w:sz w:val="24"/>
          <w:lang w:val="cs-CZ"/>
        </w:rPr>
        <w:t xml:space="preserve"> 167, 11.5.2023, s. 105</w:t>
      </w:r>
      <w:r w:rsidRPr="004F03F0">
        <w:rPr>
          <w:sz w:val="24"/>
          <w:lang w:val="cs-CZ"/>
        </w:rPr>
        <w:t>.</w:t>
      </w:r>
    </w:p>
  </w:footnote>
  <w:footnote w:id="7">
    <w:p w14:paraId="06B12CE3" w14:textId="6FE22ADA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Úř. věst. C, C/2024/5744, 17.10.2024, ELI: </w:t>
      </w:r>
      <w:hyperlink r:id="rId6" w:history="1">
        <w:r w:rsidRPr="004F03F0">
          <w:rPr>
            <w:rStyle w:val="Hyperlink"/>
            <w:sz w:val="24"/>
            <w:lang w:val="cs-CZ"/>
          </w:rPr>
          <w:t>http://data.europa.eu/eli/C/2024/5744/oj</w:t>
        </w:r>
      </w:hyperlink>
      <w:r w:rsidRPr="004F03F0">
        <w:rPr>
          <w:sz w:val="24"/>
          <w:lang w:val="cs-CZ"/>
        </w:rPr>
        <w:t>.</w:t>
      </w:r>
    </w:p>
  </w:footnote>
  <w:footnote w:id="8">
    <w:p w14:paraId="5613BAAF" w14:textId="68E3DCCC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Nařízení Evropského parlamentu a Rady (EU) 2022/2065 ze dne 19. října 2022 o jednotném trhu digitálních služeb a o změně směrnice 2000/31/ES (nařízení o digitálních službách) (Úř. věst. L 277, 27.10.2022, s. 1, ELI: </w:t>
      </w:r>
      <w:hyperlink r:id="rId7" w:history="1">
        <w:r w:rsidRPr="004F03F0">
          <w:rPr>
            <w:rStyle w:val="Hyperlink"/>
            <w:sz w:val="24"/>
            <w:lang w:val="cs-CZ"/>
          </w:rPr>
          <w:t>http://data.europa.eu/eli/reg/2022/2065/oj</w:t>
        </w:r>
      </w:hyperlink>
      <w:r w:rsidRPr="004F03F0">
        <w:rPr>
          <w:sz w:val="24"/>
          <w:lang w:val="cs-CZ"/>
        </w:rPr>
        <w:t>).</w:t>
      </w:r>
    </w:p>
  </w:footnote>
  <w:footnote w:id="9">
    <w:p w14:paraId="4DEDAA95" w14:textId="2890C462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Nařízení Evropského parlamentu a Rady (EU) 2024/1083 ze dne 11. dubna 2024, kterým se stanoví společný rámec pro mediální služby na vnitřním trhu a mění směrnice 2010/13/EU (Evropský akt o svobodě médií) (Úř. věst. L, 2024/1083, 17.4.2024, ELI: </w:t>
      </w:r>
      <w:hyperlink r:id="rId8" w:history="1">
        <w:r w:rsidRPr="004F03F0">
          <w:rPr>
            <w:rStyle w:val="Hyperlink"/>
            <w:sz w:val="24"/>
            <w:lang w:val="cs-CZ"/>
          </w:rPr>
          <w:t>http://data.europa.eu/eli/reg/2024/1083/oj</w:t>
        </w:r>
      </w:hyperlink>
      <w:r w:rsidRPr="004F03F0">
        <w:rPr>
          <w:sz w:val="24"/>
          <w:lang w:val="cs-CZ"/>
        </w:rPr>
        <w:t>).</w:t>
      </w:r>
    </w:p>
  </w:footnote>
  <w:footnote w:id="10">
    <w:p w14:paraId="31B5FC42" w14:textId="00BE4AA2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Směrnice Rady 92/43/EHS ze dne 21. května 1992 o ochraně přírodních stanovišť, volně žijících živočichů a planě rostoucích rostlin (Úř. věst. L 206, 22.7.1992, s. 7, ELI: </w:t>
      </w:r>
      <w:hyperlink r:id="rId9" w:history="1">
        <w:r w:rsidRPr="004F03F0">
          <w:rPr>
            <w:rStyle w:val="Hyperlink"/>
            <w:sz w:val="24"/>
            <w:lang w:val="cs-CZ"/>
          </w:rPr>
          <w:t>http://data.europa.eu/eli/dir/1992/43/oj</w:t>
        </w:r>
      </w:hyperlink>
      <w:r w:rsidRPr="004F03F0">
        <w:rPr>
          <w:sz w:val="24"/>
          <w:lang w:val="cs-CZ"/>
        </w:rPr>
        <w:t>).</w:t>
      </w:r>
    </w:p>
  </w:footnote>
  <w:footnote w:id="11">
    <w:p w14:paraId="2D9B398F" w14:textId="615A7CA7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>Směrnice Evropského parlamentu a Rady 2009/147/ES ze dne 30. listopadu 2009 o ochraně volně žijících ptáků (Úř. věst. L 20, 26.1.2010, s. 7</w:t>
      </w:r>
      <w:r w:rsidR="00BF2489">
        <w:rPr>
          <w:sz w:val="24"/>
          <w:lang w:val="cs-CZ"/>
        </w:rPr>
        <w:t>,</w:t>
      </w:r>
      <w:r w:rsidRPr="004F03F0">
        <w:rPr>
          <w:sz w:val="24"/>
          <w:lang w:val="cs-CZ"/>
        </w:rPr>
        <w:t xml:space="preserve"> ELI: </w:t>
      </w:r>
      <w:hyperlink r:id="rId10" w:history="1">
        <w:r w:rsidRPr="004F03F0">
          <w:rPr>
            <w:rStyle w:val="Hyperlink"/>
            <w:sz w:val="24"/>
            <w:lang w:val="cs-CZ"/>
          </w:rPr>
          <w:t>http://data.europa.eu/eli/dir/2009/147/oj</w:t>
        </w:r>
      </w:hyperlink>
      <w:r w:rsidRPr="004F03F0">
        <w:rPr>
          <w:sz w:val="24"/>
          <w:lang w:val="cs-CZ"/>
        </w:rPr>
        <w:t>).</w:t>
      </w:r>
    </w:p>
  </w:footnote>
  <w:footnote w:id="12">
    <w:p w14:paraId="36FBE4AA" w14:textId="3AE7BA62" w:rsidR="00492CBA" w:rsidRPr="004F03F0" w:rsidRDefault="00492CBA" w:rsidP="004F03F0">
      <w:pPr>
        <w:pStyle w:val="FootnoteText"/>
        <w:ind w:left="567" w:hanging="567"/>
        <w:rPr>
          <w:sz w:val="24"/>
          <w:lang w:val="cs-CZ"/>
        </w:rPr>
      </w:pPr>
      <w:r w:rsidRPr="004F03F0">
        <w:rPr>
          <w:rStyle w:val="FootnoteReference"/>
          <w:sz w:val="24"/>
          <w:lang w:val="cs-CZ"/>
        </w:rPr>
        <w:footnoteRef/>
      </w:r>
      <w:r w:rsidR="004F03F0" w:rsidRPr="004F03F0">
        <w:rPr>
          <w:sz w:val="24"/>
          <w:lang w:val="cs-CZ"/>
        </w:rPr>
        <w:t xml:space="preserve"> </w:t>
      </w:r>
      <w:r w:rsidR="004F03F0" w:rsidRPr="004F03F0">
        <w:rPr>
          <w:sz w:val="24"/>
          <w:lang w:val="cs-CZ"/>
        </w:rPr>
        <w:tab/>
      </w:r>
      <w:r w:rsidRPr="004F03F0">
        <w:rPr>
          <w:sz w:val="24"/>
          <w:lang w:val="cs-CZ"/>
        </w:rPr>
        <w:t xml:space="preserve">Směrnice Evropského parlamentu a Rady 2000/60/ES ze dne 23. října 2000, kterou se stanoví rámec pro činnost Společenství v oblasti vodní politiky (Úř. věst. L 327, 22.12.2000, s. 1, ELI: </w:t>
      </w:r>
      <w:hyperlink r:id="rId11" w:history="1">
        <w:r w:rsidRPr="004F03F0">
          <w:rPr>
            <w:rStyle w:val="Hyperlink"/>
            <w:sz w:val="24"/>
            <w:lang w:val="cs-CZ"/>
          </w:rPr>
          <w:t>http://data.europa.eu/eli/dir/2000/60/oj</w:t>
        </w:r>
      </w:hyperlink>
      <w:r w:rsidRPr="004F03F0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62D0" w14:textId="77777777" w:rsidR="00064002" w:rsidRPr="004F03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FB01E" w14:textId="77777777" w:rsidR="00064002" w:rsidRPr="004F03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F3801" w14:textId="77777777" w:rsidR="00064002" w:rsidRPr="004F03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5467546">
    <w:abstractNumId w:val="9"/>
  </w:num>
  <w:num w:numId="2" w16cid:durableId="796753113">
    <w:abstractNumId w:val="9"/>
  </w:num>
  <w:num w:numId="3" w16cid:durableId="409549434">
    <w:abstractNumId w:val="7"/>
  </w:num>
  <w:num w:numId="4" w16cid:durableId="62799461">
    <w:abstractNumId w:val="7"/>
  </w:num>
  <w:num w:numId="5" w16cid:durableId="504175569">
    <w:abstractNumId w:val="6"/>
  </w:num>
  <w:num w:numId="6" w16cid:durableId="606549580">
    <w:abstractNumId w:val="6"/>
  </w:num>
  <w:num w:numId="7" w16cid:durableId="377314183">
    <w:abstractNumId w:val="5"/>
  </w:num>
  <w:num w:numId="8" w16cid:durableId="513224860">
    <w:abstractNumId w:val="5"/>
  </w:num>
  <w:num w:numId="9" w16cid:durableId="585502859">
    <w:abstractNumId w:val="4"/>
  </w:num>
  <w:num w:numId="10" w16cid:durableId="332074756">
    <w:abstractNumId w:val="4"/>
  </w:num>
  <w:num w:numId="11" w16cid:durableId="1763335784">
    <w:abstractNumId w:val="8"/>
  </w:num>
  <w:num w:numId="12" w16cid:durableId="108205118">
    <w:abstractNumId w:val="8"/>
  </w:num>
  <w:num w:numId="13" w16cid:durableId="1221286780">
    <w:abstractNumId w:val="3"/>
  </w:num>
  <w:num w:numId="14" w16cid:durableId="1515999304">
    <w:abstractNumId w:val="3"/>
  </w:num>
  <w:num w:numId="15" w16cid:durableId="1183131325">
    <w:abstractNumId w:val="2"/>
  </w:num>
  <w:num w:numId="16" w16cid:durableId="1175027343">
    <w:abstractNumId w:val="2"/>
  </w:num>
  <w:num w:numId="17" w16cid:durableId="2090425347">
    <w:abstractNumId w:val="1"/>
  </w:num>
  <w:num w:numId="18" w16cid:durableId="36710364">
    <w:abstractNumId w:val="1"/>
  </w:num>
  <w:num w:numId="19" w16cid:durableId="93016484">
    <w:abstractNumId w:val="0"/>
  </w:num>
  <w:num w:numId="20" w16cid:durableId="1216359141">
    <w:abstractNumId w:val="0"/>
  </w:num>
  <w:num w:numId="21" w16cid:durableId="897014156">
    <w:abstractNumId w:val="9"/>
  </w:num>
  <w:num w:numId="22" w16cid:durableId="1004473060">
    <w:abstractNumId w:val="7"/>
  </w:num>
  <w:num w:numId="23" w16cid:durableId="2128115226">
    <w:abstractNumId w:val="6"/>
  </w:num>
  <w:num w:numId="24" w16cid:durableId="2141218880">
    <w:abstractNumId w:val="5"/>
  </w:num>
  <w:num w:numId="25" w16cid:durableId="857280577">
    <w:abstractNumId w:val="4"/>
  </w:num>
  <w:num w:numId="26" w16cid:durableId="945692860">
    <w:abstractNumId w:val="8"/>
  </w:num>
  <w:num w:numId="27" w16cid:durableId="2131892051">
    <w:abstractNumId w:val="3"/>
  </w:num>
  <w:num w:numId="28" w16cid:durableId="807212363">
    <w:abstractNumId w:val="2"/>
  </w:num>
  <w:num w:numId="29" w16cid:durableId="1615357299">
    <w:abstractNumId w:val="1"/>
  </w:num>
  <w:num w:numId="30" w16cid:durableId="1479833848">
    <w:abstractNumId w:val="0"/>
  </w:num>
  <w:num w:numId="31" w16cid:durableId="319889895">
    <w:abstractNumId w:val="9"/>
  </w:num>
  <w:num w:numId="32" w16cid:durableId="1615333055">
    <w:abstractNumId w:val="7"/>
  </w:num>
  <w:num w:numId="33" w16cid:durableId="1026908441">
    <w:abstractNumId w:val="6"/>
  </w:num>
  <w:num w:numId="34" w16cid:durableId="497160285">
    <w:abstractNumId w:val="5"/>
  </w:num>
  <w:num w:numId="35" w16cid:durableId="657659944">
    <w:abstractNumId w:val="4"/>
  </w:num>
  <w:num w:numId="36" w16cid:durableId="1691644505">
    <w:abstractNumId w:val="8"/>
  </w:num>
  <w:num w:numId="37" w16cid:durableId="1377268683">
    <w:abstractNumId w:val="3"/>
  </w:num>
  <w:num w:numId="38" w16cid:durableId="585269134">
    <w:abstractNumId w:val="2"/>
  </w:num>
  <w:num w:numId="39" w16cid:durableId="17047232">
    <w:abstractNumId w:val="1"/>
  </w:num>
  <w:num w:numId="40" w16cid:durableId="256720742">
    <w:abstractNumId w:val="0"/>
  </w:num>
  <w:num w:numId="41" w16cid:durableId="1162161673">
    <w:abstractNumId w:val="10"/>
  </w:num>
  <w:num w:numId="42" w16cid:durableId="456922100">
    <w:abstractNumId w:val="10"/>
  </w:num>
  <w:num w:numId="43" w16cid:durableId="2034727009">
    <w:abstractNumId w:val="10"/>
  </w:num>
  <w:num w:numId="44" w16cid:durableId="19186644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8/2025"/>
    <w:docVar w:name="dvlangue" w:val="CS"/>
    <w:docVar w:name="dvnumam" w:val="0"/>
    <w:docVar w:name="dvpe" w:val="769.995"/>
    <w:docVar w:name="dvrapporteur" w:val="Zpravodaj: "/>
    <w:docVar w:name="dvtitre" w:val="Usnesení Evropského parlamentu ze dne 8. července 2025 o zprávách Komise o Bosně a Hercegovině za rok 2023 a za rok 2024(2025/2018(INI))"/>
  </w:docVars>
  <w:rsids>
    <w:rsidRoot w:val="00F55B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D7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CBA"/>
    <w:rsid w:val="00494A28"/>
    <w:rsid w:val="004C0004"/>
    <w:rsid w:val="004C5D52"/>
    <w:rsid w:val="004F03F0"/>
    <w:rsid w:val="00503993"/>
    <w:rsid w:val="0050519A"/>
    <w:rsid w:val="005072A1"/>
    <w:rsid w:val="00514517"/>
    <w:rsid w:val="00522C7B"/>
    <w:rsid w:val="00545827"/>
    <w:rsid w:val="00560270"/>
    <w:rsid w:val="0059669A"/>
    <w:rsid w:val="005C2568"/>
    <w:rsid w:val="005F1B17"/>
    <w:rsid w:val="006037C0"/>
    <w:rsid w:val="006631B6"/>
    <w:rsid w:val="00680577"/>
    <w:rsid w:val="006B1B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8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F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7F4"/>
    <w:rsid w:val="00B558F0"/>
    <w:rsid w:val="00BD48FE"/>
    <w:rsid w:val="00BD7BD8"/>
    <w:rsid w:val="00BE17E8"/>
    <w:rsid w:val="00BE6ADC"/>
    <w:rsid w:val="00BF2489"/>
    <w:rsid w:val="00C05BFE"/>
    <w:rsid w:val="00C23CD4"/>
    <w:rsid w:val="00C61C0C"/>
    <w:rsid w:val="00C941CB"/>
    <w:rsid w:val="00CC2357"/>
    <w:rsid w:val="00CF071A"/>
    <w:rsid w:val="00D03EE5"/>
    <w:rsid w:val="00D058B8"/>
    <w:rsid w:val="00D23D6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EF2"/>
    <w:rsid w:val="00F5134D"/>
    <w:rsid w:val="00F55B3E"/>
    <w:rsid w:val="00F74202"/>
    <w:rsid w:val="00F87713"/>
    <w:rsid w:val="00F95A3F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25887"/>
  <w15:chartTrackingRefBased/>
  <w15:docId w15:val="{6730583C-3529-42A2-9DD5-CA22BFB5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2CB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92CB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92CBA"/>
    <w:pPr>
      <w:spacing w:after="240"/>
      <w:jc w:val="center"/>
    </w:pPr>
  </w:style>
  <w:style w:type="character" w:customStyle="1" w:styleId="BoldItalic">
    <w:name w:val="BoldItalic"/>
    <w:uiPriority w:val="1"/>
    <w:rsid w:val="00492CBA"/>
    <w:rPr>
      <w:b/>
      <w:i/>
      <w:u w:val="none"/>
    </w:rPr>
  </w:style>
  <w:style w:type="character" w:customStyle="1" w:styleId="Italic">
    <w:name w:val="Italic"/>
    <w:uiPriority w:val="1"/>
    <w:rsid w:val="00492CBA"/>
    <w:rPr>
      <w:i/>
    </w:rPr>
  </w:style>
  <w:style w:type="paragraph" w:customStyle="1" w:styleId="Normal12a24b">
    <w:name w:val="Normal12a24b"/>
    <w:basedOn w:val="Normal"/>
    <w:rsid w:val="00492CB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492CB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92CBA"/>
    <w:rPr>
      <w:snapToGrid w:val="0"/>
      <w:sz w:val="24"/>
      <w:lang w:val="cs-CZ" w:eastAsia="en-US"/>
    </w:rPr>
  </w:style>
  <w:style w:type="paragraph" w:styleId="Revision">
    <w:name w:val="Revision"/>
    <w:hidden/>
    <w:uiPriority w:val="99"/>
    <w:semiHidden/>
    <w:rsid w:val="00BF248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08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5/997/oj" TargetMode="External"/><Relationship Id="rId6" Type="http://schemas.openxmlformats.org/officeDocument/2006/relationships/hyperlink" Target="http://data.europa.eu/eli/C/2024/5744/oj" TargetMode="External"/><Relationship Id="rId11" Type="http://schemas.openxmlformats.org/officeDocument/2006/relationships/hyperlink" Target="http://data.europa.eu/eli/dir/2000/60/oj" TargetMode="External"/><Relationship Id="rId5" Type="http://schemas.openxmlformats.org/officeDocument/2006/relationships/hyperlink" Target="http://data.europa.eu/eli/dec/2022/2353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dec/2021/1923/oj" TargetMode="External"/><Relationship Id="rId9" Type="http://schemas.openxmlformats.org/officeDocument/2006/relationships/hyperlink" Target="http://data.europa.eu/eli/dir/1992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7658</Words>
  <Characters>45889</Characters>
  <Application>Microsoft Office Word</Application>
  <DocSecurity>0</DocSecurity>
  <Lines>1995</Lines>
  <Paragraphs>743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2025-08-14T13:37:00Z</dcterms:created>
  <dcterms:modified xsi:type="dcterms:W3CDTF">2025-08-14T13:37:00Z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A10-0108/2025</vt:lpwstr>
  </property>
  <property fmtid="{D5CDD505-2E9C-101B-9397-08002B2CF9AE}" pid="4" name="&lt;Type&gt;">
    <vt:lpwstr>RR</vt:lpwstr>
  </property>
</Properties>
</file>