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5650" w14:paraId="6734C0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016C8A" w14:textId="77777777" w:rsidR="00751A4A" w:rsidRPr="00F45650" w:rsidRDefault="00BC313E" w:rsidP="0010095E">
            <w:pPr>
              <w:pStyle w:val="EPName"/>
            </w:pPr>
            <w:r w:rsidRPr="00F45650">
              <w:t>Parlament Europejski</w:t>
            </w:r>
          </w:p>
          <w:p w14:paraId="6AADE1CB" w14:textId="77777777" w:rsidR="00751A4A" w:rsidRPr="00F456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5650">
              <w:t>2024</w:t>
            </w:r>
            <w:r w:rsidR="00817416" w:rsidRPr="00F45650">
              <w:t>-202</w:t>
            </w:r>
            <w:r w:rsidRPr="00F45650">
              <w:t>9</w:t>
            </w:r>
          </w:p>
        </w:tc>
        <w:tc>
          <w:tcPr>
            <w:tcW w:w="2268" w:type="dxa"/>
            <w:shd w:val="clear" w:color="auto" w:fill="auto"/>
          </w:tcPr>
          <w:p w14:paraId="2BBC05BC" w14:textId="77777777" w:rsidR="00751A4A" w:rsidRPr="00F45650" w:rsidRDefault="00187494" w:rsidP="0010095E">
            <w:pPr>
              <w:pStyle w:val="EPLogo"/>
            </w:pPr>
            <w:r w:rsidRPr="00F45650">
              <w:rPr>
                <w:noProof/>
                <w:lang w:eastAsia="pl-PL"/>
              </w:rPr>
              <w:drawing>
                <wp:inline distT="0" distB="0" distL="0" distR="0" wp14:anchorId="18F28E71" wp14:editId="2C4F56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D2B20D" w14:textId="77777777" w:rsidR="00D058B8" w:rsidRPr="00F45650" w:rsidRDefault="00D058B8" w:rsidP="004C5D52">
      <w:pPr>
        <w:pStyle w:val="LineTop"/>
      </w:pPr>
    </w:p>
    <w:p w14:paraId="4705A10C" w14:textId="77777777" w:rsidR="00680577" w:rsidRPr="00F45650" w:rsidRDefault="00BC313E" w:rsidP="00680577">
      <w:pPr>
        <w:pStyle w:val="EPBodyTA1"/>
      </w:pPr>
      <w:r w:rsidRPr="00F45650">
        <w:t>TEKSTY PRZYJĘTE</w:t>
      </w:r>
    </w:p>
    <w:p w14:paraId="3E001ACF" w14:textId="77777777" w:rsidR="00D058B8" w:rsidRPr="00F45650" w:rsidRDefault="00D058B8" w:rsidP="00D058B8">
      <w:pPr>
        <w:pStyle w:val="LineBottom"/>
      </w:pPr>
    </w:p>
    <w:p w14:paraId="25113BB0" w14:textId="711CDE45" w:rsidR="00BC313E" w:rsidRPr="00F45650" w:rsidRDefault="00BC313E" w:rsidP="00BC313E">
      <w:pPr>
        <w:pStyle w:val="ATHeading1"/>
      </w:pPr>
      <w:bookmarkStart w:id="0" w:name="TANumber"/>
      <w:r w:rsidRPr="00F45650">
        <w:t>P10_TA(2025)0</w:t>
      </w:r>
      <w:bookmarkEnd w:id="0"/>
      <w:r w:rsidR="00B62E17">
        <w:t>156</w:t>
      </w:r>
    </w:p>
    <w:p w14:paraId="212B832A" w14:textId="77777777" w:rsidR="00BC313E" w:rsidRPr="004A56F3" w:rsidRDefault="004A56F3" w:rsidP="00BC313E">
      <w:pPr>
        <w:pStyle w:val="ATHeading2"/>
      </w:pPr>
      <w:r w:rsidRPr="004A56F3">
        <w:rPr>
          <w:bCs/>
        </w:rPr>
        <w:t>Sprawozdania Komisji w sprawie Bośni i Hercegowiny za lata 2023 i 2024</w:t>
      </w:r>
    </w:p>
    <w:p w14:paraId="1D53ACE4" w14:textId="77777777" w:rsidR="00BC313E" w:rsidRPr="00F45650" w:rsidRDefault="00BC313E" w:rsidP="00BC313E">
      <w:pPr>
        <w:rPr>
          <w:i/>
          <w:vanish/>
        </w:rPr>
      </w:pPr>
      <w:r w:rsidRPr="00F45650">
        <w:rPr>
          <w:i/>
        </w:rPr>
        <w:fldChar w:fldCharType="begin"/>
      </w:r>
      <w:r w:rsidRPr="00F45650">
        <w:rPr>
          <w:i/>
        </w:rPr>
        <w:instrText xml:space="preserve"> TC"(</w:instrText>
      </w:r>
      <w:bookmarkStart w:id="1" w:name="DocNumber"/>
      <w:r w:rsidRPr="00F45650">
        <w:rPr>
          <w:i/>
        </w:rPr>
        <w:instrText>A10-0108/2025</w:instrText>
      </w:r>
      <w:bookmarkEnd w:id="1"/>
      <w:r w:rsidRPr="00F45650">
        <w:rPr>
          <w:i/>
        </w:rPr>
        <w:instrText xml:space="preserve"> - Sprawozdawca: Ondřej Kolář)"\l3 \n&gt; \* MERGEFORMAT </w:instrText>
      </w:r>
      <w:r w:rsidRPr="00F45650">
        <w:rPr>
          <w:i/>
        </w:rPr>
        <w:fldChar w:fldCharType="end"/>
      </w:r>
    </w:p>
    <w:p w14:paraId="2E1C5702" w14:textId="77777777" w:rsidR="00BC313E" w:rsidRPr="00F45650" w:rsidRDefault="00BC313E" w:rsidP="00BC313E">
      <w:pPr>
        <w:rPr>
          <w:vanish/>
        </w:rPr>
      </w:pPr>
      <w:bookmarkStart w:id="2" w:name="Commission"/>
      <w:r w:rsidRPr="00F45650">
        <w:rPr>
          <w:vanish/>
        </w:rPr>
        <w:t>Komisja Spraw Zagranicznych</w:t>
      </w:r>
      <w:bookmarkEnd w:id="2"/>
    </w:p>
    <w:p w14:paraId="1042B9B4" w14:textId="77777777" w:rsidR="00BC313E" w:rsidRPr="00F45650" w:rsidRDefault="00BC313E" w:rsidP="00BC313E">
      <w:pPr>
        <w:rPr>
          <w:vanish/>
        </w:rPr>
      </w:pPr>
      <w:bookmarkStart w:id="3" w:name="PE"/>
      <w:r w:rsidRPr="00F45650">
        <w:rPr>
          <w:vanish/>
        </w:rPr>
        <w:t>PE769.995</w:t>
      </w:r>
      <w:bookmarkEnd w:id="3"/>
    </w:p>
    <w:p w14:paraId="6ADAD6ED" w14:textId="2A4134A7" w:rsidR="00BC313E" w:rsidRPr="00F45650" w:rsidRDefault="00BC313E" w:rsidP="00BC313E">
      <w:pPr>
        <w:pStyle w:val="ATHeading3"/>
      </w:pPr>
      <w:bookmarkStart w:id="4" w:name="Sujet"/>
      <w:r w:rsidRPr="00F45650">
        <w:t xml:space="preserve">Rezolucja Parlamentu Europejskiego z dnia </w:t>
      </w:r>
      <w:r w:rsidR="007813A2">
        <w:t>9</w:t>
      </w:r>
      <w:r w:rsidR="004A56F3">
        <w:t xml:space="preserve"> lipca</w:t>
      </w:r>
      <w:r w:rsidRPr="00F45650">
        <w:t xml:space="preserve"> 2025 r. w sprawie sprawozdań Komisji za lata 2023 i 2024 dotyczących Bośni i Hercegowiny</w:t>
      </w:r>
      <w:bookmarkEnd w:id="4"/>
      <w:r w:rsidRPr="00F45650">
        <w:t xml:space="preserve"> </w:t>
      </w:r>
      <w:bookmarkStart w:id="5" w:name="References"/>
      <w:r w:rsidRPr="00F45650">
        <w:t>(2025/2018(INI))</w:t>
      </w:r>
      <w:bookmarkEnd w:id="5"/>
    </w:p>
    <w:p w14:paraId="68742633" w14:textId="77777777" w:rsidR="0024749D" w:rsidRPr="00F45650" w:rsidRDefault="0024749D" w:rsidP="0024749D">
      <w:pPr>
        <w:pStyle w:val="EPComma"/>
      </w:pPr>
      <w:r w:rsidRPr="00F45650">
        <w:rPr>
          <w:rStyle w:val="Italic"/>
        </w:rPr>
        <w:t>Parlament Europejski</w:t>
      </w:r>
      <w:r w:rsidRPr="00F45650">
        <w:t>,</w:t>
      </w:r>
    </w:p>
    <w:p w14:paraId="4AEA6624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Ogólną umowę ramową na rzecz pokoju w Bośni i Hercegowinie, parafowaną 21 listopada 1995 r. w Dayton i podpisaną 14 grudnia 1995 r. w Paryżu (porozumienie pokojowe z Dayton),</w:t>
      </w:r>
    </w:p>
    <w:p w14:paraId="1D5D5756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Układ o stabilizacji i stowarzyszeniu między Wspólnotami Europejskimi i ich państwami członkowskimi, z jednej strony, a Bośnią i Hercegowiną, z drugiej strony</w:t>
      </w:r>
      <w:r w:rsidRPr="00F45650">
        <w:rPr>
          <w:rStyle w:val="FootnoteReference"/>
        </w:rPr>
        <w:footnoteReference w:id="1"/>
      </w:r>
      <w:r w:rsidRPr="00F45650">
        <w:t>, który wszedł w życie 1 czerwca 2015 r.,</w:t>
      </w:r>
    </w:p>
    <w:p w14:paraId="20EC3312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wniosek Bośni i Hercegowiny o członkostwo w UE złożony 15 lutego 2016 r.,</w:t>
      </w:r>
    </w:p>
    <w:p w14:paraId="206FEF3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opinię Komisji z dnia 29 maja 2019 r. w sprawie wniosku Bośni i Hercegowiny o członkostwo w Unii Europejskiej (COM(2019)0261),</w:t>
      </w:r>
    </w:p>
    <w:p w14:paraId="0137E06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konkluzje Rady Europejskiej z 15 grudnia 2022 r., w których przyznano Bośni i Hercegowinie status kraju kandydującego do UE,</w:t>
      </w:r>
    </w:p>
    <w:p w14:paraId="57A797D8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konkluzje Rady Europejskiej z 22 marca 2024 r. w sprawie rozpoczęcia negocjacji akcesyjnych z Bośnią i Hercegowiną,</w:t>
      </w:r>
    </w:p>
    <w:p w14:paraId="5379128F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rozporządzenie Parlamentu Europejskiego i Rady (UE) 2021/1529 z 15 września 2021 r. ustanawiające Instrument Pomocy Przedakcesyjnej (IPA III)</w:t>
      </w:r>
      <w:r w:rsidRPr="00F45650">
        <w:rPr>
          <w:rStyle w:val="FootnoteReference"/>
        </w:rPr>
        <w:footnoteReference w:id="2"/>
      </w:r>
      <w:r w:rsidRPr="00F45650">
        <w:t>,</w:t>
      </w:r>
    </w:p>
    <w:p w14:paraId="66C9DC20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rozporządzenie Parlamentu Europejskiego i Rady (UE) 2024/1449 z dnia 14 maja 2024 r. w sprawie ustanowienia Instrumentu Wsparcia Reform i Wzrostu Gospodarczego na Bałkanach Zachodnich</w:t>
      </w:r>
      <w:r w:rsidRPr="00F45650">
        <w:rPr>
          <w:rStyle w:val="FootnoteReference"/>
        </w:rPr>
        <w:footnoteReference w:id="3"/>
      </w:r>
      <w:r w:rsidRPr="00F45650">
        <w:t>,</w:t>
      </w:r>
    </w:p>
    <w:p w14:paraId="690EB235" w14:textId="77777777" w:rsidR="0024749D" w:rsidRPr="00F45650" w:rsidRDefault="0024749D" w:rsidP="0024749D">
      <w:pPr>
        <w:pStyle w:val="NormalHanging12a"/>
      </w:pPr>
      <w:r w:rsidRPr="00F45650">
        <w:lastRenderedPageBreak/>
        <w:t>–</w:t>
      </w:r>
      <w:r w:rsidRPr="00F45650">
        <w:tab/>
        <w:t>uwzględniając konkluzje prezydencji z posiedzenia Rady Europejskiej w Salonikach, które odbyło się w dniach 19–20 czerwca 2003 r.,</w:t>
      </w:r>
    </w:p>
    <w:p w14:paraId="73D77B62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oświadczenia ze szczytów UE–Bałkany Zachodnie z 6 maja 2020 r., 13 grudnia 2023 r. i 18 grudnia 2024 r., które odbyły się w Brukseli,</w:t>
      </w:r>
    </w:p>
    <w:p w14:paraId="2CA56087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proces berliński zapoczątkowany 28 sierpnia 2014 r.,</w:t>
      </w:r>
    </w:p>
    <w:p w14:paraId="5F74F3AE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decyzję Rady (UE) 2021/1923 z dnia 4 listopada 2021 r. w sprawie środka pomocy w ramach Europejskiego Instrumentu na rzecz Pokoju w celu wsparcia budowania zdolności sił zbrojnych Bośni i Hercegowiny</w:t>
      </w:r>
      <w:r w:rsidRPr="00F45650">
        <w:rPr>
          <w:rStyle w:val="FootnoteReference"/>
        </w:rPr>
        <w:footnoteReference w:id="4"/>
      </w:r>
      <w:r w:rsidRPr="00F45650">
        <w:t>,</w:t>
      </w:r>
    </w:p>
    <w:p w14:paraId="24B555D8" w14:textId="3D373BBD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decyzję Rady (</w:t>
      </w:r>
      <w:r w:rsidR="00B7720C">
        <w:t>UE</w:t>
      </w:r>
      <w:r w:rsidRPr="00F45650">
        <w:t>) 2022/2353 z dnia 1 grudnia 2022 r. w sprawie środka pomocy w ramach Europejskiego Instrumentu na rzecz Pokoju w celu wzmocnienia zdolności sił zbrojnych Bośni i Hercegowiny</w:t>
      </w:r>
      <w:r w:rsidRPr="00F45650">
        <w:rPr>
          <w:rStyle w:val="FootnoteReference"/>
        </w:rPr>
        <w:footnoteReference w:id="5"/>
      </w:r>
      <w:r w:rsidRPr="00F45650">
        <w:t>,</w:t>
      </w:r>
    </w:p>
    <w:p w14:paraId="5BAB0E1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5 lutego 2020 r. pt. „Usprawnienie procesu akcesyjnego – wiarygodna perspektywa członkostwa w UE dla państw regionu Bałkanów Zachodnich” (COM(2020)0057),</w:t>
      </w:r>
    </w:p>
    <w:p w14:paraId="4C4790C5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6 października 2020 r. pt. „Plan gospodarczo-inwestycyjny dla Bałkanów Zachodnich” (COM(2020)0641),</w:t>
      </w:r>
    </w:p>
    <w:p w14:paraId="7089B34D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8 listopada 2023 r. pt. „Komunikat z 2023 r. w sprawie polityki rozszerzenia UE” (COM(2023)0690) oraz towarzyszący mu dokument roboczy służb Komisji pt. „Sprawozdanie z 2023 r. dotyczące Bośni i Hercegowiny” (SWD(2023)0691),</w:t>
      </w:r>
    </w:p>
    <w:p w14:paraId="6DB073BA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8 listopada 2023 r. pt. „Nowy plan wzrostu gospodarczego dla Bałkanów Zachodnich” (COM(2023)0691),</w:t>
      </w:r>
    </w:p>
    <w:p w14:paraId="25548FFF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12 marca 2024 r. pt. „Sprawozdanie z postępów w Bośni i Hercegowinie – marzec 2024 r.” (COM(2024)0129),</w:t>
      </w:r>
    </w:p>
    <w:p w14:paraId="3824F2FE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 20 marca 2024 r. w sprawie reform poprzedzających rozszerzenie oraz przeglądów polityki (COM(2024)0146),</w:t>
      </w:r>
    </w:p>
    <w:p w14:paraId="7C8ACD7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komunikat Komisji z 30 października 2024 r. pt. „Komunikat z 2024 r. w sprawie polityki rozszerzenia UE” (COM(2024)0690) oraz towarzyszący mu dokument roboczy służb Komisji pt. „Sprawozdanie za 2024 r. dotyczące Bośni i Hercegowiny” (SWD(2024)0691),</w:t>
      </w:r>
    </w:p>
    <w:p w14:paraId="73F859B7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przeprowadzone przez Komisję przegląd i oceny kraju z 31 maja 2023 r. i 13 czerwca 2024 r. dotyczące programu reform gospodarczych Bośni i Hercegowiny,</w:t>
      </w:r>
    </w:p>
    <w:p w14:paraId="1996B074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piąte posiedzenie Rady Stabilizacji i Stowarzyszenia UE–Bośnia i Hercegowina z 19 lipca 2023 r. oraz siódme posiedzenie Komitetu Stabilizacji i Stowarzyszenia UE–Bośnia i Hercegowina z 19 września 2024 r.,</w:t>
      </w:r>
    </w:p>
    <w:p w14:paraId="44FC0611" w14:textId="77777777" w:rsidR="0024749D" w:rsidRPr="00F45650" w:rsidRDefault="0024749D" w:rsidP="0024749D">
      <w:pPr>
        <w:pStyle w:val="NormalHanging12a"/>
      </w:pPr>
      <w:r w:rsidRPr="00F45650">
        <w:lastRenderedPageBreak/>
        <w:t>–</w:t>
      </w:r>
      <w:r w:rsidRPr="00F45650">
        <w:tab/>
        <w:t>uwzględniając wyniki trzeciego, czwartego, piątego i szóstego posiedzenia Parlamentarnego Komitetu Stabilizacji i Stowarzyszenia UE–Bośnia i Hercegowina, które odbyły się odpowiednio w dniach 30–31 października 2023 r., 13–14 marca 2024 r., 30 października 2024 r. i 12–13 marca 2025 r.,</w:t>
      </w:r>
    </w:p>
    <w:p w14:paraId="13818F4C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ekspertyzę z 5 grudnia 2019 r. w sprawie kwestii praworządności w Bośni i Hercegowinie,</w:t>
      </w:r>
    </w:p>
    <w:p w14:paraId="6C631745" w14:textId="77777777" w:rsidR="0024749D" w:rsidRPr="00F45650" w:rsidRDefault="0024749D" w:rsidP="0024749D">
      <w:pPr>
        <w:pStyle w:val="NormalHanging12a"/>
        <w:rPr>
          <w:bCs/>
          <w:iCs/>
        </w:rPr>
      </w:pPr>
      <w:r w:rsidRPr="00F45650">
        <w:rPr>
          <w:b/>
          <w:i/>
        </w:rPr>
        <w:t>–</w:t>
      </w:r>
      <w:r w:rsidRPr="00F45650">
        <w:rPr>
          <w:b/>
          <w:i/>
        </w:rPr>
        <w:tab/>
      </w:r>
      <w:r w:rsidRPr="00F45650">
        <w:t>uwzględniając porozumienie polityczne Rady Europejskiej z 12 czerwca 2022 r. w sprawie zasad zapewniających funkcjonalną Bośnię i Hercegowinę, która czyni postępy na drodze do integracji europejskiej,</w:t>
      </w:r>
    </w:p>
    <w:p w14:paraId="3080A8E7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63., 64., 65. i 66. sprawozdanie Wysokiego Przedstawiciela ds. Wdrażania Porozumienia Pokojowego w Bośni i Hercegowinie dla Sekretarza Generalnego ONZ z odpowiednio 9 maja 2023 r., 2 listopada 2023 r., 15 maja 2024 r. i 1 listopada 2024 r.,</w:t>
      </w:r>
    </w:p>
    <w:p w14:paraId="52DC830E" w14:textId="6F6697CA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rezol</w:t>
      </w:r>
      <w:r w:rsidR="00B7720C">
        <w:t xml:space="preserve">ucję Rady Bezpieczeństwa ONZ </w:t>
      </w:r>
      <w:bookmarkStart w:id="6" w:name="_GoBack"/>
      <w:bookmarkEnd w:id="6"/>
      <w:r w:rsidRPr="00F45650">
        <w:t>2757 (2024) z 1 listopada 2024 r. przedłużającą mandat sił UE w Bośni i Hercegowinie (EUFOR) do 2 listopada 2025 r.,</w:t>
      </w:r>
    </w:p>
    <w:p w14:paraId="709C8175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rezolucję Zgromadzenia Ogólnego ONZ 78/282 z 23 maja 2024 r., ustanawiającą 11 lipca Międzynarodowym Dniem Refleksji i Upamiętnienia Ludobójstwa w Srebrenicy w 1995 r.,</w:t>
      </w:r>
    </w:p>
    <w:p w14:paraId="3F1F4962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Konwencję ONZ o prawach dziecka, ratyfikowaną przez Bośnię i Hercegowinę 6 marca 1992 r., oraz załączone do niej trzy protokoły fakultatywne, a mianowicie: Protokół fakultatywny w sprawie angażowania dzieci w konflikty zbrojne, ratyfikowany 10 października 2003 r.; Protokół fakultatywny w sprawie handlu dziećmi, dziecięcej prostytucji i dziecięcej pornografii, ratyfikowany 4 września 2001 r., oraz Protokół fakultatywny w sprawie procedury składania zawiadomień, ratyfikowany 19 października 2018 r.,;</w:t>
      </w:r>
    </w:p>
    <w:p w14:paraId="2E4F1363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rezolucje UNESCO w sprawie prawa do edukacji w języku ojczystym, Konwencję UNESCO z dnia 17 października 2003 r. w sprawie ochrony niematerialnego dziedzictwa kulturowego oraz Konwencję UNESCO z dnia 20 października 2005 r. w sprawie ochrony i promowania różnorodności form wyrazu kulturowego,</w:t>
      </w:r>
    </w:p>
    <w:p w14:paraId="2AA78E30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konstytucję Bośni i Hercegowiny,</w:t>
      </w:r>
    </w:p>
    <w:p w14:paraId="79069D6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zmienioną ordynację wyborczą Bośni i Hercegowiny narzuconą przez wysokiego przedstawiciela w BiH 26 marca 2024 r.,</w:t>
      </w:r>
    </w:p>
    <w:p w14:paraId="0DD0793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wizyty wiceprzewodniczącej Komisji Europejskiej / wysokiej przedstawicielki Unii do spraw zagranicznych i polityki bezpieczeństwa Kai Kallas oraz sekretarza generalnego NATO Marka Ruttego w Bośni i Hercegowinie w marcu i kwietniu 2025 r.,</w:t>
      </w:r>
    </w:p>
    <w:p w14:paraId="11C61675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oświadczenie przewodniczącego Rady Europejskiej António Costy skierowane do przywódców politycznych Bośni i Hercegowiny w kwietniu 2025 r.,</w:t>
      </w:r>
    </w:p>
    <w:p w14:paraId="77584F2E" w14:textId="77777777" w:rsidR="0024749D" w:rsidRPr="00F45650" w:rsidRDefault="0024749D" w:rsidP="0024749D">
      <w:pPr>
        <w:pStyle w:val="NormalHanging12a"/>
      </w:pPr>
      <w:r w:rsidRPr="00F45650">
        <w:lastRenderedPageBreak/>
        <w:t>–</w:t>
      </w:r>
      <w:r w:rsidRPr="00F45650">
        <w:tab/>
        <w:t>uwzględniając swoje zalecenie z 23 listopada 2022 r. dla Rady, Komisji i wiceprzewodniczącego Komisji / wysokiego przedstawiciela Unii do spraw zagranicznych i polityki bezpieczeństwa w sprawie nowej strategii rozszerzenia UE</w:t>
      </w:r>
      <w:r w:rsidRPr="00F45650">
        <w:rPr>
          <w:rStyle w:val="FootnoteReference"/>
        </w:rPr>
        <w:footnoteReference w:id="6"/>
      </w:r>
      <w:r w:rsidRPr="00F45650">
        <w:t>,</w:t>
      </w:r>
    </w:p>
    <w:p w14:paraId="11E29F42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swoje sprawozdanie z 17 stycznia 2024 r. zatytułowane „Rola dyplomacji prewencyjnej w rozwiązywaniu zamrożonych konfliktów na świecie – zmarnowana szansa czy zmiana na przyszłość?”</w:t>
      </w:r>
      <w:r w:rsidRPr="00F45650">
        <w:rPr>
          <w:rStyle w:val="FootnoteReference"/>
        </w:rPr>
        <w:footnoteReference w:id="7"/>
      </w:r>
      <w:r w:rsidRPr="00F45650">
        <w:t>,</w:t>
      </w:r>
    </w:p>
    <w:p w14:paraId="3E047115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swoje wcześniejsze rezolucje w sprawie Bośni i Hercegowiny,</w:t>
      </w:r>
    </w:p>
    <w:p w14:paraId="4B72FEC1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art. 55 Regulaminu,</w:t>
      </w:r>
    </w:p>
    <w:p w14:paraId="15A420EF" w14:textId="77777777" w:rsidR="0024749D" w:rsidRPr="00F45650" w:rsidRDefault="0024749D" w:rsidP="0024749D">
      <w:pPr>
        <w:pStyle w:val="NormalHanging12a"/>
      </w:pPr>
      <w:r w:rsidRPr="00F45650">
        <w:t>–</w:t>
      </w:r>
      <w:r w:rsidRPr="00F45650">
        <w:tab/>
        <w:t>uwzględniając sprawozdanie Komisji Spraw Zagranicznych (A10-0108/2025),</w:t>
      </w:r>
    </w:p>
    <w:p w14:paraId="54903D1A" w14:textId="77777777" w:rsidR="0024749D" w:rsidRPr="00F45650" w:rsidRDefault="0024749D" w:rsidP="0024749D">
      <w:pPr>
        <w:pStyle w:val="NormalHanging12a"/>
      </w:pPr>
      <w:r w:rsidRPr="00F45650">
        <w:t>A.</w:t>
      </w:r>
      <w:r w:rsidRPr="00F45650">
        <w:tab/>
        <w:t>mając na uwadze, że rozszerzenie jest jednym z najskuteczniejszych instrumentów polityki zagranicznej UE i stanowi geostrategiczną inwestycję w pokój, demokrację, stabilność, bezpieczeństwo i dobrobyt na kontynencie europejskim, a także nadal ma kluczowe znaczenie, zwłaszcza w kontekście szybkich i poważnych zmian geopolitycznych oraz rosnącej konkurencji ze strony reżimów autorytarnych;</w:t>
      </w:r>
    </w:p>
    <w:p w14:paraId="3C84E4D7" w14:textId="77777777" w:rsidR="0024749D" w:rsidRPr="00F45650" w:rsidRDefault="0024749D" w:rsidP="0024749D">
      <w:pPr>
        <w:pStyle w:val="NormalHanging12a"/>
      </w:pPr>
      <w:r w:rsidRPr="00F45650">
        <w:t>B.</w:t>
      </w:r>
      <w:r w:rsidRPr="00F45650">
        <w:tab/>
        <w:t>mając na uwadze, że każdy kraj jest oceniany na podstawie własnych osiągnięć pod względem spełniania kryteriów kopenhaskich, obejmujących pełne poszanowanie demokracji, praworządności, podstawowych wartości UE, praw człowieka, praw mniejszości i wolności mediów;</w:t>
      </w:r>
    </w:p>
    <w:p w14:paraId="514BD024" w14:textId="77777777" w:rsidR="0024749D" w:rsidRPr="00F45650" w:rsidRDefault="0024749D" w:rsidP="0024749D">
      <w:pPr>
        <w:pStyle w:val="NormalHanging12a"/>
      </w:pPr>
      <w:r w:rsidRPr="00F45650">
        <w:t>C.</w:t>
      </w:r>
      <w:r w:rsidRPr="00F45650">
        <w:tab/>
        <w:t>mając na uwadze, że UE pozostaje głównym partnerem politycznym i gospodarczym krajów Bałkanów Zachodnich; mając na uwadze, że Unia Europejska wciąż jest największym partnerem handlowym i inwestycyjnym Bośni i Hercegowiny (BiH), odpowiadającym za większość jej handlu zagranicznego i odgrywającym kluczową rolę w procesie integracji gospodarczej tego kraju;</w:t>
      </w:r>
    </w:p>
    <w:p w14:paraId="647CCC38" w14:textId="77777777" w:rsidR="0024749D" w:rsidRPr="00F45650" w:rsidRDefault="0024749D" w:rsidP="0024749D">
      <w:pPr>
        <w:pStyle w:val="NormalHanging12a"/>
      </w:pPr>
      <w:r w:rsidRPr="00F45650">
        <w:t>D.</w:t>
      </w:r>
      <w:r w:rsidRPr="00F45650">
        <w:tab/>
        <w:t>mając na uwadze, że BiH jest krajem kandydującym, a zdecydowana większość jej obywateli dąży do integracji euroatlantyckiej na rzecz trwałego pokoju, demokracji i dobrobytu; mając na uwadze, że w 2025 r. przypada 30. rocznica podpisania porozumienia pokojowego z Dayton, które nadal stanowi fundament struktury instytucjonalnej BiH i które w zamierzeniu stanowiło gwarancję równości trzech narów konstytutywnych tego kraju;</w:t>
      </w:r>
    </w:p>
    <w:p w14:paraId="22B363B3" w14:textId="77777777" w:rsidR="0024749D" w:rsidRPr="00F45650" w:rsidRDefault="0024749D" w:rsidP="0024749D">
      <w:pPr>
        <w:pStyle w:val="NormalHanging12a"/>
      </w:pPr>
      <w:r w:rsidRPr="00F45650">
        <w:t>E.</w:t>
      </w:r>
      <w:r w:rsidRPr="00F45650">
        <w:tab/>
        <w:t>mając na uwadze, że publiczne poparcie to pozostaje nikłe z powodu antyunijnych narracji promowanych przez nieliberalne podmioty z regionu i spoza niego;</w:t>
      </w:r>
    </w:p>
    <w:p w14:paraId="57049E52" w14:textId="77777777" w:rsidR="0024749D" w:rsidRPr="00F45650" w:rsidRDefault="0024749D" w:rsidP="0024749D">
      <w:pPr>
        <w:pStyle w:val="NormalHanging12a"/>
      </w:pPr>
      <w:r w:rsidRPr="00F45650">
        <w:t>F.</w:t>
      </w:r>
      <w:r w:rsidRPr="00F45650">
        <w:tab/>
        <w:t xml:space="preserve">mając na uwadze, że porozumienie pokojowe z Dayton, pomimo swoich niedociągnięć, przyniosło pokój i stabilizację w BiH poprzez utworzenie kluczowych instytucji, które umożliwiły temu krajowi postępy na drodze do integracji z UE i NATO; </w:t>
      </w:r>
    </w:p>
    <w:p w14:paraId="673A96E3" w14:textId="77777777" w:rsidR="0024749D" w:rsidRPr="00F45650" w:rsidRDefault="0024749D" w:rsidP="0024749D">
      <w:pPr>
        <w:pStyle w:val="NormalHanging12a"/>
      </w:pPr>
      <w:r w:rsidRPr="00F45650">
        <w:t>G.</w:t>
      </w:r>
      <w:r w:rsidRPr="00F45650">
        <w:tab/>
        <w:t xml:space="preserve">mając na uwadze, że 30 lat po zakończeniu wojny BiH nadal nie funkcjonuje prawidłowo i ponownie znalazła się w głębokim kryzysie politycznym i kryzysie w </w:t>
      </w:r>
      <w:r w:rsidRPr="00F45650">
        <w:lastRenderedPageBreak/>
        <w:t xml:space="preserve">zakresie bezpieczeństwa, charakteryzującym się próbami secesji i wysokim poziomem korupcji; </w:t>
      </w:r>
    </w:p>
    <w:p w14:paraId="4DBB8045" w14:textId="77777777" w:rsidR="0024749D" w:rsidRPr="00F45650" w:rsidRDefault="0024749D" w:rsidP="0024749D">
      <w:pPr>
        <w:pStyle w:val="NormalHanging12a"/>
      </w:pPr>
      <w:r w:rsidRPr="00F45650">
        <w:t>H.</w:t>
      </w:r>
      <w:r w:rsidRPr="00F45650">
        <w:tab/>
        <w:t>mając na uwadze, że UE zdecydowanie popiera integralność terytorialną i suwerenność BiH i nie zaakceptuje żadnych prób jej podważenia; mając na uwadze, że w Strategicznym kompasie stwierdzono, iż w dziedzinie bezpieczeństwa i stabilności szczególnie ważne jest wspieranie suwerenności, jedności i integralności terytorialnej BiH;</w:t>
      </w:r>
    </w:p>
    <w:p w14:paraId="2D34AFEF" w14:textId="77777777" w:rsidR="0024749D" w:rsidRPr="00F45650" w:rsidRDefault="0024749D" w:rsidP="0024749D">
      <w:pPr>
        <w:pStyle w:val="NormalHanging12a"/>
      </w:pPr>
      <w:r w:rsidRPr="00F45650">
        <w:t>I.</w:t>
      </w:r>
      <w:r w:rsidRPr="00F45650">
        <w:tab/>
        <w:t>mając na uwadze, że prezydent Republiki Serbskiej (RS) Milorad Dodik i politycy z Sojuszu Niezależnych Demokratów Społecznych (SNSD) podjęli niekonstytucyjne działania mające na celu unieważnienie przepisów państwowych w RS i zaatakowali kluczowe instytucje państwa, mianowicie Biuro Wysokiego Przedstawiciela, Trybunał Konstytucyjny BiH i sądownictwo; mając na uwadze, że władze RS uczestniczyły w „Zgromadzeniu wszystkich Serbów”, które odbyło się 8 czerwca 2024 r. w Belgradzie pod hasłem „Jeden naród, jedno zgromadzenie”; mając na uwadze, że rozpoczął się proces budowania nowej prounijnej większości;</w:t>
      </w:r>
    </w:p>
    <w:p w14:paraId="594E27A2" w14:textId="77777777" w:rsidR="0024749D" w:rsidRPr="00F45650" w:rsidRDefault="0024749D" w:rsidP="0024749D">
      <w:pPr>
        <w:pStyle w:val="NormalHanging12a"/>
      </w:pPr>
      <w:r w:rsidRPr="00F45650">
        <w:t>J.</w:t>
      </w:r>
      <w:r w:rsidRPr="00F45650">
        <w:tab/>
        <w:t>mając na uwadze, że EUFOR Althea jest unijną misją w ramach WPBiO, która pomaga BiH w utrzymaniu stabilnych i bezpiecznych warunków w kraju, wspiera siły zbrojne w dostosowaniu się do standardów NATO, a jednocześnie odstrasza przed wszelkimi zagrożeniami z zewnątrz;</w:t>
      </w:r>
    </w:p>
    <w:p w14:paraId="26535A74" w14:textId="77777777" w:rsidR="0024749D" w:rsidRPr="00F45650" w:rsidRDefault="0024749D" w:rsidP="0024749D">
      <w:pPr>
        <w:pStyle w:val="NormalHanging12a"/>
      </w:pPr>
      <w:r w:rsidRPr="00F45650">
        <w:t>K.</w:t>
      </w:r>
      <w:r w:rsidRPr="00F45650">
        <w:tab/>
        <w:t>mając na uwadze, że na drodze do UE BiH jest coraz częściej celem wrogich podmiotów zagranicznych, w szczególności Federacji Rosyjskiej i Chińskiej Republiki Ludowej, które wykorzystują podziały etniczne i niestabilność instytucjonalną, aby utrudniać reformy, podważać porządek konstytucyjny i osłabiać zaufanie społeczeństwa do UE; mając na uwadze, że rosyjskie media kontrolowane przez państwo, w tym Sputnik Serbia i RT Balkan, nadal działają w BiH, zwłaszcza w RS, szerząc dezinformację i prokremlowskie narracje, co stanowi naruszenie sankcji przeciwko mediom szerzącym rosyjską propagandę;</w:t>
      </w:r>
    </w:p>
    <w:p w14:paraId="66C1DD7E" w14:textId="77777777" w:rsidR="0024749D" w:rsidRPr="00F45650" w:rsidRDefault="0024749D" w:rsidP="0024749D">
      <w:pPr>
        <w:pStyle w:val="NormalHanging12a"/>
      </w:pPr>
      <w:r w:rsidRPr="00F45650">
        <w:t>L.</w:t>
      </w:r>
      <w:r w:rsidRPr="00F45650">
        <w:tab/>
        <w:t>mając na uwadze, że BiH jest państwem wieloetnicznym, na którego terytorium od wieków żyją różne grupy religijne i etniczne, co świadczy o tym, że społeczności o różnych poglądach mogą współistnieć w atmosferze tolerancji i wzajemnego szacunku; mając na uwadze, że różnorodność językowa i kulturowa jest jedną z podstawowych zasad Unii Europejskiej, potwierdzoną w art. 21 i 22 Karty praw podstawowych:</w:t>
      </w:r>
    </w:p>
    <w:p w14:paraId="365B244F" w14:textId="77777777" w:rsidR="0024749D" w:rsidRPr="00F45650" w:rsidRDefault="0024749D" w:rsidP="0024749D">
      <w:pPr>
        <w:pStyle w:val="NormalHanging12a"/>
      </w:pPr>
      <w:r w:rsidRPr="00F45650">
        <w:t>M.</w:t>
      </w:r>
      <w:r w:rsidRPr="00F45650">
        <w:tab/>
        <w:t>mając na uwadze, że w odniesieniu do wyborów powszechnych z 2022 r. misja obserwacji wyborów Biura Instytucji Demokratycznych i Praw Człowieka (ODIHR) Organizacji Bezpieczeństwa i Współpracy w Europie (OBWE) stwierdziła, że proces wyborczy pozostawał podatny na ingerencję zewnętrzną, w tym na nadużywanie zasobów administracyjnych i stronnicze relacje mediów pod wpływem platform wspieranych przez podmioty zagraniczne, oraz wezwała do zwiększenia ochrony przed dezinformacją, a także do zapewnienia przejrzystości finansowania kampanii oraz zabezpieczeń dla dziennikarzy i społeczeństwa obywatelskiego;</w:t>
      </w:r>
    </w:p>
    <w:p w14:paraId="618CB600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t>Zaangażowanie na rzecz przystąpienia do UE</w:t>
      </w:r>
    </w:p>
    <w:p w14:paraId="6E2F0CE4" w14:textId="77777777" w:rsidR="0024749D" w:rsidRPr="00F45650" w:rsidRDefault="0024749D" w:rsidP="0024749D">
      <w:pPr>
        <w:pStyle w:val="NormalHanging12a"/>
      </w:pPr>
      <w:r w:rsidRPr="00F45650">
        <w:lastRenderedPageBreak/>
        <w:t>1.</w:t>
      </w:r>
      <w:r w:rsidRPr="00F45650">
        <w:tab/>
        <w:t>potwierdza swoje poparcie dla procesu przystąpienia BiH do UE, opartego na osiągnięciach, kryteriów kopenhaskich, jedności, suwerenności, integralności terytorialnej oraz równości wszystkich obywateli tego kraju;</w:t>
      </w:r>
    </w:p>
    <w:p w14:paraId="1E0E8070" w14:textId="77777777" w:rsidR="0024749D" w:rsidRPr="00F45650" w:rsidRDefault="0024749D" w:rsidP="0024749D">
      <w:pPr>
        <w:pStyle w:val="NormalHanging12a"/>
      </w:pPr>
      <w:r w:rsidRPr="00F45650">
        <w:t>2.</w:t>
      </w:r>
      <w:r w:rsidRPr="00F45650">
        <w:tab/>
        <w:t>z zadowoleniem przyjmuje decyzję Rady Europejskiej o rozpoczęciu negocjacji akcesyjnych z BiH w kontekście zmienionej rzeczywistości geopolitycznej po wybuchu rosyjskiej wojny napastniczej przeciwko Ukrainie; wyraża zadowolenie z przyjęcia szeregu kluczowych przepisów w okresie poprzedzającym tę decyzję, ubolewa jednak, że pozytywna dynamika reform utknęła w martwym punkcie, i zwraca uwagę na niewłaściwe wdrożenie i egzekwowanie przyjętych przepisów; ubolewa, że procesowi legislacyjnemu towarzyszył brak przejrzystości i ograniczony dostęp kluczowych zainteresowanych stron; odnotowuje niedawne przyjęcie ustaw dotyczących kontroli granicznej i ochrony danych osobowych oraz wzywa do ich pełnego wdrożenia; apeluje, by rozpocząć przygotowania do ustanowienia podstaw instytucjonalnych i finansowych dla tego rozszerzenia, aby zapewnić trwałą integrację z UE;</w:t>
      </w:r>
    </w:p>
    <w:p w14:paraId="2D621B09" w14:textId="77777777" w:rsidR="0024749D" w:rsidRPr="00F45650" w:rsidRDefault="0024749D" w:rsidP="0024749D">
      <w:pPr>
        <w:pStyle w:val="NormalHanging12a"/>
      </w:pPr>
      <w:r w:rsidRPr="00F45650">
        <w:t>3.</w:t>
      </w:r>
      <w:r w:rsidRPr="00F45650">
        <w:tab/>
        <w:t>wzywa prawowitych przywódców politycznych BiH na wszystkich szczeblach do podjęcia wszystkich stosownych kroków określonych w zaleceniu Komisji z 12 października 2022 r., przy pełnym poszanowaniu odpowiednich demokratycznych, przejrzystych i integracyjnych procedur w ramach właściwych instytucji, z myślą o przyjęciu ram negocjacyjnych przez Radę po spełnieniu tych warunków oraz do zwiększenia wysiłków w celu realizacji 14 kluczowych priorytetów określonych przez Komisję w 2019 r.; wzywa wszystkie podmioty polityczne do utrzymania jedności, suwerenności i integralności terytorialnej BiH oraz do powstrzymania się od wszelkiej polaryzującej i secesjonistycznej retoryki oraz aktywności, podżegania do nietolerancji na tle etnicznym, religijnym i rasowym, zaprzeczania ludobójstwu i innym zbrodniom wojennym, a także gloryfikowania zbrodni i zbrodniarzy wojennych;</w:t>
      </w:r>
    </w:p>
    <w:p w14:paraId="27B3F3A6" w14:textId="77777777" w:rsidR="0024749D" w:rsidRPr="00F45650" w:rsidRDefault="0024749D" w:rsidP="0024749D">
      <w:pPr>
        <w:pStyle w:val="NormalHanging12a"/>
      </w:pPr>
      <w:r w:rsidRPr="00F45650">
        <w:t>4.</w:t>
      </w:r>
      <w:r w:rsidRPr="00F45650">
        <w:tab/>
        <w:t>przypomina, że proces akcesyjny BiH musi opierać się na funkcjonujących instytucjach demokratycznych, praworządności, walce z korupcją i przestępczością zorganizowaną, a także na poszanowaniu praw podstawowych i niedyskryminowaniu wszystkich obywateli, w tym narodów konstytutywnych, niezależnie od ich przynależności etnicznej, religijnej lub innej;</w:t>
      </w:r>
    </w:p>
    <w:p w14:paraId="3D96F6CE" w14:textId="77777777" w:rsidR="0024749D" w:rsidRPr="00F45650" w:rsidRDefault="0024749D" w:rsidP="0024749D">
      <w:pPr>
        <w:pStyle w:val="NormalHanging12a"/>
      </w:pPr>
      <w:r w:rsidRPr="00F45650">
        <w:t>5.</w:t>
      </w:r>
      <w:r w:rsidRPr="00F45650">
        <w:tab/>
        <w:t>zdecydowanie potępia powtarzające się stosowanie podburzającej retoryki oraz przyjmowanie secesjonistycznych ustaw i strategii politycznych przez prezydenta RS Milorada Dodika, partię SNSD i Zgromadzenie Republiki Serbskiej, w tym obchodzenie tzw. „Dnia Republiki Serbskiej” oraz „Dnia Państwa Republiki Serbskiej”; podkreśla, że takie działania podważają porządek konstytucyjny, integralność terytorialną i suwerenność BiH oraz są niezgodne z procesem przystąpienia BiH do UE i podważają porozumienie pokojowe z Dayton;</w:t>
      </w:r>
    </w:p>
    <w:p w14:paraId="63870BF5" w14:textId="77777777" w:rsidR="0024749D" w:rsidRPr="00F45650" w:rsidRDefault="0024749D" w:rsidP="0024749D">
      <w:pPr>
        <w:pStyle w:val="NormalHanging12a"/>
      </w:pPr>
      <w:r w:rsidRPr="00F45650">
        <w:t>6.</w:t>
      </w:r>
      <w:r w:rsidRPr="00F45650">
        <w:tab/>
        <w:t xml:space="preserve">wzywa wszystkie państwa członkowskie, a także Europejską Służbę Działań Zewnętrznych (ESDZ) i Komisję, aby w duchu jedności bardziej zdecydowanie reagowały na te bezpośrednie zagrożenia dla bezpieczeństwa europejskiego, oraz ponawia apel o ukierunkowane sankcje wobec wszystkich destabilizujących podmiotów, w szczególności Milorada Dodika, a także innych wysokich rangą urzędników RS i urzędników serbskich, którzy udzielają polityce secesjonistycznej politycznego i materialnego wsparcia; wzywa wszystkie państwa członkowskie do zadbania o to, by takie sankcje mogły zostać przyjęte przez Radę, oraz do nałożenia ich dwustronnie lub w porozumieniu z innymi państwami członkowskimi, jeżeli ich </w:t>
      </w:r>
      <w:r w:rsidRPr="00F45650">
        <w:lastRenderedPageBreak/>
        <w:t>przyjęcie w Radzie nie jest możliwe; potępia rolę rządu węgierskiego w blokowaniu sankcji; popiera oświadczenia wygłoszone przez sekretarza generalnego NATO Marka Ruttego oraz wiceprzewodniczącą / wysoka przedstawicielkę Kaję Kallas odpowiednio 10 marca 2025 r. i 8 kwietnia 2025 r. w Sarajewie, a także apeluje o podjęcie dialogu, aby zapewnić stabilność w tym kraju; uważa, że wysocy rangą urzędnicy UE nie powinni angażować się w kontakty z podmiotami podważającymi porządek konstytucyjny BiH, aby nie zaszkodzić wiarygodności UE pod względem wspierania instytucji państwowych BiH, oraz z zadowoleniem przyjmuje nałożenie przez niektóre państwa członkowskie zakazu podróżowania na wysokich rangą urzędników RS;</w:t>
      </w:r>
    </w:p>
    <w:p w14:paraId="4EE2AF03" w14:textId="77777777" w:rsidR="0024749D" w:rsidRPr="00F45650" w:rsidRDefault="0024749D" w:rsidP="0024749D">
      <w:pPr>
        <w:pStyle w:val="NormalHanging12a"/>
      </w:pPr>
      <w:r w:rsidRPr="00F45650">
        <w:t>7.</w:t>
      </w:r>
      <w:r w:rsidRPr="00F45650">
        <w:tab/>
        <w:t>odnotowuje orzeczenie Sądu Bośni i Hercegowiny w sprawie Milorada Dodika z 26 lutego 2025 r. i jest głęboko zaniepokojony eskalacją napięć i podejmowanymi przez niego działaniami po wydaniu tego orzeczenia, w tym bezprecedensowymi atakami na instytucje BiH oraz zastraszanie opozycji w RS; wyraża ubolewanie z powodu poparcia dla takiej polityki ze strony władz rosyjskich i serbskich oraz wzywa wszystkie podmioty wewnętrzne, regionalne i międzynarodowe do poszanowania suwerenności i integralności terytorialnej BiH; wzywa do izolacji Milorada Dodika na arenie międzynarodowej; potępia niedawną decyzję rządu RS o uznaniu wysokiego rangą urzędnika niemieckiego ministerstwa spraw zagranicznych za persona non grata; z zaniepokojeniem zauważa, że Interpol odmówił wydania czerwonej noty na potrzeby międzynarodowego nakazu aresztowania, i wzywa EUFOR do udzielenia konkretnego wsparcia władzom BiH, aby położyć kres nieustannym wysiłkom na rzecz podważania stabilności prawnej i politycznej kraju oraz wykazać zaangażowanie i zdolność UE i EUFOR do utrzymania pokoju, egzekwowania praworządności i zachowania integralności instytucji prawnych;</w:t>
      </w:r>
    </w:p>
    <w:p w14:paraId="6960ED57" w14:textId="77777777" w:rsidR="0024749D" w:rsidRPr="00F45650" w:rsidRDefault="0024749D" w:rsidP="0024749D">
      <w:pPr>
        <w:pStyle w:val="NormalHanging12a"/>
      </w:pPr>
      <w:r w:rsidRPr="00F45650">
        <w:t>8.</w:t>
      </w:r>
      <w:r w:rsidRPr="00F45650">
        <w:tab/>
        <w:t>ubolewa, że polityka i działania Milorada Dodika, w tym częste blokowanie organów państwowych i procesu decyzyjnego oraz osłabianie instytucji BiH niezbędnych do technicznych prac nad zbliżeniem przepisów do dorobku prawnego UE, są głównym czynnikiem utrudniającym BiH drogę do członkostwa w UE i stanowią wyraźne naruszenie porozumienia politycznego z 12 czerwca 2022 r.; z zadowoleniem przyjmuje działania właściwych instytucji BiH i wzywa je do przestrzegania odpowiednich procedur oraz do wykonania i wdrożenia wszystkich decyzji z pełnym poszanowaniem praworządności; wzywa wszystkie podmioty polityczne, zwłaszcza w RS, do odrzucenia wszelkich secesjonistycznych działań podważających jedność, suwerenność, integralność terytorialną i bezpieczeństwo kraju; wzywa Zgromadzenie Narodowe RS do zapewnienia, aby w dzienniku urzędowym znalazły się decyzje Trybunału Konstytucyjnego BiH dotyczące ustawodawstwa RS, które uznano za naruszające porządek konstytucyjny BiH i które zostały uchylone;.</w:t>
      </w:r>
    </w:p>
    <w:p w14:paraId="467E07FC" w14:textId="77777777" w:rsidR="0024749D" w:rsidRPr="00F45650" w:rsidRDefault="0024749D" w:rsidP="0024749D">
      <w:pPr>
        <w:pStyle w:val="NormalHanging12a"/>
      </w:pPr>
      <w:r w:rsidRPr="00F45650">
        <w:t>9.</w:t>
      </w:r>
      <w:r w:rsidRPr="00F45650">
        <w:tab/>
        <w:t>wzywa Komisję, aby w ścisłej współpracy z państwami członkowskimi i partnerami międzynarodowymi, w tym z Biurem Wysokiego Przedstawiciela, Organizacją Bezpieczeństwa i Współpracy w Europie (OBWE) i Radą Europy, podsumowała doświadczenia zdobyte w ciągu ostatnich 15 lat zaangażowania Europy na rzecz BiH oraz odpowiednio skorygowała swoją strategię, kładąc ponownie nacisk na osiągnięcie wymiernych postępów i reform, które przyspieszą drogę tego kraju do członkostwa w UE, aby potwierdzić w ten sposób niezachwiane zaangażowanie UE na rzecz pełnej integracji BiH z Unią;</w:t>
      </w:r>
    </w:p>
    <w:p w14:paraId="6C051F2B" w14:textId="77777777" w:rsidR="0024749D" w:rsidRPr="00F45650" w:rsidRDefault="0024749D" w:rsidP="0024749D">
      <w:pPr>
        <w:pStyle w:val="NormalHanging12a"/>
      </w:pPr>
      <w:r w:rsidRPr="00F45650">
        <w:t>10.</w:t>
      </w:r>
      <w:r w:rsidRPr="00F45650">
        <w:tab/>
        <w:t xml:space="preserve">z zadowoleniem przyjmuje formalne pełne dostosowanie się BiH do wspólnej polityki zagranicznej i bezpieczeństwa UE, w tym środków ograniczających w odpowiedzi na </w:t>
      </w:r>
      <w:r w:rsidRPr="00F45650">
        <w:lastRenderedPageBreak/>
        <w:t>rosyjską wojnę napastniczą przeciwko Ukrainie, i wzywa do skutecznego wdrożenia tych środków; z zadowoleniem przyjmuje dalszy udział BiH w unijnych misjach i operacjach zarządzania kryzysowego. potępia prorosyjskie stanowisko przywódców RS i ich częste spotkania z Putinem i innymi rosyjskimi urzędnikami; wyraża poważne obawy dotyczące zagrożeń dla bezpieczeństwa wynikających z tych powiązań; wzywa UE, aby zbadała kwestię wykorzystywania RS jako bramy dla rosyjskich operacji wywiadowczych i ataków hybrydowych na państwa członkowskie UE; wzywa do wsparcia BiH w przeciwdziałaniu kampaniom dezinformacyjnym pochodzącym z Rosji w ramach wspólnych wysiłków przeciwko zagrożeniom hybrydowym; zdecydowanie popiera stałe aspiracje BiH dotyczące integracji euroatlantyckiej i członkostwa w NATO oraz wzywa wszystkie podmioty polityczne do podjęcia konkretnych działań politycznych w tym celu;</w:t>
      </w:r>
    </w:p>
    <w:p w14:paraId="1B899F8C" w14:textId="77777777" w:rsidR="0024749D" w:rsidRPr="00F45650" w:rsidRDefault="0024749D" w:rsidP="0024749D">
      <w:pPr>
        <w:pStyle w:val="NormalHanging12a"/>
      </w:pPr>
      <w:r w:rsidRPr="00F45650">
        <w:t>11.</w:t>
      </w:r>
      <w:r w:rsidRPr="00F45650">
        <w:tab/>
        <w:t>ponownie wyraża poparcie dla Biura Wysokiego Przedstawiciela i operacji EUFOR Althea w odniesieniu do dalszego nadzorowania wdrażania porozumienia pokojowego z Dayton zgodnie z ich mandatami opartymi na neutralności politycznej i pełnym poszanowaniu konstytucji Bośni i Hercegowiny do czasu wypełnienia przez kraj „agendy 5+2” i zakończenia międzynarodowego nadzoru; z zadowoleniem przyjmuje odnowienie mandatu operacji EUFOR Althea; ubolewa, że BiH nadal w dużym stopniu opiera się na mandacie Biura Wysokiego Przedstawiciela i obecności EUFOR Althea, ale uznaje i ceni ją jako kluczową instytucję nie tylko zapewniającą pokój, ale również samo funkcjonowanie kraju;</w:t>
      </w:r>
    </w:p>
    <w:p w14:paraId="09BA7922" w14:textId="77777777" w:rsidR="0024749D" w:rsidRPr="00F45650" w:rsidRDefault="0024749D" w:rsidP="0024749D">
      <w:pPr>
        <w:pStyle w:val="NormalHanging12a"/>
      </w:pPr>
      <w:r w:rsidRPr="00F45650">
        <w:t>12.</w:t>
      </w:r>
      <w:r w:rsidRPr="00F45650">
        <w:tab/>
        <w:t xml:space="preserve">przypomina, że operacja EUFOR Althea odgrywa kluczową rolę w zapewnieniu bezpieczeństwa, integralności terytorialnej, stabilności, suwerenności i niezależności politycznej BiH, przy jednoczesnym zapewnieniu, że lokalne zainteresowane strony działają zgodnie z tymi podstawowymi zasadami określonymi w porozumieniu pokojowym z Dayton i rezolucjach Rady Bezpieczeństwa ONZ; wzywa EUFOR do jednoznacznego przekazania tego mandatu obywatelom BiH jako środka budowy zaufania; </w:t>
      </w:r>
    </w:p>
    <w:p w14:paraId="51C5B477" w14:textId="77777777" w:rsidR="0024749D" w:rsidRPr="00F45650" w:rsidRDefault="0024749D" w:rsidP="0024749D">
      <w:pPr>
        <w:pStyle w:val="NormalHanging12a"/>
      </w:pPr>
      <w:r w:rsidRPr="00F45650">
        <w:t>13.</w:t>
      </w:r>
      <w:r w:rsidRPr="00F45650">
        <w:tab/>
        <w:t>ponadto z zadowoleniem przyjmuje decyzję Rady w sprawie środka pomocy w ramach Europejskiego Instrumentu na rzecz Pokoju w wysokości 10 mln EUR na rzecz sił zbrojnych BiH oraz w sprawie umowy o współpracy i szkoleniu na rok 2023 między siłami zbrojnymi BiH a EUFOR-em; wzywa Radę oraz wiceprzewodniczącą / wysoką przedstawicielkę do umożliwienia wszystkim kwalifikującym się państwom członkowskim udziału w misjach pokojowych UE, takich jak operacja EUFOR Althea w BiH; wzywa władze BiH, NATO i operację EUFOR Althea do rozpoczęcia procesu reform sił zbrojnych BiH;</w:t>
      </w:r>
    </w:p>
    <w:p w14:paraId="28A90C07" w14:textId="77777777" w:rsidR="0024749D" w:rsidRPr="00F45650" w:rsidRDefault="0024749D" w:rsidP="0024749D">
      <w:pPr>
        <w:pStyle w:val="NormalHanging12a"/>
      </w:pPr>
      <w:r w:rsidRPr="00F45650">
        <w:t>14.</w:t>
      </w:r>
      <w:r w:rsidRPr="00F45650">
        <w:tab/>
        <w:t xml:space="preserve">jest nadal zaniepokojony szkodliwymi obcymi ingerencjami i kampaniami dezinformacyjnymi prowadzonymi przez podmioty zagraniczne w BiH, w szczególności Rosję i Chiny, a także ich przekazywaniem za pośrednictwem lokalnych mediów i struktur politycznych, w szczególności przez RS; wyraża głębokie zaniepokojenie poparciem Kremla dla retoryki secesjonistycznej, prób delegitymizacji instytucji państwowych oraz ingerencji w sprawy związane z sądownictwem i wyborami; zwraca uwagę na ostatnie działania Rosji w Radzie Bezpieczeństwa ONZ mające na celu obronę niekonstytucyjnych działań władz RS; </w:t>
      </w:r>
    </w:p>
    <w:p w14:paraId="783F375D" w14:textId="77777777" w:rsidR="0024749D" w:rsidRPr="00F45650" w:rsidRDefault="0024749D" w:rsidP="0024749D">
      <w:pPr>
        <w:pStyle w:val="NormalHanging12a"/>
      </w:pPr>
      <w:r w:rsidRPr="00F45650">
        <w:t>15.</w:t>
      </w:r>
      <w:r w:rsidRPr="00F45650">
        <w:tab/>
      </w:r>
      <w:proofErr w:type="gramStart"/>
      <w:r w:rsidRPr="00F45650">
        <w:t>wzywa</w:t>
      </w:r>
      <w:proofErr w:type="gramEnd"/>
      <w:r w:rsidRPr="00F45650">
        <w:t xml:space="preserve"> do podjęcia dalszych kroków, między innymi dostosowania ustawodawstwa BiH do dorobku prawnego UE, oraz do zapewnienia wsparcia UE w celu skutecznego </w:t>
      </w:r>
      <w:r w:rsidRPr="00F45650">
        <w:lastRenderedPageBreak/>
        <w:t>przeciwdziałania szkodliwym obcym ingerencjom i kampaniom dezinformacyjnym; wzywa ESDZ i delegaturę UE w BiH do wzmożenia wysiłków na rzecz promowania korzyści płynących z bliższej integracji oraz do inwestowania w kampanie komunikacyjne mające na celu zwalczanie antydemokratycznych narracji i innych form ingerencji zagranicznej;</w:t>
      </w:r>
    </w:p>
    <w:p w14:paraId="2C3BEE49" w14:textId="77777777" w:rsidR="0024749D" w:rsidRPr="00F45650" w:rsidRDefault="0024749D" w:rsidP="0024749D">
      <w:pPr>
        <w:pStyle w:val="NormalHanging12a"/>
      </w:pPr>
      <w:r w:rsidRPr="00F45650">
        <w:t>16.</w:t>
      </w:r>
      <w:r w:rsidRPr="00F45650">
        <w:tab/>
        <w:t>ubolewa nad udziałem władz RS w „Zgromadzeniu wszystkich Serbów”, które odbyło się 8 czerwca 2024 r. w Belgradzie pod hasłem „Jeden naród, jedno zgromadzenie”, i odrzuca jego oświadczenie, która podważa suwerenność BiH i innych krajów Bałkanów Zachodnich i nie sprzyja stosunkom dobrosąsiedzkim; potępia ingerencję prezydenta Serbii Aleksandara Vučicia w sprawy BiH, w tym wyrażanie poparcia dla bezprawnych działań Milorada Dodika i organizowanie wspieranego przez Rosję „Zgromadzenia wszystkich Serbów”, które podważa suwerenność i integralność terytorialną BiH;</w:t>
      </w:r>
    </w:p>
    <w:p w14:paraId="123137F8" w14:textId="77777777" w:rsidR="0024749D" w:rsidRPr="00F45650" w:rsidRDefault="0024749D" w:rsidP="0024749D">
      <w:pPr>
        <w:pStyle w:val="NormalHanging12a"/>
        <w:rPr>
          <w:bCs/>
          <w:iCs/>
        </w:rPr>
      </w:pPr>
      <w:r w:rsidRPr="00F45650">
        <w:t>17.</w:t>
      </w:r>
      <w:r w:rsidRPr="00F45650">
        <w:tab/>
        <w:t>potępia rosnące szkodliwe wpływy Iranu w tym kraju i na Bałkanach Zachodnich, będące zagrożeniem dla bezpieczeństwa UE i jej państw członkowskich;</w:t>
      </w:r>
    </w:p>
    <w:p w14:paraId="053CE995" w14:textId="77777777" w:rsidR="0024749D" w:rsidRPr="00F45650" w:rsidRDefault="0024749D" w:rsidP="0024749D">
      <w:pPr>
        <w:pStyle w:val="NormalHanging12a"/>
      </w:pPr>
      <w:r w:rsidRPr="00F45650">
        <w:t>18.</w:t>
      </w:r>
      <w:r w:rsidRPr="00F45650">
        <w:tab/>
        <w:t>z zadowoleniem przyjmuje ponowne i trwałe zaangażowanie BiH w prace Parlamentarnego Komitetu Stabilizacji i Stowarzyszenia UE–BiH, zgodnie z jednym z 14 kluczowych priorytetów określonych przez Komisję;</w:t>
      </w:r>
    </w:p>
    <w:p w14:paraId="0CD9AD5B" w14:textId="77777777" w:rsidR="0024749D" w:rsidRPr="00F45650" w:rsidRDefault="0024749D" w:rsidP="0024749D">
      <w:pPr>
        <w:pStyle w:val="NormalHanging12a"/>
      </w:pPr>
      <w:r w:rsidRPr="00F45650">
        <w:t>19.</w:t>
      </w:r>
      <w:r w:rsidRPr="00F45650">
        <w:tab/>
        <w:t>wzywa władze BiH do zreformowania mechanizmu koordynacji w kwestiach związanych z UE, który okazał się nieskuteczny i nieefektywny w realizacji zadań związanych z integracją z UE; wzywa władze do przedłożenia krajowego programu przyjęcia dorobku prawnego UE zgodnie z uwagami Komisji oraz do zapewnienia skoordynowanego dostosowania do dorobku prawnego UE w całym kraju; podkreśla konieczność ustanowienia operacyjnej struktury negocjacyjnej po podjęciu przez Radę Europejską decyzji o rozpoczęciu negocjacji akcesyjnych, wraz z wyznaczeniem zespołu negocjacyjnego i głównego negocjatora, który będzie w pełni upoważniony do przedstawiania stanowiska kraju;</w:t>
      </w:r>
    </w:p>
    <w:p w14:paraId="15DC46B1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t>Demokracja i praworządność</w:t>
      </w:r>
    </w:p>
    <w:p w14:paraId="3E90A47B" w14:textId="77777777" w:rsidR="0024749D" w:rsidRPr="00F45650" w:rsidRDefault="0024749D" w:rsidP="0024749D">
      <w:pPr>
        <w:pStyle w:val="NormalHanging12a"/>
      </w:pPr>
      <w:r w:rsidRPr="00F45650">
        <w:t>20.</w:t>
      </w:r>
      <w:r w:rsidRPr="00F45650">
        <w:tab/>
        <w:t>ubolewa, że podmioty polityczne wciąż jeszcze nie wprowadziły niezbędnych zmian w konstytucji i prawie wyborczym, aby dostosować te akty do Europejskiej Konwencji Praw Człowieka i wdrożyć odpowiednie orzeczenia Trybunału Konstytucyjnego Bośni i Hercegowiny oraz Europejskiego Trybunału Praw Człowieka w celu wyeliminowania wszelkich form nierówności i dyskryminacji w procesie wyborczym oraz zapewnienia braku dyskryminacji, ochrony praw podstawowych i równości wszystkich obywateli BiH na drodze „z Dayton do Brukseli”; przypomina, że niewykonanie tych orzeczeń jest sprzeczne z wartościami UE oraz integracją BiH z UE; podkreśla, że wszystkie procesy reformy konstytucyjnej i wyborczej muszą być inkluzywne, oparte na kompleksowych konsultacjach z obywatelami, społeczeństwem obywatelskim i niezależnymi ekspertami oraz wszystkimi odpowiednimi zainteresowanymi stronami w kraju, a także zgodne z europejskimi standardami i zasadami; ponownie wyraża pogląd, że żadne reformy wyborcze nie mogą pogłębiać ani utrwalać podziałów etnicznych;</w:t>
      </w:r>
    </w:p>
    <w:p w14:paraId="4E02D4A8" w14:textId="77777777" w:rsidR="0024749D" w:rsidRPr="00F45650" w:rsidRDefault="0024749D" w:rsidP="0024749D">
      <w:pPr>
        <w:pStyle w:val="NormalHanging12a"/>
      </w:pPr>
      <w:r w:rsidRPr="00F45650">
        <w:t>21.</w:t>
      </w:r>
      <w:r w:rsidRPr="00F45650">
        <w:tab/>
        <w:t xml:space="preserve">ubolewa, że władze BiH nie były w stanie zjednoczyć społeczeństwa ani stworzyć sprawiedliwego i funkcjonalnego systemu w kraju, lecz w dużej mierze przyczyniły się do pogłębienia podziałów; wzywa UE i państwa członkowskie do zainicjowania procesu przejrzystych i integracyjnych reform, które umożliwiłyby trwałe </w:t>
      </w:r>
      <w:r w:rsidRPr="00F45650">
        <w:lastRenderedPageBreak/>
        <w:t>przekształcenie porozumienia pokojowego z Dayton w konstytucję, w pełni zgodną z europejskimi standardami i zasadami, w celu zapewnienia funkcjonalnego, odpowiedzialnego, reprezentatywnego i cieszącego się poparciem społecznym systemu sprawowania rządów, przezwyciężenia podziałów etniczno-nacjonalistycznych i osiągnięcia trwałego postępu na drodze do UE;</w:t>
      </w:r>
    </w:p>
    <w:p w14:paraId="5DA4FFEE" w14:textId="77777777" w:rsidR="0024749D" w:rsidRPr="00F45650" w:rsidRDefault="0024749D" w:rsidP="0024749D">
      <w:pPr>
        <w:pStyle w:val="NormalHanging12a"/>
      </w:pPr>
      <w:r w:rsidRPr="00F45650">
        <w:t>22.</w:t>
      </w:r>
      <w:r w:rsidRPr="00F45650">
        <w:tab/>
        <w:t>odnotowuje zmiany wprowadzone do ordynacji wyborczej przez Wysokiego Przedstawiciela w marcu 2024 r., dzięki którym ustanowiono ważne standardy uczciwości i środki budowy zaufania mające na celu przywrócenie zaufania wyborców do całego procesu wyborczego; wzywa Zgromadzenie Parlamentarne BiH do pilnego wdrożenia wszystkich niezrealizowanych zaleceń OBWE/ODIHR, Komisji Weneckiej i Grupy Państw Przeciwko Korupcji (GRECO), zwłaszcza dotyczących administracji wyborczej, organizacji wyborów i liczenia głosów, prowadzenia i finansowania kampanii, wyraźnego zakazu pośredniego kupowania głosów, rozstrzygania sporów wyborczych, przeciwdziałania dezinformacji i obcym ingerencjom, zwiększenia ochrony dziennikarzy i karania za nadużywanie zasobów administracyjnych;</w:t>
      </w:r>
    </w:p>
    <w:p w14:paraId="1DFB3191" w14:textId="77777777" w:rsidR="0024749D" w:rsidRPr="00F45650" w:rsidRDefault="0024749D" w:rsidP="0024749D">
      <w:pPr>
        <w:pStyle w:val="NormalHanging12a"/>
      </w:pPr>
      <w:r w:rsidRPr="00F45650">
        <w:t>23.</w:t>
      </w:r>
      <w:r w:rsidRPr="00F45650">
        <w:tab/>
        <w:t>z zadowoleniem przyjmuje fakt, że wybory lokalne z 6 października 2024 r. odbyły się w duchu zdrowej rywalizacji i były dobrze zorganizowane; ubolewa, że wybory te odbyły się przy braku spójności społecznej i politycznej;</w:t>
      </w:r>
    </w:p>
    <w:p w14:paraId="48A954ED" w14:textId="77777777" w:rsidR="0024749D" w:rsidRPr="00F45650" w:rsidRDefault="0024749D" w:rsidP="0024749D">
      <w:pPr>
        <w:pStyle w:val="NormalHanging12a"/>
      </w:pPr>
      <w:r w:rsidRPr="00F45650">
        <w:t>24.</w:t>
      </w:r>
      <w:r w:rsidRPr="00F45650">
        <w:tab/>
        <w:t>zdecydowanie potępia działania RS podważające porządek konstytucyjny BiH oraz kompetencje organów państwowych, a także jej obstrukcję wobec Trybunału Konstytucyjnego BiH; potępia wszelkie nielegalne działania sprzeczne z ramami konstytucyjnymi i wzywa wszystkie podmioty polityczne w BiH do stosowania podejścia proeuropejskiego;</w:t>
      </w:r>
    </w:p>
    <w:p w14:paraId="232BEC5B" w14:textId="77777777" w:rsidR="0024749D" w:rsidRPr="00F45650" w:rsidRDefault="0024749D" w:rsidP="0024749D">
      <w:pPr>
        <w:pStyle w:val="NormalHanging12a"/>
      </w:pPr>
      <w:r w:rsidRPr="00F45650">
        <w:t>25.</w:t>
      </w:r>
      <w:r w:rsidRPr="00F45650">
        <w:tab/>
        <w:t>odnotowuje ograniczone postępy w reformach wymiaru sprawiedliwości w BiH, zwłaszcza w odniesieniu do niezależności, profesjonalizmu, skuteczności i odpowiedzialności wymiaru sprawiedliwości; wzywa do podjęcia pilnych działań w celu przyspieszenia reform w tych dziedzinach, zapewnienia pełnej zgodności ze standardami UE oraz wzmocnienia zdolności sądownictwa do skutecznego wymierzania sprawiedliwości i utrzymania praworządności;</w:t>
      </w:r>
    </w:p>
    <w:p w14:paraId="671713E2" w14:textId="77777777" w:rsidR="0024749D" w:rsidRPr="00F45650" w:rsidRDefault="0024749D" w:rsidP="0024749D">
      <w:pPr>
        <w:pStyle w:val="NormalHanging12a"/>
      </w:pPr>
      <w:r w:rsidRPr="00F45650">
        <w:t>26.</w:t>
      </w:r>
      <w:r w:rsidRPr="00F45650">
        <w:tab/>
        <w:t>jest nadal poważnie zaniepokojony korupcją w BiH, zwłaszcza korupcją na wysokim szczeblu, która jest problemem strukturalnym głęboko zakorzenionym w wysoce złożonym systemie sprawowania rządów w tym kraju, i wzywa właściwe władze do przyjęcia bardziej zdecydowanego, skoordynowanego, przejrzystego i proaktywnego stanowiska w walce z korupcją, w tym przez udoskonalenie przepisów antykorupcyjnych zgodnie z międzynarodowymi standardami i zaleceniami oraz zapewnienie skutecznego wdrażania przepisów, takich jak przepisy dotyczące zapobiegania konfliktom interesów i ochrony sygnalistów; zachęca BiH do zaangażowania się w zorganizowaną współpracę i wymianę najlepszych praktyk z państwami członkowskimi; z zadowoleniem przyjmuje strategię antykorupcyjną na lata 2024–2028 oraz przyjęcie planu działania na rzecz jej wdrożenia, a także bieżące wysiłki w zakresie współpracy międzynarodowej;</w:t>
      </w:r>
    </w:p>
    <w:p w14:paraId="7B62A11C" w14:textId="77777777" w:rsidR="0024749D" w:rsidRPr="00F45650" w:rsidRDefault="0024749D" w:rsidP="0024749D">
      <w:pPr>
        <w:pStyle w:val="NormalHanging12a"/>
      </w:pPr>
      <w:r w:rsidRPr="00F45650">
        <w:t>27.</w:t>
      </w:r>
      <w:r w:rsidRPr="00F45650">
        <w:tab/>
        <w:t xml:space="preserve">ubolewa, że przepisy o zamówieniach publicznych, konflikcie interesów i Najwyższej Radzie Sądownictwa nadal nie są zgodne z normami europejskimi, i wzywa do przyjęcia nowej ustawy o Wysokiej Radzie Sędziów i Prokuratorów zgodnie z zaleceniami Komisji Weneckiej; wzywa do ustanowienia w Wysokiej Radzie Sędziów i </w:t>
      </w:r>
      <w:r w:rsidRPr="00F45650">
        <w:lastRenderedPageBreak/>
        <w:t>Prokuratorów niezależnego departamentu ds. oświadczeń majątkowych i opowiada się za bezstronnym i skutecznym ściganiem korupcji na wysokim szczeblu;</w:t>
      </w:r>
    </w:p>
    <w:p w14:paraId="11CBB17A" w14:textId="77777777" w:rsidR="0024749D" w:rsidRPr="00F45650" w:rsidRDefault="0024749D" w:rsidP="0024749D">
      <w:pPr>
        <w:pStyle w:val="NormalHanging12a"/>
      </w:pPr>
      <w:r w:rsidRPr="00F45650">
        <w:t>28.</w:t>
      </w:r>
      <w:r w:rsidRPr="00F45650">
        <w:tab/>
        <w:t>podkreśla potrzebę wzmocnienia systemu zarządzania konfliktami interesów wśród osób pełniących najwyższe funkcje wykonawcze, w szczególności poprzez zapewnienie regularnej i merytorycznej weryfikacji deklaracji o braku konfliktu interesów; podkreśla, że wszystkie osoby pełniące najwyższe funkcje wykonawcze, niezależnie od tego, czy zostały wybrane, czy mianowane, powinny podlegać jednolitym obowiązkom w zakresie ujawniania informacji, a wszystkie takie oświadczenia powinny być systematycznie podawane do wiadomości publicznej i łatwo dostępne w internecie, w interesie przejrzystości i publicznej odpowiedzialności;</w:t>
      </w:r>
    </w:p>
    <w:p w14:paraId="4E644400" w14:textId="77777777" w:rsidR="0024749D" w:rsidRPr="00F45650" w:rsidRDefault="0024749D" w:rsidP="0024749D">
      <w:pPr>
        <w:pStyle w:val="NormalHanging12a"/>
      </w:pPr>
      <w:r w:rsidRPr="00F45650">
        <w:t>29.</w:t>
      </w:r>
      <w:r w:rsidRPr="00F45650">
        <w:tab/>
        <w:t>wzywa BiH do zintensyfikowania walki z przestępczością zorganizowaną; jest głęboko zaniepokojony podatnością systemu politycznego, prawnego i gospodarczego na infiltrację przestępczą; wyraża uznanie dla władz BiH za podpisanie 24 października 2024 r. umowy o współpracy z Eurojustem w celu zwiększenia skuteczności dochodzeń i ścigania w dziedzinie przestępczości zorganizowanej, terroryzmu, handlu ludźmi, cyberprzestępczości i innych rodzajów działalności przestępczej;</w:t>
      </w:r>
    </w:p>
    <w:p w14:paraId="7791940E" w14:textId="77777777" w:rsidR="0024749D" w:rsidRPr="00F45650" w:rsidRDefault="0024749D" w:rsidP="0024749D">
      <w:pPr>
        <w:pStyle w:val="NormalHanging12a"/>
      </w:pPr>
      <w:r w:rsidRPr="00F45650">
        <w:t>30.</w:t>
      </w:r>
      <w:r w:rsidRPr="00F45650">
        <w:tab/>
        <w:t>podkreśla, że należy poprawić współpracę z UE w walce z handlem narkotykami; wzywa BiH do wyznaczenia korespondenta w ramach współpracy z Agencją Unii Europejskiej ds. Narkotyków (EUDA);</w:t>
      </w:r>
    </w:p>
    <w:p w14:paraId="26E9D80C" w14:textId="77777777" w:rsidR="0024749D" w:rsidRPr="00F45650" w:rsidRDefault="0024749D" w:rsidP="0024749D">
      <w:pPr>
        <w:pStyle w:val="NormalHanging12a"/>
      </w:pPr>
      <w:r w:rsidRPr="00F45650">
        <w:t>31.</w:t>
      </w:r>
      <w:r w:rsidRPr="00F45650">
        <w:tab/>
        <w:t>z zadowoleniem przyjmuje nową ustawę o przeciwdziałaniu praniu pieniędzy i finansowaniu terroryzmu oraz wzywa BiH do wzmocnienia środków w tej dziedzinie, w tym do przyjęcia niezbędnych przepisów wykonawczych wymaganych do skutecznego wdrożenia tej ustawy, zwracając przy tym szczególną uwagę na ich skuteczne egzekwowanie i monitorowanie; podkreśla w szczególności potrzebę pełnego dostosowania przepisów dotyczących zwalczania terroryzmu do dorobku prawnego UE i prawa międzynarodowego; wzywa do ustanowienia surowszych sankcji za przestępstwa związane z terroryzmem;</w:t>
      </w:r>
    </w:p>
    <w:p w14:paraId="7411FAAE" w14:textId="77777777" w:rsidR="0024749D" w:rsidRPr="00F45650" w:rsidRDefault="0024749D" w:rsidP="0024749D">
      <w:pPr>
        <w:pStyle w:val="NormalHanging12a"/>
      </w:pPr>
      <w:r w:rsidRPr="00F45650">
        <w:t>32.</w:t>
      </w:r>
      <w:r w:rsidRPr="00F45650">
        <w:tab/>
        <w:t>wyraża zadowolenie z przyjęcia przez BiH ustawy o kontroli granicznej mającej na celu zwiększenie zgodności z normami europejskimi i wzywa do pełnego dostosowania przepisów do polityki wizowej UE w ramach polityki kontrolowanej migracji; podkreśla, że BiH musi zapewnić bezpieczeństwo na swoich granicach oraz współpracować z Fronteksem i krajami sąsiadującymi w celu zapobiegania nielegalnej migracji, przy jednoczesnym zapewnieniu wystarczającego dostępu do procedur azylowych osobom kwalifikującym się do ochrony międzynarodowej;</w:t>
      </w:r>
    </w:p>
    <w:p w14:paraId="70CAD97F" w14:textId="77777777" w:rsidR="0024749D" w:rsidRPr="00F45650" w:rsidRDefault="0024749D" w:rsidP="0024749D">
      <w:pPr>
        <w:pStyle w:val="NormalHanging12a"/>
      </w:pPr>
      <w:r w:rsidRPr="00F45650">
        <w:t>33.</w:t>
      </w:r>
      <w:r w:rsidRPr="00F45650">
        <w:tab/>
        <w:t>podkreśla potrzebę zapewnienia, aby mianowanie członków wyższej kadry policyjnej, zwłaszcza w Straży Granicznej i Państwowej Agencji Dochodzeń i Ochrony, odbywało się na podstawie osiągnięć i w ramach otwartych, znormalizowanych i przejrzystych procedur selekcji;</w:t>
      </w:r>
    </w:p>
    <w:p w14:paraId="3106D9BE" w14:textId="77777777" w:rsidR="0024749D" w:rsidRPr="00F45650" w:rsidRDefault="0024749D" w:rsidP="0024749D">
      <w:pPr>
        <w:pStyle w:val="NormalHanging12a"/>
      </w:pPr>
      <w:r w:rsidRPr="00F45650">
        <w:t>34.</w:t>
      </w:r>
      <w:r w:rsidRPr="00F45650">
        <w:tab/>
        <w:t>przypomina o zapotrzebowaniu na profesjonalną i odpolitycznioną służbę cywilną; z zadowoleniem przyjmuje działania podjęte w ramach reformy administracji publicznej; apeluje o zmniejszenie obciążeń administracyjnych w administracji publicznej; wzywa władze BiH do poprawy zdolności organów publicznych do odpowiedzi na wnioski o udzielenie informacji;</w:t>
      </w:r>
    </w:p>
    <w:p w14:paraId="6EDC2A8F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lastRenderedPageBreak/>
        <w:t>Prawa podstawowe i prawa człowieka</w:t>
      </w:r>
    </w:p>
    <w:p w14:paraId="0F59964E" w14:textId="77777777" w:rsidR="0024749D" w:rsidRPr="00F45650" w:rsidRDefault="0024749D" w:rsidP="0024749D">
      <w:pPr>
        <w:pStyle w:val="NormalHanging12a"/>
      </w:pPr>
      <w:r w:rsidRPr="00F45650">
        <w:t>35.</w:t>
      </w:r>
      <w:r w:rsidRPr="00F45650">
        <w:tab/>
        <w:t>zdecydowanie potępia dyskryminację, przemoc i mowę nienawiści wobec wszystkich mniejszości; apeluje o skuteczne ściganie i stawianie przed sądem sprawców takich czynów; wzywa BiH do wspierania i gwarantowania praw człowieka, niedyskryminacji i ochrony wszystkich mniejszości; wzywa do lepszego wdrażania mechanizmów walki z dyskryminacją w BiH, ze szczególnym uwzględnieniem zwalczania nietolerancji, mowy nienawiści i wszelkich form nierówności; wzywa władze do poprawy dostępu do usług socjalnych, mieszkaniowych, edukacyjnych i zdrowotnych dla wszystkich mniejszości i słabszych grup społecznych; podkreśla znaczenie ochrony ekspresji kulturowej i językowej wszystkich mniejszości w BiH;</w:t>
      </w:r>
    </w:p>
    <w:p w14:paraId="7AE7E69B" w14:textId="77777777" w:rsidR="0024749D" w:rsidRPr="00F45650" w:rsidRDefault="0024749D" w:rsidP="0024749D">
      <w:pPr>
        <w:pStyle w:val="NormalHanging12a"/>
      </w:pPr>
      <w:r w:rsidRPr="00F45650">
        <w:t>36.</w:t>
      </w:r>
      <w:r w:rsidRPr="00F45650">
        <w:tab/>
        <w:t>wyraża głębokie zaniepokojenie gwałtownym wzrostem przemocy – w tym pojawiającymi się formami przemocy cyfrowej – wobec kobiet, dzieci, seniorów i innych słabszych grup społecznych, w tym społeczności LGBTIQ; wzywa władze BiH do dostosowania polityki, ustawodawstwa i praktyk w zakresie przemocy seksualnej i cyfrowej wobec kobiet i dziewcząt do standardów Rady Europy, w szczególności do konwencji stambulskiej, odpowiedniego orzecznictwa ETPC oraz dorobku prawnego UE; apeluje o ukierunkowane wsparcie kluczowych instytucji, szkolenie specjalistów w zakresie udzielania skutecznego wsparcia ofiarom przemocy oraz o zwiększenie świadomości społecznej i zdolności instytucjonalnych w zakresie zapobiegania wszelkim formom przemocy ze względu na płeć i ich zwalczania; podkreśla kluczową rolę stowarzyszeń kobiet w docieraniu do osób najbardziej narażonych; wzywa BiH do ustanowienia oficjalnego scentralizowanego systemu gromadzenia danych na temat kobietobójstwa; z zadowoleniem przyjmuje decyzję rządu Federacji Bośni i Hercegowiny (FBiH) z 9 kwietnia 2025 r. o włączeniu kobietobójstwa do kodeksu karnego i wzywa parlament do pilnego przyjęcia tej nowej ustawy;</w:t>
      </w:r>
    </w:p>
    <w:p w14:paraId="2D86B1F5" w14:textId="77777777" w:rsidR="0024749D" w:rsidRPr="00F45650" w:rsidRDefault="0024749D" w:rsidP="0024749D">
      <w:pPr>
        <w:pStyle w:val="NormalHanging12a"/>
      </w:pPr>
      <w:r w:rsidRPr="00F45650">
        <w:t>37.</w:t>
      </w:r>
      <w:r w:rsidRPr="00F45650">
        <w:tab/>
        <w:t>ubolewa, że plan działania na rzecz równości płci na lata 2023–2027 nie został dotychczas sfinansowany i nie jest monitorowany; wzywa do zwiększenia udziału kobiet w życiu publicznym i politycznym w BiH; dostrzega dodatkowe bariery i dyskryminację, z jakimi borykają się kobiety należące do mniejszości etnicznych, w szczególności w dostępie do usług;</w:t>
      </w:r>
    </w:p>
    <w:p w14:paraId="2365E257" w14:textId="77777777" w:rsidR="0024749D" w:rsidRPr="00F45650" w:rsidRDefault="0024749D" w:rsidP="0024749D">
      <w:pPr>
        <w:pStyle w:val="NormalHanging12a"/>
      </w:pPr>
      <w:r w:rsidRPr="00F45650">
        <w:t>38.</w:t>
      </w:r>
      <w:r w:rsidRPr="00F45650">
        <w:tab/>
        <w:t>potępia przyjęcie przez rząd RS zmian legislacyjnych, które usunęły tożsamość płciową jako cechę chronioną oraz które nie gwarantują już ochrony dzieciom o różnej orientacji seksualnej i tożsamości płciowej;</w:t>
      </w:r>
    </w:p>
    <w:p w14:paraId="16A8F162" w14:textId="77777777" w:rsidR="0024749D" w:rsidRPr="00F45650" w:rsidRDefault="0024749D" w:rsidP="0024749D">
      <w:pPr>
        <w:pStyle w:val="NormalHanging12a"/>
      </w:pPr>
      <w:r w:rsidRPr="00F45650">
        <w:t>39.</w:t>
      </w:r>
      <w:r w:rsidRPr="00F45650">
        <w:tab/>
        <w:t>wzywa właściwe organy BiH do opracowania i przyjęcia oczekującego na zatwierdzenie krajowego planu działania na rzecz ochrony praw dziecka; podkreśla, że ubóstwo i wykluczenie społeczne dotykają wysoki odsetek dzieci w tym kraju, zwłaszcza dzieci z grup szczególnie wrażliwych, w tym Romów, dzieci z niepełnosprawnościami, dzieci w konflikcie z prawem oraz dzieci przemieszczające się; przypomina, że BiH musi wywiązać się ze swoich międzynarodowych zobowiązań, aby żadne dziecko nie zostało pominięte;</w:t>
      </w:r>
    </w:p>
    <w:p w14:paraId="6A4104E8" w14:textId="77777777" w:rsidR="0024749D" w:rsidRDefault="0024749D" w:rsidP="0024749D">
      <w:pPr>
        <w:pStyle w:val="NormalHanging12a"/>
      </w:pPr>
      <w:r w:rsidRPr="00F45650">
        <w:t>40.</w:t>
      </w:r>
      <w:r w:rsidRPr="00F45650">
        <w:tab/>
        <w:t xml:space="preserve">podkreśla znaczenie wysokiej jakości edukacji włączającej, w tym prawa do nauki w języku ojczystym, a także między innymi znaczenie systematycznej reformy programów nauczania prowadzących do podziałów, które poważnie utrudniają mobilność wewnętrzną i ograniczają umiejętności krytycznego myślenia; ponawia apel o położenie kresu segregacji w ramach systemu „dwóch szkół pod jednym dachem”, </w:t>
      </w:r>
      <w:r w:rsidRPr="00F45650">
        <w:lastRenderedPageBreak/>
        <w:t>która utrudnia zapewnienie spójności społecznej i równości szans, i podkreśla, że należy sprzyjać pojednaniu i integracji oraz chronić prawo każdej społeczności narodowej, w tym mniejszości, do własnej kultury, języka i tożsamości; wzywa do przyjęcia wspólnego programu nauczania w podręcznikach historii opartego na ustalonych przez sąd faktach związanych z wojną jako sposobu na uniknięcie historycznego rewizjonizmu i zachęca UE do wsparcia tej inicjatywy;</w:t>
      </w:r>
    </w:p>
    <w:p w14:paraId="731704D3" w14:textId="758F0FA5" w:rsidR="00B62E17" w:rsidRPr="00F45650" w:rsidRDefault="007813A2" w:rsidP="0024749D">
      <w:pPr>
        <w:pStyle w:val="NormalHanging12a"/>
      </w:pPr>
      <w:r>
        <w:t>41</w:t>
      </w:r>
      <w:r w:rsidR="00B62E17" w:rsidRPr="00B62E17">
        <w:t>.</w:t>
      </w:r>
      <w:r w:rsidR="00B62E17" w:rsidRPr="00B62E17">
        <w:tab/>
        <w:t>wzywa instytucje Bośni i Hercegowiny, zgodnie z zaleceniem rzecznika praw człowieka Bośni i Hercegowiny, do przyjęcia przepisów zapewniających skuteczne i równe używanie w komunikacji zewnętrznej z obywatelami wszystkich trzech języków urzędowych, a mianowicie chorwackiego, bośniackiego i serbskiego, a także alfabetu łacińskiego i cyrylicy; podkreśla, że naruszenie prawa do równego używania języka i alfabetu narusza konstytucję Bośni i Hercegowiny, art. 2 Międzynarodowego paktu praw obywatelskich i politycznych oraz art. 14 Konwencji o ochronie praw człowieka i podstawowych wolności;</w:t>
      </w:r>
    </w:p>
    <w:p w14:paraId="5B661CFC" w14:textId="79F7C7D6" w:rsidR="0024749D" w:rsidRPr="00F45650" w:rsidRDefault="007813A2" w:rsidP="0024749D">
      <w:pPr>
        <w:pStyle w:val="NormalHanging12a"/>
      </w:pPr>
      <w:r>
        <w:t>42</w:t>
      </w:r>
      <w:r w:rsidR="0024749D" w:rsidRPr="00F45650">
        <w:t>.</w:t>
      </w:r>
      <w:r w:rsidR="0024749D" w:rsidRPr="00F45650">
        <w:tab/>
        <w:t>wzywa BiH do zagwarantowania wolności zgromadzeń, stowarzyszania się i wypowiedzi, aby umożliwić włączenie społeczeństwa obywatelskiego w kształtowanie polityki; wzywa władze do zapewnienia znaczącego, systematycznego i inkluzywnego procesu konsultacji społecznych; potępia ponowne wprowadzenie przez RS ustawy o „zagranicznych agentach” opartej na wzorcach rosyjskich i wzywa władze do jej uchylenia; potępia stosowanie przez władze RS przepisów karnych dotyczących zniesławienia jako narzędzia ograniczającego wolność wypowiedzi i wzywa je, by ponownie wpisały zniesławienie wyłącznie do domeny prawa cywilnego, aby zapobiec nadużywaniu go w celu ograniczania wolności wypowiedzi; wzywa Komisję do uzależnienia uchylenia tych przepisów od spełnienia rygorystycznych warunków;</w:t>
      </w:r>
    </w:p>
    <w:p w14:paraId="7772CE2E" w14:textId="31BA62A4" w:rsidR="0024749D" w:rsidRPr="00F45650" w:rsidRDefault="007813A2" w:rsidP="0024749D">
      <w:pPr>
        <w:pStyle w:val="NormalHanging12a"/>
      </w:pPr>
      <w:r>
        <w:t>43</w:t>
      </w:r>
      <w:r w:rsidR="0024749D" w:rsidRPr="00F45650">
        <w:t>.</w:t>
      </w:r>
      <w:r w:rsidR="0024749D" w:rsidRPr="00F45650">
        <w:tab/>
        <w:t>zachęca Radę Ministrów BiH do przyjęcia strategii na rzecz rozwoju sprzyjającego środowiska dla społeczeństwa obywatelskiego, zapewniającej jednoznaczne skupienie się na poprawie ram prawnych oraz zapewnieniu bardziej znaczącego i przejrzystego finansowania organizacji społeczeństwa obywatelskiego; wzywa do lepszej ochrony obrońców praw człowieka w BiH, w tym aktywistek, dziennikarek i organizacji pozarządowych;</w:t>
      </w:r>
    </w:p>
    <w:p w14:paraId="0A5CA45D" w14:textId="5666F7D5" w:rsidR="0024749D" w:rsidRPr="00F45650" w:rsidRDefault="007813A2" w:rsidP="0024749D">
      <w:pPr>
        <w:pStyle w:val="NormalHanging12a"/>
      </w:pPr>
      <w:r>
        <w:t>44</w:t>
      </w:r>
      <w:r w:rsidR="0024749D" w:rsidRPr="00F45650">
        <w:t>.</w:t>
      </w:r>
      <w:r w:rsidR="0024749D" w:rsidRPr="00F45650">
        <w:tab/>
        <w:t>podkreśla kluczowe znaczenie niezależnych mediów i poszanowania standardów wolności wypowiedzi; wzywa BiH do zapewnienia stabilności finansowej, podkreślając nagły kryzys finansowy nadawcy publicznego BHRT na szczeblu państwowym, i niezależności politycznej nadawców publicznych oraz Agencji Regulacji Łączności BiH; wzywa BiH do przyjęcia przepisów dotyczących przejrzystości w odniesieniu do własności mediów i publicznego finansowania mediów; wzywa państwo do przyspieszenia przyjęcia ustawy o łączności elektronicznej, zgodnie z aktem o usługach cyfrowych</w:t>
      </w:r>
      <w:r w:rsidR="0024749D" w:rsidRPr="00F45650">
        <w:rPr>
          <w:rStyle w:val="FootnoteReference"/>
        </w:rPr>
        <w:footnoteReference w:id="8"/>
      </w:r>
      <w:r w:rsidR="0024749D" w:rsidRPr="00F45650">
        <w:t xml:space="preserve"> (DSA) i nowym europejskim aktem o wolności mediów</w:t>
      </w:r>
      <w:r w:rsidR="0024749D" w:rsidRPr="00F45650">
        <w:rPr>
          <w:rStyle w:val="FootnoteReference"/>
        </w:rPr>
        <w:footnoteReference w:id="9"/>
      </w:r>
      <w:r w:rsidR="0024749D" w:rsidRPr="00F45650">
        <w:t xml:space="preserve">; apeluje o </w:t>
      </w:r>
      <w:r w:rsidR="0024749D" w:rsidRPr="00F45650">
        <w:lastRenderedPageBreak/>
        <w:t>zapewnienie pluralizmu w mediach publicznych na całym terytorium BiH, w tym równej reprezentacji wszystkich mniejszości; odnotowuje powołanie w FBiH Rady Nadawców Publicznych po 12 latach blokady i wzywa ją do zapewnienia bezstronnych i obiektywnych informacji;</w:t>
      </w:r>
    </w:p>
    <w:p w14:paraId="1F1A3BC2" w14:textId="473E8071" w:rsidR="0024749D" w:rsidRPr="00F45650" w:rsidRDefault="007813A2" w:rsidP="0024749D">
      <w:pPr>
        <w:pStyle w:val="NormalHanging12a"/>
      </w:pPr>
      <w:r>
        <w:t>45</w:t>
      </w:r>
      <w:r w:rsidR="0024749D" w:rsidRPr="00F45650">
        <w:t>.</w:t>
      </w:r>
      <w:r w:rsidR="0024749D" w:rsidRPr="00F45650">
        <w:tab/>
        <w:t>jest poważnie zaniepokojony rosyjską propagandą realizowaną przez nadawcę publicznego RS i ubolewa nad nadawaniem kanału RT (dawniej Russia Today), co stanowi naruszenie sankcji UE;</w:t>
      </w:r>
    </w:p>
    <w:p w14:paraId="4C734F40" w14:textId="43D255A1" w:rsidR="0024749D" w:rsidRPr="00F45650" w:rsidRDefault="007813A2" w:rsidP="0024749D">
      <w:pPr>
        <w:pStyle w:val="NormalHanging12a"/>
      </w:pPr>
      <w:r>
        <w:t>46</w:t>
      </w:r>
      <w:r w:rsidR="0024749D" w:rsidRPr="00F45650">
        <w:t>.</w:t>
      </w:r>
      <w:r w:rsidR="0024749D" w:rsidRPr="00F45650">
        <w:tab/>
        <w:t>potępia naciski polityczne, ataki, zastraszanie, groźby, poniżające uwagi i strategiczne powództwa zmierzające do stłumienia debaty publicznej (SLAPP) przeciwko dziennikarzom i pracownikom mediów, zwłaszcza ze strony polityków wysokiego szczebla lub organizacji działających w ich imieniu oraz podmiotów powiązanych z zagranicą; ubolewa nad brakiem postępów w gwarantowaniu wolności wypowiedzi i w zmianie przepisów prawa karnego w celu wzmocnienia ochrony dziennikarzy przed groźbami i atakami, zgodnie z wymogami UE, oraz wzywa władze do przyjęcia przepisów, które skutecznie chronią dziennikarzy, organizacje pozarządowe, obrońców praw człowieka, działaczy na rzecz ochrony środowiska i inne zainteresowane strony przed powództwami SLAPP; podkreśla znaczenie zapewnienia odpowiednich sądowych działań następczych w przypadkach gróźb i przemocy wobec dziennikarzy;</w:t>
      </w:r>
    </w:p>
    <w:p w14:paraId="7EB438EA" w14:textId="772BCE83" w:rsidR="0024749D" w:rsidRPr="00F45650" w:rsidRDefault="007813A2" w:rsidP="0024749D">
      <w:pPr>
        <w:pStyle w:val="NormalHanging12a"/>
      </w:pPr>
      <w:r>
        <w:t>47</w:t>
      </w:r>
      <w:r w:rsidR="0024749D" w:rsidRPr="00F45650">
        <w:t>.</w:t>
      </w:r>
      <w:r w:rsidR="0024749D" w:rsidRPr="00F45650">
        <w:tab/>
        <w:t>wzywa BiH do zapewnienia i skutecznego egzekwowania odpowiednich przepisów dotyczących ogólnych praw człowieka; wzywa BiH do ścigania przestępstw dyskryminacyjnych;</w:t>
      </w:r>
    </w:p>
    <w:p w14:paraId="62F87413" w14:textId="669E6D4D" w:rsidR="0024749D" w:rsidRPr="00F45650" w:rsidRDefault="007813A2" w:rsidP="0024749D">
      <w:pPr>
        <w:pStyle w:val="NormalHanging12a"/>
      </w:pPr>
      <w:r>
        <w:t>48</w:t>
      </w:r>
      <w:r w:rsidR="0024749D" w:rsidRPr="00F45650">
        <w:t>.</w:t>
      </w:r>
      <w:r w:rsidR="0024749D" w:rsidRPr="00F45650">
        <w:tab/>
        <w:t>przypomina o potrzebie solidarnego i sprawiedliwego zarządzania migracją i azylem, które łączy poszanowanie praw człowieka ze skuteczną kontrolą graniczną; wzywa UE, aby pomogła BiH wziąć pełną odpowiedzialność za zarządzanie ośrodkami recepcyjnymi, które często są położone na granicach z UE, a także zapewnić odpowiednie warunki przyjmowania oraz zagwarantować dostęp do skutecznych i wykonalnych procedur azylowych, przy pełnym poszanowaniu prawa międzynarodowego i praw człowieka; wyraża zaniepokojenie doniesieniami na temat niedostatecznych warunków przyjmowania w finansowanym przez UE ośrodku w Lipie: podkreśla potrzebę zwiększenia przejrzystości i demokratycznej kontroli przy przyznawaniu i wykorzystywaniu funduszy UE w dziedzinie migracji; z zadowoleniem przyjmuje zawarcie umowy o wzmocnionym statusie BiH z Fronteksem i wzywa do jej szybkiego podpisania; przypomina, że wszelkie ewentualne porozumienia z tą agencją powinny być w pełni zgodne z prawami podstawowymi i standardami międzynarodowymi; wzywa BiH do zwiększenia starań w walce z przestępczością transgraniczną, zwłaszcza handlem ludźmi;</w:t>
      </w:r>
    </w:p>
    <w:p w14:paraId="7089DB89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t xml:space="preserve">Pojednanie, współpraca regionalna i stosunki dobrosąsiedzkie </w:t>
      </w:r>
    </w:p>
    <w:p w14:paraId="73B8006A" w14:textId="66D40A99" w:rsidR="0024749D" w:rsidRPr="00F45650" w:rsidRDefault="007813A2" w:rsidP="0024749D">
      <w:pPr>
        <w:pStyle w:val="NormalHanging12a"/>
      </w:pPr>
      <w:r>
        <w:t>49</w:t>
      </w:r>
      <w:r w:rsidR="0024749D" w:rsidRPr="00F45650">
        <w:t>.</w:t>
      </w:r>
      <w:r w:rsidR="0024749D" w:rsidRPr="00F45650">
        <w:tab/>
        <w:t>przypomina, że stosunki dobrosąsiedzkie i współpraca regionalna to zasadnicze elementy procesu rozszerzenia UE;</w:t>
      </w:r>
    </w:p>
    <w:p w14:paraId="74F4E734" w14:textId="6FA77170" w:rsidR="0024749D" w:rsidRPr="00F45650" w:rsidRDefault="007813A2" w:rsidP="0024749D">
      <w:pPr>
        <w:pStyle w:val="NormalHanging12a"/>
      </w:pPr>
      <w:r>
        <w:t>50</w:t>
      </w:r>
      <w:r w:rsidR="0024749D" w:rsidRPr="00F45650">
        <w:t>.</w:t>
      </w:r>
      <w:r w:rsidR="0024749D" w:rsidRPr="00F45650">
        <w:tab/>
        <w:t xml:space="preserve">podkreśla znaczenie pojednania w BiH i wzywa wszystkie organy do aktywnego promowania i zagwarantowania dostępu do prawdy, sprawiedliwości i zadośćuczynienia obejmującego wszystkich, w tym przyjęcia krajowej ustawy określającej minimalne prawa ofiar wojny w całym kraju, a także promowania kultury pamięci kobiet; uznaje, że rozliczalność, a także wzajemny szacunek między </w:t>
      </w:r>
      <w:r w:rsidR="0024749D" w:rsidRPr="00F45650">
        <w:lastRenderedPageBreak/>
        <w:t xml:space="preserve">jednostkami i społecznościami oraz promowanie wzajemnego zrozumienia, zwłaszcza wśród młodych ludzi, mogą mieć pozytywny wpływ na pojednanie; wzywa władze BiH do przyjęcia krajowej strategii sprawiedliwości okresu przejściowego; apeluje o dalsze starania w celu zajęcia się kwestią osób zaginionych; wzywa Komisję do podjęcia dodatkowych wysiłków na rzecz promowania, wspierania i ułatwiania procesów pojednania w BiH; </w:t>
      </w:r>
    </w:p>
    <w:p w14:paraId="7256AA1A" w14:textId="05B7B812" w:rsidR="0024749D" w:rsidRPr="00F45650" w:rsidRDefault="007813A2" w:rsidP="0024749D">
      <w:pPr>
        <w:pStyle w:val="NormalHanging12a"/>
      </w:pPr>
      <w:r>
        <w:t>51</w:t>
      </w:r>
      <w:r w:rsidR="0024749D" w:rsidRPr="00F45650">
        <w:t>.</w:t>
      </w:r>
      <w:r w:rsidR="0024749D" w:rsidRPr="00F45650">
        <w:tab/>
        <w:t>wzywa władze BiH do przyspieszenia ścigania zbrodni wojennych zgodnie ze zmienioną strategią państwową w zakresie ścigania zbrodni wojennych; podkreśla znaczenie zacieśnienia współpracy regionalnej poprzez ekstradycję podejrzanych, a także współpracy między organami sądowymi i wymiany informacji we wszystkich istotnych formalnych aspektach dotyczących ścigania; zachęca władze BiH do dostosowania ustawodawstwa w celu zapewnienia wszystkim ofiarom zbrodni wojennych równego dostępu do praw i ochrony;</w:t>
      </w:r>
    </w:p>
    <w:p w14:paraId="01C89D29" w14:textId="741D510B" w:rsidR="0024749D" w:rsidRPr="00F45650" w:rsidRDefault="007813A2" w:rsidP="0024749D">
      <w:pPr>
        <w:pStyle w:val="NormalHanging12a"/>
      </w:pPr>
      <w:r>
        <w:t>52</w:t>
      </w:r>
      <w:r w:rsidR="0024749D" w:rsidRPr="00F45650">
        <w:t>.</w:t>
      </w:r>
      <w:r w:rsidR="0024749D" w:rsidRPr="00F45650">
        <w:tab/>
        <w:t>uznaje niezwykle ważną rolę, jaką odgrywa Międzynarodowa Komisja ds. Osób Zaginionych, w tym poprzez zapewnienie zdolności instytucjonalnych, wspieranie rodzin i dostarczanie dowodów sądom; wzywa UE do zapewnienia Międzynarodowej Komisji ds. Osób Zaginionych dostępu do wystarczających środków finansowych na kontynuację jej działalności;</w:t>
      </w:r>
    </w:p>
    <w:p w14:paraId="0841EF29" w14:textId="23BB1047" w:rsidR="0024749D" w:rsidRPr="00F45650" w:rsidRDefault="007813A2" w:rsidP="0024749D">
      <w:pPr>
        <w:pStyle w:val="NormalHanging12a"/>
      </w:pPr>
      <w:r>
        <w:t>53</w:t>
      </w:r>
      <w:r w:rsidR="0024749D" w:rsidRPr="00F45650">
        <w:t>.</w:t>
      </w:r>
      <w:r w:rsidR="0024749D" w:rsidRPr="00F45650">
        <w:tab/>
        <w:t>ponownie apeluje o wdrożenie dodatkowych środków i konkretnych programów ukierunkowanych na trwały powrót uchodźców i osób wewnętrznie przesiedlonych, zapewnienie im dostępu do opieki zdrowotnej, zatrudnienia, opieki społecznej i nauki oraz pełnego poszanowania wszystkich ich praw do odszkodowania za niemożliwą do zwrócenia własność;</w:t>
      </w:r>
    </w:p>
    <w:p w14:paraId="6480B363" w14:textId="5A6C423E" w:rsidR="0024749D" w:rsidRPr="00F45650" w:rsidRDefault="007813A2" w:rsidP="0024749D">
      <w:pPr>
        <w:pStyle w:val="NormalHanging12a"/>
      </w:pPr>
      <w:r>
        <w:t>54</w:t>
      </w:r>
      <w:r w:rsidR="0024749D" w:rsidRPr="00F45650">
        <w:t>.</w:t>
      </w:r>
      <w:r w:rsidR="0024749D" w:rsidRPr="00F45650">
        <w:tab/>
        <w:t>potępia wszelkie formy rewizjonizmu historycznego, zaprzeczania ludobójstwu, irredentyzmu, gloryfikacji zbrodni i zbrodniarzy wojennych oraz kwestionowania faktów lub niezależności i bezstronności międzynarodowych i krajowych trybunałów, zwłaszcza przez przywódców politycznych;</w:t>
      </w:r>
    </w:p>
    <w:p w14:paraId="386ED657" w14:textId="0636252F" w:rsidR="0024749D" w:rsidRPr="00F45650" w:rsidRDefault="007813A2" w:rsidP="0024749D">
      <w:pPr>
        <w:pStyle w:val="NormalHanging12a"/>
      </w:pPr>
      <w:r>
        <w:t>55</w:t>
      </w:r>
      <w:r w:rsidR="0024749D" w:rsidRPr="00F45650">
        <w:t>.</w:t>
      </w:r>
      <w:r w:rsidR="0024749D" w:rsidRPr="00F45650">
        <w:tab/>
        <w:t xml:space="preserve">wyraża zaniepokojenie przyjęciem „Deklaracji w sprawie ochrony praw narodowych i politycznych oraz wspólnej przyszłości narodu serbskiego”, która narusza szereg aspektów porozumienia pokojowego z Dayton i podważa suwerenność, integralność terytorialną i jedność BiH; zauważa, że idee „serbskiego świata” są niezgodne z dążeniami do przystąpienia do UE; wzywa Serbię do konstruktywnego zaangażowania na rzecz stabilności i integralności terytorialnej BiH oraz do aktywnego wspierania ścieżki przystąpienia BiH do UE; </w:t>
      </w:r>
    </w:p>
    <w:p w14:paraId="0F219C0E" w14:textId="663D3BB0" w:rsidR="0024749D" w:rsidRPr="00F45650" w:rsidRDefault="007813A2" w:rsidP="0024749D">
      <w:pPr>
        <w:pStyle w:val="NormalHanging12a"/>
      </w:pPr>
      <w:r>
        <w:t>56</w:t>
      </w:r>
      <w:r w:rsidR="0024749D" w:rsidRPr="00F45650">
        <w:t>.</w:t>
      </w:r>
      <w:r w:rsidR="0024749D" w:rsidRPr="00F45650">
        <w:tab/>
        <w:t>podkreśla znaczenie dyplomacji prewencyjnej w BiH; wzywa ESDZ do wzmocnienia rozwoju umiejętności swoich pracowników, tak aby UE lepiej rozumiała lokalny kontekst historyczny, kulturowy i religijny, jak podkreślono w sprawozdaniu w sprawie roli dyplomacji prewencyjnej przyjętym przez Parlament w styczniu 2024 r.;</w:t>
      </w:r>
    </w:p>
    <w:p w14:paraId="176C6D66" w14:textId="5627B0F1" w:rsidR="0024749D" w:rsidRPr="00F45650" w:rsidRDefault="007813A2" w:rsidP="0024749D">
      <w:pPr>
        <w:pStyle w:val="NormalHanging12a"/>
      </w:pPr>
      <w:r>
        <w:t>57</w:t>
      </w:r>
      <w:r w:rsidR="0024749D" w:rsidRPr="00F45650">
        <w:t>.</w:t>
      </w:r>
      <w:r w:rsidR="0024749D" w:rsidRPr="00F45650">
        <w:tab/>
        <w:t>z zadowoleniem przyjmuje decyzję Zgromadzenia Ogólnego ONZ o ustanowieniu 11 lipca Międzynarodowym Dniem Refleksji i Upamiętnienia Ludobójstwa w Srebrenicy w 1995 r.; wzywa władze do zapewnienia bezpieczeństwa w Centrum Pamięci w Srebrenicy-Potočari; podkreśla, że Centrum Pamięci musiało zostać tymczasowo zamknięte ze względu na obawy dotyczące bezpieczeństwa;</w:t>
      </w:r>
    </w:p>
    <w:p w14:paraId="35ADB141" w14:textId="4BBBFDDE" w:rsidR="0024749D" w:rsidRPr="00F45650" w:rsidRDefault="007813A2" w:rsidP="0024749D">
      <w:pPr>
        <w:pStyle w:val="NormalHanging12a"/>
      </w:pPr>
      <w:r>
        <w:lastRenderedPageBreak/>
        <w:t>58</w:t>
      </w:r>
      <w:r w:rsidR="0024749D" w:rsidRPr="00F45650">
        <w:t>.</w:t>
      </w:r>
      <w:r w:rsidR="0024749D" w:rsidRPr="00F45650">
        <w:tab/>
        <w:t>podkreśla, że współpraca regionalna za pośrednictwem wspólnego rynku regionalnego jest korzystnym czynnikiem sprzyjającym promowaniu wzrostu gospodarczego; wzywa BiH do szybkiej ratyfikacji wszystkich regionalnych porozumień w sprawie mobilności w ramach procesu berlińskiego oraz do dalszego wzmacniania współpracy gospodarczej poprzez ten rynek, zgodnie z celami rozszerzenia UE;</w:t>
      </w:r>
    </w:p>
    <w:p w14:paraId="6375E43A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t>Reformy społeczno-gospodarcze</w:t>
      </w:r>
    </w:p>
    <w:p w14:paraId="3CC16833" w14:textId="58522596" w:rsidR="0024749D" w:rsidRPr="00F45650" w:rsidRDefault="007813A2" w:rsidP="0024749D">
      <w:pPr>
        <w:pStyle w:val="NormalHanging12a"/>
      </w:pPr>
      <w:r>
        <w:t>59</w:t>
      </w:r>
      <w:r w:rsidR="0024749D" w:rsidRPr="00F45650">
        <w:t>.</w:t>
      </w:r>
      <w:r w:rsidR="0024749D" w:rsidRPr="00F45650">
        <w:tab/>
        <w:t xml:space="preserve">z zadowoleniem przyjmuje plan wzrostu gospodarczego dla Bałkanów Zachodnich obejmujący Instrument Wsparcia Reform i Wzrostu Gospodarczego na Bałkanach Zachodnich, w którym dla BiH przewidziano wstępnie ponad 1 mld EUR; </w:t>
      </w:r>
      <w:r w:rsidR="00B62E17" w:rsidRPr="00B62E17">
        <w:t xml:space="preserve">z zadowoleniem przyjmuje przyjęcie przez Radę Ministrów Bośni i Hercegowiny projektu programu reform; wzywa właściwe organy Bośni i Hercegowiny do zapewnienia szybkiego przyjęcia </w:t>
      </w:r>
      <w:r w:rsidR="0024749D" w:rsidRPr="00F45650">
        <w:t xml:space="preserve"> programu reform, tak aby uniknąć podziału tych środków finansowych między pozostałe kraje Bałkanów Zachodnich, a także by ustanowiły solidny mechanizm przejrzystego, inkluzywnego i terminowego monitorowania jego wdrażania; podkreśla potrzebę priorytetowego traktowania kluczowych obszarów, takich jak administracja publiczna, praworządność, zwalczanie korupcji, dekarbonizacja, cyfryzacja, łączność i rozwój kapitału ludzkiego, przy jednoczesnym uwzględnieniu wyzwań społecznych; uważa, że wykorzystanie możliwości planu wzrostu gospodarczego przyczyniłoby się do ożywienia gospodarki BiH; wzywa Komisję do zbadania możliwości współpracy z chętnymi i zaangażowanymi władzami regionalnymi, aby w bardziej elastyczny sposób wykorzystać Instrument Wsparcia Reform i Wzrostu Gospodarczego;</w:t>
      </w:r>
    </w:p>
    <w:p w14:paraId="62C75247" w14:textId="6278DD62" w:rsidR="0024749D" w:rsidRPr="00F45650" w:rsidRDefault="007813A2" w:rsidP="0024749D">
      <w:pPr>
        <w:pStyle w:val="NormalHanging12a"/>
      </w:pPr>
      <w:r>
        <w:t>60</w:t>
      </w:r>
      <w:r w:rsidR="0024749D" w:rsidRPr="00F45650">
        <w:t>.</w:t>
      </w:r>
      <w:r w:rsidR="0024749D" w:rsidRPr="00F45650">
        <w:tab/>
        <w:t>przypomina, że finansowanie przez UE projektów w RS powinno pozostać wstrzymane, dopóki RS nie odwróci regresu demokracji i nie dostosuje się w pełni do WPZiB;</w:t>
      </w:r>
    </w:p>
    <w:p w14:paraId="13AC6143" w14:textId="51D1D609" w:rsidR="0024749D" w:rsidRPr="00F45650" w:rsidRDefault="007813A2" w:rsidP="0024749D">
      <w:pPr>
        <w:pStyle w:val="NormalHanging12a"/>
      </w:pPr>
      <w:r>
        <w:t>61</w:t>
      </w:r>
      <w:r w:rsidR="0024749D" w:rsidRPr="00F45650">
        <w:t>.</w:t>
      </w:r>
      <w:r w:rsidR="0024749D" w:rsidRPr="00F45650">
        <w:tab/>
        <w:t>zachęca BiH do jak najlepszego wykorzystania całego wsparcia finansowego UE; wzywa Komisję do kontynuowania finansowego i technicznego wsparcia na rzecz integracji BiH z UE w oparciu o jasno określone warunki i ścisłe monitorowanie wydatków i wyników, zgodnie z celami UE w zakresie skutecznego i odpowiedzialnego zarządzania budżetem; uważa, że fundusze UE powinny lepiej wspierać demokratyczne reformy w tym kraju; wzywa w tym kontekście do przeprogramowania odpowiednich funduszy UE w celu przekierowania większej części środków na wsparcie pomocy technicznej w absorpcji funduszy, reformy sądownictwa i środki antykorupcyjne; apeluje ponadto do UE i krajów Bałkanów Zachodnich o ustanowienie ram owocnej współpracy z Prokuraturą Europejską (EPPO), tak by umożliwić EPPO skuteczne wykonywanie jej kompetencji w krajach przystępujących; zachęca BiH do szybkiego zawarcia dwustronnych porozumień roboczych z EPPO;</w:t>
      </w:r>
    </w:p>
    <w:p w14:paraId="571BF74B" w14:textId="7A0D0483" w:rsidR="0024749D" w:rsidRPr="00F45650" w:rsidRDefault="007813A2" w:rsidP="0024749D">
      <w:pPr>
        <w:pStyle w:val="NormalHanging12a"/>
      </w:pPr>
      <w:r>
        <w:t>62</w:t>
      </w:r>
      <w:r w:rsidR="0024749D" w:rsidRPr="00F45650">
        <w:t>.</w:t>
      </w:r>
      <w:r w:rsidR="0024749D" w:rsidRPr="00F45650">
        <w:tab/>
        <w:t>ubolewa, że zrównoważona poprawa i postęp w tej dziedzinie są również utrudnione z powodu struktury zarządzania i braku ogólnokrajowych strategii we wszystkich obszarach i na wszystkich szczeblach; wzywa do szybkiego powołania koordynatora IPA III i apeluje o lepszą absorpcję funduszy IPA III w BiH, w tym na szczeblu lokalnym i regionalnym; apeluje o wzmocnienie zdolności władz lokalnych i regionalnych do wdrażania reform społeczno-gospodarczych i zarządzania projektami współfinansowanymi ze środków UE, aby zwiększyć absorpcję funduszy i zmniejszyć nierówności regionalne;</w:t>
      </w:r>
    </w:p>
    <w:p w14:paraId="66EADBAD" w14:textId="60730F59" w:rsidR="0024749D" w:rsidRPr="00F45650" w:rsidRDefault="007813A2" w:rsidP="0024749D">
      <w:pPr>
        <w:pStyle w:val="NormalHanging12a"/>
      </w:pPr>
      <w:r>
        <w:lastRenderedPageBreak/>
        <w:t>63</w:t>
      </w:r>
      <w:r w:rsidR="0024749D" w:rsidRPr="00F45650">
        <w:t>.</w:t>
      </w:r>
      <w:r w:rsidR="0024749D" w:rsidRPr="00F45650">
        <w:tab/>
        <w:t>wzywa BiH do priorytetowego traktowania środków mających na celu poprawę konkurencyjności i otoczenia biznesowego, przy jednoczesnym zwiększeniu spójności gospodarczej i społecznej, w tym postępy w kierunku Europejskiego filaru praw socjalnych, zwiększenie dywersyfikacji gospodarczej, promowanie transformacji cyfrowej i ekologicznej oraz rozwiązanie problemu gospodarki nieformalnej i problemu bezrobocia;</w:t>
      </w:r>
    </w:p>
    <w:p w14:paraId="5AFA571C" w14:textId="3920A99E" w:rsidR="0024749D" w:rsidRPr="00F45650" w:rsidRDefault="007813A2" w:rsidP="0024749D">
      <w:pPr>
        <w:pStyle w:val="NormalHanging12a"/>
      </w:pPr>
      <w:r>
        <w:t>64</w:t>
      </w:r>
      <w:r w:rsidR="0024749D" w:rsidRPr="00F45650">
        <w:t>.</w:t>
      </w:r>
      <w:r w:rsidR="0024749D" w:rsidRPr="00F45650">
        <w:tab/>
        <w:t>wyraża zaniepokojenie niezwykle negatywnymi tendencjami demograficznymi w tym kraju, spowodowanymi w szczególności przez masową emigrację młodych ludzi, i podkreśla znaczenie pilnego przyjęcia dodatkowych środków w celu sprostania temu wyzwaniu; wzywa do skoncentrowania się na młodzieży będącej siłą napędową integracji z UE w kraju; wzywa BiH do sfinalizowania i przyjęcia gwarancji dla młodzieży w celu poprawy dostępu młodych ludzi do zatrudnienia, edukacji, szkoleń i praktyk zawodowych, aby zaradzić wysokiemu bezrobociu młodzieży i niedopasowaniu umiejętności oraz promować włączenie społeczne;</w:t>
      </w:r>
    </w:p>
    <w:p w14:paraId="50ECB027" w14:textId="3517D589" w:rsidR="0024749D" w:rsidRPr="00F45650" w:rsidRDefault="007813A2" w:rsidP="0024749D">
      <w:pPr>
        <w:pStyle w:val="NormalHanging12a"/>
      </w:pPr>
      <w:r>
        <w:t>65</w:t>
      </w:r>
      <w:r w:rsidR="0024749D" w:rsidRPr="00F45650">
        <w:t>.</w:t>
      </w:r>
      <w:r w:rsidR="0024749D" w:rsidRPr="00F45650">
        <w:tab/>
        <w:t>zachęca instytucje UE do współpracy ze społeczeństwem obywatelskim i ekspertami w celu umożliwienia elastycznej i mobilnej ochrony zdrowotnej i socjalnej, tak aby zapewnić równość i mobilność w BiH;</w:t>
      </w:r>
    </w:p>
    <w:p w14:paraId="232E9FFC" w14:textId="6E67B904" w:rsidR="0024749D" w:rsidRPr="00F45650" w:rsidRDefault="007813A2" w:rsidP="0024749D">
      <w:pPr>
        <w:pStyle w:val="NormalHanging12a"/>
      </w:pPr>
      <w:r>
        <w:t>66</w:t>
      </w:r>
      <w:r w:rsidR="0024749D" w:rsidRPr="00F45650">
        <w:t>.</w:t>
      </w:r>
      <w:r w:rsidR="0024749D" w:rsidRPr="00F45650">
        <w:tab/>
        <w:t>z zadowoleniem przyjmuje apele o szybką integrację wszystkich krajów Bałkanów Zachodnich z jednolitym rynkiem cyfrowym UE przed faktycznym członkostwem w UE, co byłoby niezwykle korzystne dla stworzenia środowiska bezpiecznego pod względem cyfrowym;</w:t>
      </w:r>
    </w:p>
    <w:p w14:paraId="4EBC5BE4" w14:textId="77777777" w:rsidR="0024749D" w:rsidRPr="00F45650" w:rsidRDefault="0024749D" w:rsidP="0024749D">
      <w:pPr>
        <w:pStyle w:val="Normal12a24b"/>
      </w:pPr>
      <w:r w:rsidRPr="00F45650">
        <w:rPr>
          <w:rStyle w:val="BoldItalic"/>
        </w:rPr>
        <w:t>Energia, środowisko, różnorodność biologiczna, zrównoważony rozwój i łączność</w:t>
      </w:r>
    </w:p>
    <w:p w14:paraId="2B1E0F66" w14:textId="1C31BCE6" w:rsidR="0024749D" w:rsidRPr="00F45650" w:rsidRDefault="007813A2" w:rsidP="0024749D">
      <w:pPr>
        <w:pStyle w:val="NormalHanging12a"/>
      </w:pPr>
      <w:r>
        <w:t>67</w:t>
      </w:r>
      <w:r w:rsidR="0024749D" w:rsidRPr="00F45650">
        <w:t>.</w:t>
      </w:r>
      <w:r w:rsidR="0024749D" w:rsidRPr="00F45650">
        <w:tab/>
        <w:t>zachęca BiH do przyspieszenia dywersyfikacji źródeł energii, w szczególności do uniezależnienia się od gazu z Rosji; wzywa BiH do zwiększenia bezpieczeństwa energetycznego i wydajności energetycznej poprzez wzmocnienie sieci przesyłu i dystrybucji energii elektrycznej, połączenia z rynkiem europejskim i przejścia na odnawialne źródła energii, w szczególności energię słoneczną i wiatrową, przy jednoczesnym zapewnieniu wnikliwych konsultacji społecznych i skutecznych zabezpieczeń środowiskowych;</w:t>
      </w:r>
    </w:p>
    <w:p w14:paraId="3B41802A" w14:textId="3B289381" w:rsidR="0024749D" w:rsidRPr="00F45650" w:rsidRDefault="007813A2" w:rsidP="0024749D">
      <w:pPr>
        <w:pStyle w:val="NormalHanging12a"/>
      </w:pPr>
      <w:r>
        <w:t>68</w:t>
      </w:r>
      <w:r w:rsidR="0024749D" w:rsidRPr="00F45650">
        <w:t>.</w:t>
      </w:r>
      <w:r w:rsidR="0024749D" w:rsidRPr="00F45650">
        <w:tab/>
        <w:t>wzywa BiH do przyjęcia od dawna oczekiwanego krajowego planu w dziedzinie energii i klimatu oraz wdrożenia ogólnokrajowych strategii ochrony środowiska, w tym poprzez prawną ochronę terenów zgłoszonych do sieci Emerald, poprawę adekwatności sieci Emerald oraz zapewnienie pełnego wdrożenia dyrektywy siedliskowej</w:t>
      </w:r>
      <w:r w:rsidR="0024749D" w:rsidRPr="00F45650">
        <w:rPr>
          <w:rStyle w:val="FootnoteReference"/>
        </w:rPr>
        <w:footnoteReference w:id="10"/>
      </w:r>
      <w:r w:rsidR="0024749D" w:rsidRPr="00F45650">
        <w:t>, dyrektywy ptasiej</w:t>
      </w:r>
      <w:r w:rsidR="0024749D" w:rsidRPr="00F45650">
        <w:rPr>
          <w:rStyle w:val="FootnoteReference"/>
        </w:rPr>
        <w:footnoteReference w:id="11"/>
      </w:r>
      <w:r w:rsidR="0024749D" w:rsidRPr="00F45650">
        <w:t xml:space="preserve"> i ramowej dyrektywy wodnej</w:t>
      </w:r>
      <w:r w:rsidR="0024749D" w:rsidRPr="00F45650">
        <w:rPr>
          <w:rStyle w:val="FootnoteReference"/>
        </w:rPr>
        <w:footnoteReference w:id="12"/>
      </w:r>
      <w:r w:rsidR="0024749D" w:rsidRPr="00F45650">
        <w:t xml:space="preserve">, przy jednoczesnej poprawie jakości i przejrzystości inwestycji środowiskowych; podkreśla potrzebę skutecznej ochrony i </w:t>
      </w:r>
      <w:r w:rsidR="0024749D" w:rsidRPr="00F45650">
        <w:lastRenderedPageBreak/>
        <w:t>poprawy jakości powietrza i wody oraz skutecznych, proporcjonalnych i odstraszających sankcji za naruszenia prawa ochrony środowiska; zauważa, że postępy w dziedzinie ochrony środowiska i klimatu, a także dostosowanie do norm UE są nadal ograniczone, i w związku z tym wzywa władze BiH, by zadbały o większe dostosowanie do norm i celów politycznych UE w zakresie ochrony klimatu i energii zgodnie z Zielonym programem działań na 2020 r. i porozumieniem paryskim;</w:t>
      </w:r>
    </w:p>
    <w:p w14:paraId="5ADEA95E" w14:textId="1EAF8E70" w:rsidR="0024749D" w:rsidRPr="00F45650" w:rsidRDefault="007813A2" w:rsidP="0024749D">
      <w:pPr>
        <w:pStyle w:val="NormalHanging12a"/>
      </w:pPr>
      <w:r>
        <w:t>69</w:t>
      </w:r>
      <w:r w:rsidR="0024749D" w:rsidRPr="00F45650">
        <w:t>.</w:t>
      </w:r>
      <w:r w:rsidR="0024749D" w:rsidRPr="00F45650">
        <w:tab/>
        <w:t>wzywa władze BiH, by ograniczyły transgraniczne zanieczyszczenie powietrza, zwłaszcza pochodzące z rafinerii ropy naftowej w Bosanskim Brodzie; przypomina, że BiH jest sygnatariuszem Konwencji o ocenach oddziaływania na środowisko w kontekście transgranicznym (konwencja z Espoo z 1991 r.) i jest związana jej zobowiązaniami;</w:t>
      </w:r>
    </w:p>
    <w:p w14:paraId="2B145A62" w14:textId="4FF8189B" w:rsidR="0024749D" w:rsidRPr="00F45650" w:rsidRDefault="007813A2" w:rsidP="0024749D">
      <w:pPr>
        <w:pStyle w:val="NormalHanging12a"/>
      </w:pPr>
      <w:r>
        <w:t>70</w:t>
      </w:r>
      <w:r w:rsidR="0024749D" w:rsidRPr="00F45650">
        <w:t>.</w:t>
      </w:r>
      <w:r w:rsidR="0024749D" w:rsidRPr="00F45650">
        <w:tab/>
        <w:t>podkreśla potrzebę poprawy kompleksowych strategicznych ocen oddziaływania na środowisko ex ante przy znaczącym udziale społeczności lokalnych, organizacji społeczeństwa obywatelskiego i niezależnych ekspertów; podkreśla potrzebę zwiększenia przejrzystości procedur dotyczących projektów infrastrukturalnych w sektorach wrażliwych pod względem ekologicznym; podkreśla znaczenie większego uwzględniania kwestii środowiskowych w poszczególnych politykach sektorowych;</w:t>
      </w:r>
    </w:p>
    <w:p w14:paraId="46DC3645" w14:textId="7BD4DBCE" w:rsidR="0024749D" w:rsidRPr="00F45650" w:rsidRDefault="007813A2" w:rsidP="0024749D">
      <w:pPr>
        <w:pStyle w:val="NormalHanging12a"/>
      </w:pPr>
      <w:r>
        <w:t>71</w:t>
      </w:r>
      <w:r w:rsidR="0024749D" w:rsidRPr="00F45650">
        <w:t>.</w:t>
      </w:r>
      <w:r w:rsidR="0024749D" w:rsidRPr="00F45650">
        <w:tab/>
        <w:t xml:space="preserve">wzywa BiH do wdrożenia środków mających na celu ochronę różnorodności biologicznej i integralności ekologicznej rzek zgodnie z konwencją z Espoo; </w:t>
      </w:r>
    </w:p>
    <w:p w14:paraId="091AD8A6" w14:textId="30016473" w:rsidR="0024749D" w:rsidRPr="00F45650" w:rsidRDefault="007813A2" w:rsidP="0024749D">
      <w:pPr>
        <w:pStyle w:val="NormalHanging12a"/>
      </w:pPr>
      <w:r>
        <w:t>72</w:t>
      </w:r>
      <w:r w:rsidR="0024749D" w:rsidRPr="00F45650">
        <w:t>.</w:t>
      </w:r>
      <w:r w:rsidR="0024749D" w:rsidRPr="00F45650">
        <w:tab/>
        <w:t>wyraża głębokie zaniepokojenie szkodliwym wpływem działalności górniczej, w tym prowadzonej przez przedsiębiorstwa zagraniczne, na środowisko naturalne w BiH i zdrowie jej obywateli; wzywa wszystkie podmioty wydobywcze działające w BiH do pełnego przestrzegania przepisów krajowych oraz do priorytetowego traktowania ochrony środowiska i zdrowia publicznego;</w:t>
      </w:r>
    </w:p>
    <w:p w14:paraId="65F61B24" w14:textId="407757EF" w:rsidR="0024749D" w:rsidRPr="00F45650" w:rsidRDefault="007813A2" w:rsidP="0024749D">
      <w:pPr>
        <w:pStyle w:val="NormalHanging12a"/>
      </w:pPr>
      <w:r>
        <w:t>73</w:t>
      </w:r>
      <w:r w:rsidR="0024749D" w:rsidRPr="00F45650">
        <w:t>.</w:t>
      </w:r>
      <w:r w:rsidR="0024749D" w:rsidRPr="00F45650">
        <w:tab/>
        <w:t>podkreśla pilną potrzebę przyjęcia przez FBiH sprawiedliwej, nowoczesnej i opartej na wiedzy eksperckiej ustawy o lasach; ponownie apeluje o lepszą ochronę lasów i rzek poprzez poprawę nadzoru nad inspekcjami oraz stworzenie rygorystycznych ram prawnych zgodnie z normami środowiskowymi i systemowymi; wzywa do zniesienia przepisu odpowiedniego rozporządzenia w FBiH, który zezwala na odprowadzanie ścieków do rzek przy minimalnym nadzorze, co stanowi poważne zagrożenie dla zdrowia publicznego i środowiska;</w:t>
      </w:r>
    </w:p>
    <w:p w14:paraId="2D7C0ED1" w14:textId="3D754297" w:rsidR="0024749D" w:rsidRPr="00F45650" w:rsidRDefault="007813A2" w:rsidP="0024749D">
      <w:pPr>
        <w:pStyle w:val="NormalHanging12a"/>
      </w:pPr>
      <w:r>
        <w:t>74</w:t>
      </w:r>
      <w:r w:rsidR="0024749D" w:rsidRPr="00F45650">
        <w:t xml:space="preserve">. </w:t>
      </w:r>
      <w:r w:rsidR="0024749D" w:rsidRPr="00F45650">
        <w:tab/>
        <w:t>wzywa BiH do pilnego sfinalizowania i przyjęcia prawnego uznania Livanjsko Polje za obszar chronionego krajobrazu kategorii V, aby zapewnić odpowiednie monitorowanie;</w:t>
      </w:r>
    </w:p>
    <w:p w14:paraId="0B51407F" w14:textId="568881BB" w:rsidR="0024749D" w:rsidRPr="00F45650" w:rsidRDefault="007813A2" w:rsidP="0024749D">
      <w:pPr>
        <w:pStyle w:val="NormalHanging12a"/>
      </w:pPr>
      <w:r>
        <w:t>75</w:t>
      </w:r>
      <w:r w:rsidR="0024749D" w:rsidRPr="00F45650">
        <w:t>.</w:t>
      </w:r>
      <w:r w:rsidR="0024749D" w:rsidRPr="00F45650">
        <w:tab/>
        <w:t>solidaryzuje się z BiH i wszystkimi ofiarami niszczycielskich powodzi i osunięć ziemi w dniach 3–4 października 2024 r.; wzywa władze FBiH do zwiększenia wsparcia dla osób poszkodowanych oraz do zapewnienia, że wszelkie niedociągnięcia w egzekwowaniu prawa i gospodarce leśnej, które mogły przyczynić się do pogłębienia skutków klęski, zostaną usunięte;</w:t>
      </w:r>
    </w:p>
    <w:p w14:paraId="4723F013" w14:textId="77777777" w:rsidR="0024749D" w:rsidRPr="00F45650" w:rsidRDefault="0024749D" w:rsidP="0024749D">
      <w:pPr>
        <w:pStyle w:val="NormalCenter12a"/>
      </w:pPr>
      <w:r w:rsidRPr="00F45650">
        <w:t>°</w:t>
      </w:r>
    </w:p>
    <w:p w14:paraId="48BDDB9F" w14:textId="77777777" w:rsidR="0024749D" w:rsidRPr="00F45650" w:rsidRDefault="0024749D" w:rsidP="0024749D">
      <w:pPr>
        <w:pStyle w:val="NormalCenter12a"/>
      </w:pPr>
      <w:r w:rsidRPr="00F45650">
        <w:t>°</w:t>
      </w:r>
      <w:r w:rsidRPr="00F45650">
        <w:tab/>
        <w:t>°</w:t>
      </w:r>
    </w:p>
    <w:p w14:paraId="369F50FB" w14:textId="4DE5CBD5" w:rsidR="00E365E1" w:rsidRPr="00F45650" w:rsidRDefault="007813A2" w:rsidP="004A56F3">
      <w:pPr>
        <w:pStyle w:val="NormalHanging12a"/>
      </w:pPr>
      <w:r>
        <w:t>76</w:t>
      </w:r>
      <w:r w:rsidR="0024749D" w:rsidRPr="00F45650">
        <w:t>.</w:t>
      </w:r>
      <w:r w:rsidR="0024749D" w:rsidRPr="00F45650">
        <w:tab/>
        <w:t xml:space="preserve">zobowiązuje swoją przewodniczącą do przekazania niniejszej rezolucji wiceprzewodniczącej Komisji / wysokiej przedstawicielce Unii do spraw zagranicznych </w:t>
      </w:r>
      <w:r w:rsidR="0024749D" w:rsidRPr="00F45650">
        <w:lastRenderedPageBreak/>
        <w:t>i polityki bezpieczeństwa, Radzie, Komisji, Prezydium, Radzie Ministrów i Zgromadzeniu Parlamentarnemu Bośni i Hercegowiny, a także rządom i parlamentom Federacji Bośni i Hercegowiny oraz Republiki Serbskiej i Dystryktu Brczko, a także Biuru Wysokiego Przedstawiciela.</w:t>
      </w:r>
    </w:p>
    <w:sectPr w:rsidR="00E365E1" w:rsidRPr="00F45650" w:rsidSect="00F456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C4A7D" w14:textId="77777777" w:rsidR="00BC313E" w:rsidRPr="00F45650" w:rsidRDefault="00BC313E">
      <w:r w:rsidRPr="00F45650">
        <w:separator/>
      </w:r>
    </w:p>
  </w:endnote>
  <w:endnote w:type="continuationSeparator" w:id="0">
    <w:p w14:paraId="6ADE2893" w14:textId="77777777" w:rsidR="00BC313E" w:rsidRPr="00F45650" w:rsidRDefault="00BC313E">
      <w:r w:rsidRPr="00F456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01BAB" w14:textId="77777777" w:rsidR="00064002" w:rsidRPr="00F456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8DE2B" w14:textId="77777777" w:rsidR="00064002" w:rsidRPr="00F456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6A35" w14:textId="77777777" w:rsidR="00064002" w:rsidRPr="00F456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B92CB" w14:textId="77777777" w:rsidR="00BC313E" w:rsidRPr="00F45650" w:rsidRDefault="00BC313E">
      <w:r w:rsidRPr="00F45650">
        <w:separator/>
      </w:r>
    </w:p>
  </w:footnote>
  <w:footnote w:type="continuationSeparator" w:id="0">
    <w:p w14:paraId="5CAE1D2B" w14:textId="77777777" w:rsidR="00BC313E" w:rsidRPr="00F45650" w:rsidRDefault="00BC313E">
      <w:r w:rsidRPr="00F45650">
        <w:continuationSeparator/>
      </w:r>
    </w:p>
  </w:footnote>
  <w:footnote w:id="1">
    <w:p w14:paraId="202A8255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Dz.U. L 164 z 30.6.2015, s. 2, ELI: </w:t>
      </w:r>
      <w:hyperlink r:id="rId1" w:history="1">
        <w:r w:rsidRPr="00F45650">
          <w:rPr>
            <w:rStyle w:val="Hyperlink"/>
            <w:sz w:val="24"/>
            <w:lang w:val="pl-PL"/>
          </w:rPr>
          <w:t>http://data.europa.eu/eli/agree_internation/2015/997/oj</w:t>
        </w:r>
      </w:hyperlink>
      <w:r w:rsidRPr="00F45650">
        <w:rPr>
          <w:sz w:val="24"/>
          <w:lang w:val="pl-PL"/>
        </w:rPr>
        <w:t>.</w:t>
      </w:r>
    </w:p>
  </w:footnote>
  <w:footnote w:id="2">
    <w:p w14:paraId="19D6B752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Dz.U. L 330 z 20.9.2021, s. 1, ELI: </w:t>
      </w:r>
      <w:hyperlink r:id="rId2" w:history="1">
        <w:r w:rsidRPr="00F45650">
          <w:rPr>
            <w:rStyle w:val="Hyperlink"/>
            <w:sz w:val="24"/>
            <w:lang w:val="pl-PL"/>
          </w:rPr>
          <w:t>http://data.europa.eu/eli/reg/2021/1529/oj</w:t>
        </w:r>
      </w:hyperlink>
      <w:r w:rsidRPr="00F45650">
        <w:rPr>
          <w:sz w:val="24"/>
          <w:lang w:val="pl-PL"/>
        </w:rPr>
        <w:t>.</w:t>
      </w:r>
    </w:p>
  </w:footnote>
  <w:footnote w:id="3">
    <w:p w14:paraId="5D43805B" w14:textId="77777777" w:rsidR="0024749D" w:rsidRPr="00B62E17" w:rsidRDefault="0024749D" w:rsidP="00F45650">
      <w:pPr>
        <w:pStyle w:val="FootnoteText"/>
        <w:ind w:left="567" w:hanging="567"/>
        <w:rPr>
          <w:sz w:val="24"/>
          <w:lang w:val="fi-FI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B62E17">
        <w:rPr>
          <w:sz w:val="24"/>
          <w:lang w:val="fi-FI"/>
        </w:rPr>
        <w:t xml:space="preserve"> </w:t>
      </w:r>
      <w:r w:rsidR="00F45650" w:rsidRPr="00B62E17">
        <w:rPr>
          <w:sz w:val="24"/>
          <w:lang w:val="fi-FI"/>
        </w:rPr>
        <w:tab/>
      </w:r>
      <w:r w:rsidRPr="00B62E17">
        <w:rPr>
          <w:sz w:val="24"/>
          <w:lang w:val="fi-FI"/>
        </w:rPr>
        <w:t xml:space="preserve">Dz.U. L, 2024/1449, 24.5.2024, ELI: </w:t>
      </w:r>
      <w:hyperlink r:id="rId3" w:history="1">
        <w:r w:rsidRPr="00B62E17">
          <w:rPr>
            <w:rStyle w:val="Hyperlink"/>
            <w:sz w:val="24"/>
            <w:lang w:val="fi-FI"/>
          </w:rPr>
          <w:t>http://data.europa.eu/eli/reg/2024/1449/oj</w:t>
        </w:r>
      </w:hyperlink>
      <w:r w:rsidRPr="00B62E17">
        <w:rPr>
          <w:sz w:val="24"/>
          <w:lang w:val="fi-FI"/>
        </w:rPr>
        <w:t>.</w:t>
      </w:r>
    </w:p>
  </w:footnote>
  <w:footnote w:id="4">
    <w:p w14:paraId="01A00C69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Dz.U. L 391 z 5.11.2021, s. 45, ELI: </w:t>
      </w:r>
      <w:hyperlink r:id="rId4" w:history="1">
        <w:r w:rsidRPr="00F45650">
          <w:rPr>
            <w:rStyle w:val="Hyperlink"/>
            <w:sz w:val="24"/>
            <w:lang w:val="pl-PL"/>
          </w:rPr>
          <w:t>http://data.europa.eu/eli/dec/2021/1923/oj</w:t>
        </w:r>
      </w:hyperlink>
      <w:r w:rsidRPr="00F45650">
        <w:rPr>
          <w:sz w:val="24"/>
          <w:lang w:val="pl-PL"/>
        </w:rPr>
        <w:t>.</w:t>
      </w:r>
    </w:p>
  </w:footnote>
  <w:footnote w:id="5">
    <w:p w14:paraId="7408DA74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Dz.U. L 311 z 2.12.2022, s. 149, ELI: </w:t>
      </w:r>
      <w:hyperlink r:id="rId5" w:history="1">
        <w:r w:rsidRPr="00F45650">
          <w:rPr>
            <w:rStyle w:val="Hyperlink"/>
            <w:sz w:val="24"/>
            <w:lang w:val="pl-PL"/>
          </w:rPr>
          <w:t>http://data.europa.eu/eli/dec/2022/2353/oj</w:t>
        </w:r>
      </w:hyperlink>
      <w:r w:rsidRPr="00F45650">
        <w:rPr>
          <w:sz w:val="24"/>
          <w:lang w:val="pl-PL"/>
        </w:rPr>
        <w:t>.</w:t>
      </w:r>
    </w:p>
  </w:footnote>
  <w:footnote w:id="6">
    <w:p w14:paraId="12B18AD5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4A56F3">
        <w:rPr>
          <w:sz w:val="24"/>
          <w:lang w:val="pl-PL"/>
        </w:rPr>
        <w:t>Dz.U. C 167 z 11.5.2023, s. 105</w:t>
      </w:r>
      <w:r w:rsidRPr="00F45650">
        <w:rPr>
          <w:sz w:val="24"/>
          <w:lang w:val="pl-PL"/>
        </w:rPr>
        <w:t>.</w:t>
      </w:r>
    </w:p>
  </w:footnote>
  <w:footnote w:id="7">
    <w:p w14:paraId="4027C19B" w14:textId="77777777" w:rsidR="0024749D" w:rsidRPr="007813A2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7813A2">
        <w:rPr>
          <w:sz w:val="24"/>
          <w:lang w:val="pl-PL"/>
        </w:rPr>
        <w:t xml:space="preserve"> </w:t>
      </w:r>
      <w:r w:rsidR="00F45650" w:rsidRPr="007813A2">
        <w:rPr>
          <w:sz w:val="24"/>
          <w:lang w:val="pl-PL"/>
        </w:rPr>
        <w:tab/>
      </w:r>
      <w:r w:rsidRPr="007813A2">
        <w:rPr>
          <w:sz w:val="24"/>
          <w:lang w:val="pl-PL"/>
        </w:rPr>
        <w:t xml:space="preserve">Dz.U. C, C/2024/5744, 17.10.2024, ELI: </w:t>
      </w:r>
      <w:hyperlink r:id="rId6" w:history="1">
        <w:r w:rsidRPr="007813A2">
          <w:rPr>
            <w:rStyle w:val="Hyperlink"/>
            <w:sz w:val="24"/>
            <w:lang w:val="pl-PL"/>
          </w:rPr>
          <w:t>http://data.europa.eu/eli/C/2024/5744/oj</w:t>
        </w:r>
      </w:hyperlink>
      <w:r w:rsidRPr="007813A2">
        <w:rPr>
          <w:sz w:val="24"/>
          <w:lang w:val="pl-PL"/>
        </w:rPr>
        <w:t>.</w:t>
      </w:r>
    </w:p>
  </w:footnote>
  <w:footnote w:id="8">
    <w:p w14:paraId="503B21F0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Rozporządzenie Parlamentu Europejskiego i Rady (UE) 2022/2065 z dnia 19 października 2022 r. w sprawie jednolitego rynku usług cyfrowych oraz zmiany dyrektywy 2000/31/WE (akt o usługach cyfrowych) (Dz.U. L 277 z 27.10.2022, s. 1, ELI:  </w:t>
      </w:r>
      <w:hyperlink r:id="rId7" w:history="1">
        <w:r w:rsidRPr="00F45650">
          <w:rPr>
            <w:rStyle w:val="Hyperlink"/>
            <w:sz w:val="24"/>
            <w:lang w:val="pl-PL"/>
          </w:rPr>
          <w:t>http://data.europa.eu/eli/reg/2022/2065/oj</w:t>
        </w:r>
      </w:hyperlink>
      <w:r w:rsidRPr="00F45650">
        <w:rPr>
          <w:sz w:val="24"/>
          <w:lang w:val="pl-PL"/>
        </w:rPr>
        <w:t>).</w:t>
      </w:r>
    </w:p>
  </w:footnote>
  <w:footnote w:id="9">
    <w:p w14:paraId="0791CABC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Rozporządzenie Parlamentu Europejskiego i Rady (UE) 2024/1083 z dnia 11 kwietnia 2024 r. w sprawie ustanowienia wspólnych ram dla usług medialnych na rynku wewnętrznym i zmiany dyrektywy 2010/13/UE (europejski akt o wolności mediów) (Dz.U. L, 2024/1083, 17.4.2024, ELI:  </w:t>
      </w:r>
      <w:hyperlink r:id="rId8" w:history="1">
        <w:r w:rsidRPr="00F45650">
          <w:rPr>
            <w:rStyle w:val="Hyperlink"/>
            <w:sz w:val="24"/>
            <w:lang w:val="pl-PL"/>
          </w:rPr>
          <w:t>http://data.europa.eu/eli/reg/2024/1083/oj</w:t>
        </w:r>
      </w:hyperlink>
      <w:r w:rsidRPr="00F45650">
        <w:rPr>
          <w:sz w:val="24"/>
          <w:lang w:val="pl-PL"/>
        </w:rPr>
        <w:t>).</w:t>
      </w:r>
    </w:p>
  </w:footnote>
  <w:footnote w:id="10">
    <w:p w14:paraId="7F1B39E7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Dyrektywa Rady 92/43/EWG z dnia 21 maja 1992 r. w sprawie ochrony siedlisk przyrodniczych oraz dzikiej fauny i flory (Dz.U. L 206 z 22.7.1992, s. 7, ELI:  </w:t>
      </w:r>
      <w:hyperlink r:id="rId9" w:history="1">
        <w:r w:rsidRPr="00F45650">
          <w:rPr>
            <w:rStyle w:val="Hyperlink"/>
            <w:sz w:val="24"/>
            <w:lang w:val="pl-PL"/>
          </w:rPr>
          <w:t>http://data.europa.eu/eli/dir/1992/43/oj</w:t>
        </w:r>
      </w:hyperlink>
      <w:r w:rsidRPr="00F45650">
        <w:rPr>
          <w:sz w:val="24"/>
          <w:lang w:val="pl-PL"/>
        </w:rPr>
        <w:t>).</w:t>
      </w:r>
    </w:p>
  </w:footnote>
  <w:footnote w:id="11">
    <w:p w14:paraId="5289482E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Dyrektywa Parlamentu Europejskiego i Rady 2009/147/WE z dnia 30 listopada 2009 r. w sprawie ochrony dzikiego ptactwa (Dz.U. L 20 z 26.1.2010, s. 7, ELI:  </w:t>
      </w:r>
      <w:hyperlink r:id="rId10" w:history="1">
        <w:r w:rsidRPr="00F45650">
          <w:rPr>
            <w:rStyle w:val="Hyperlink"/>
            <w:sz w:val="24"/>
            <w:lang w:val="pl-PL"/>
          </w:rPr>
          <w:t>http://data.europa.eu/eli/dir/2009/147/oj</w:t>
        </w:r>
      </w:hyperlink>
      <w:r w:rsidRPr="00F45650">
        <w:rPr>
          <w:sz w:val="24"/>
          <w:lang w:val="pl-PL"/>
        </w:rPr>
        <w:t>).</w:t>
      </w:r>
    </w:p>
  </w:footnote>
  <w:footnote w:id="12">
    <w:p w14:paraId="77A2F0E3" w14:textId="77777777" w:rsidR="0024749D" w:rsidRPr="00F45650" w:rsidRDefault="0024749D" w:rsidP="00F45650">
      <w:pPr>
        <w:pStyle w:val="FootnoteText"/>
        <w:ind w:left="567" w:hanging="567"/>
        <w:rPr>
          <w:sz w:val="24"/>
          <w:lang w:val="pl-PL"/>
        </w:rPr>
      </w:pPr>
      <w:r w:rsidRPr="00F45650">
        <w:rPr>
          <w:rStyle w:val="FootnoteReference"/>
          <w:sz w:val="24"/>
          <w:lang w:val="pl-PL"/>
        </w:rPr>
        <w:footnoteRef/>
      </w:r>
      <w:r w:rsidR="00F45650" w:rsidRPr="00F45650">
        <w:rPr>
          <w:sz w:val="24"/>
          <w:lang w:val="pl-PL"/>
        </w:rPr>
        <w:t xml:space="preserve"> </w:t>
      </w:r>
      <w:r w:rsidR="00F45650" w:rsidRPr="00F45650">
        <w:rPr>
          <w:sz w:val="24"/>
          <w:lang w:val="pl-PL"/>
        </w:rPr>
        <w:tab/>
      </w:r>
      <w:r w:rsidRPr="00F45650">
        <w:rPr>
          <w:sz w:val="24"/>
          <w:lang w:val="pl-PL"/>
        </w:rPr>
        <w:t xml:space="preserve">Dyrektywa 2000/60/WE Parlamentu Europejskiego i Rady z dnia 23 października 2000 r. ustanawiająca ramy wspólnotowego działania w dziedzinie polityki wodnej (Dz.U. L 327 z 22.12.2000, s. 1, ELI:  </w:t>
      </w:r>
      <w:hyperlink r:id="rId11" w:history="1">
        <w:r w:rsidRPr="00F45650">
          <w:rPr>
            <w:rStyle w:val="Hyperlink"/>
            <w:sz w:val="24"/>
            <w:lang w:val="pl-PL"/>
          </w:rPr>
          <w:t>http://data.europa.eu/eli/dir/2000/60/oj</w:t>
        </w:r>
      </w:hyperlink>
      <w:r w:rsidRPr="00F45650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848A0" w14:textId="77777777" w:rsidR="00064002" w:rsidRPr="00F456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C5C83" w14:textId="77777777" w:rsidR="00064002" w:rsidRPr="00F456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688E2" w14:textId="77777777" w:rsidR="00064002" w:rsidRPr="00F456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8/2025"/>
    <w:docVar w:name="dvlangue" w:val="PL"/>
    <w:docVar w:name="dvnumam" w:val="0"/>
    <w:docVar w:name="dvpe" w:val="769.995"/>
    <w:docVar w:name="dvrapporteur" w:val="Sprawozdawca: "/>
    <w:docVar w:name="dvstar" w:val="??"/>
    <w:docVar w:name="dvtitre" w:val="Rezolucja Parlamentu Europejskiego z dnia  2025 r. w sprawie sprawozdań Komisji za lata 2023 i 2024 dotyczących Bośni i Hercegowiny(2025/2018(INI))"/>
  </w:docVars>
  <w:rsids>
    <w:rsidRoot w:val="00BC31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49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6F3"/>
    <w:rsid w:val="004C0004"/>
    <w:rsid w:val="004C5D52"/>
    <w:rsid w:val="004E137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45F6"/>
    <w:rsid w:val="00731ADD"/>
    <w:rsid w:val="00734777"/>
    <w:rsid w:val="00747932"/>
    <w:rsid w:val="00751A4A"/>
    <w:rsid w:val="00756632"/>
    <w:rsid w:val="00762C74"/>
    <w:rsid w:val="007813A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E17"/>
    <w:rsid w:val="00B7720C"/>
    <w:rsid w:val="00BC313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65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42056"/>
  <w15:chartTrackingRefBased/>
  <w15:docId w15:val="{200A1D8C-1113-4F33-8C30-D32FD825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749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24749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4749D"/>
    <w:pPr>
      <w:spacing w:after="240"/>
      <w:jc w:val="center"/>
    </w:pPr>
  </w:style>
  <w:style w:type="character" w:customStyle="1" w:styleId="BoldItalic">
    <w:name w:val="BoldItalic"/>
    <w:uiPriority w:val="1"/>
    <w:rsid w:val="0024749D"/>
    <w:rPr>
      <w:b/>
      <w:i/>
      <w:u w:val="none"/>
    </w:rPr>
  </w:style>
  <w:style w:type="character" w:customStyle="1" w:styleId="Italic">
    <w:name w:val="Italic"/>
    <w:uiPriority w:val="1"/>
    <w:rsid w:val="0024749D"/>
    <w:rPr>
      <w:i/>
    </w:rPr>
  </w:style>
  <w:style w:type="paragraph" w:customStyle="1" w:styleId="Normal12a24b">
    <w:name w:val="Normal12a24b"/>
    <w:basedOn w:val="Normal"/>
    <w:rsid w:val="0024749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24749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24749D"/>
    <w:rPr>
      <w:snapToGrid w:val="0"/>
      <w:sz w:val="24"/>
      <w:lang w:val="pl-PL" w:eastAsia="en-US"/>
    </w:rPr>
  </w:style>
  <w:style w:type="paragraph" w:styleId="Revision">
    <w:name w:val="Revision"/>
    <w:hidden/>
    <w:uiPriority w:val="99"/>
    <w:semiHidden/>
    <w:rsid w:val="00B62E1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08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5/997/oj" TargetMode="External"/><Relationship Id="rId6" Type="http://schemas.openxmlformats.org/officeDocument/2006/relationships/hyperlink" Target="http://data.europa.eu/eli/C/2024/5744/oj" TargetMode="External"/><Relationship Id="rId11" Type="http://schemas.openxmlformats.org/officeDocument/2006/relationships/hyperlink" Target="http://data.europa.eu/eli/dir/2000/60/oj" TargetMode="External"/><Relationship Id="rId5" Type="http://schemas.openxmlformats.org/officeDocument/2006/relationships/hyperlink" Target="http://data.europa.eu/eli/dec/2022/2353/oj" TargetMode="External"/><Relationship Id="rId10" Type="http://schemas.openxmlformats.org/officeDocument/2006/relationships/hyperlink" Target="http://data.europa.eu/eli/dir/2009/147/oj" TargetMode="External"/><Relationship Id="rId4" Type="http://schemas.openxmlformats.org/officeDocument/2006/relationships/hyperlink" Target="http://data.europa.eu/eli/dec/2021/1923/oj" TargetMode="External"/><Relationship Id="rId9" Type="http://schemas.openxmlformats.org/officeDocument/2006/relationships/hyperlink" Target="http://data.europa.eu/eli/dir/1992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1B04D-2DAE-45D4-9D8C-0584014AB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7028</Words>
  <Characters>47212</Characters>
  <Application>Microsoft Office Word</Application>
  <DocSecurity>0</DocSecurity>
  <Lines>393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3</cp:revision>
  <cp:lastPrinted>2004-11-19T15:42:00Z</cp:lastPrinted>
  <dcterms:created xsi:type="dcterms:W3CDTF">2025-07-09T16:01:00Z</dcterms:created>
  <dcterms:modified xsi:type="dcterms:W3CDTF">2025-08-01T10:45:00Z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A10-0108/2025</vt:lpwstr>
  </property>
  <property fmtid="{D5CDD505-2E9C-101B-9397-08002B2CF9AE}" pid="4" name="&lt;Type&gt;">
    <vt:lpwstr>RR</vt:lpwstr>
  </property>
</Properties>
</file>