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1C1B" w14:paraId="77EA7C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11E12F" w14:textId="77777777" w:rsidR="00751A4A" w:rsidRPr="00191C1B" w:rsidRDefault="00181309" w:rsidP="0010095E">
            <w:pPr>
              <w:pStyle w:val="EPName"/>
            </w:pPr>
            <w:r w:rsidRPr="00191C1B">
              <w:t>Európsky parlament</w:t>
            </w:r>
          </w:p>
          <w:p w14:paraId="2EF87987" w14:textId="77777777" w:rsidR="00751A4A" w:rsidRPr="00191C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1C1B">
              <w:t>2024</w:t>
            </w:r>
            <w:r w:rsidR="00817416" w:rsidRPr="00191C1B">
              <w:t>-202</w:t>
            </w:r>
            <w:r w:rsidRPr="00191C1B">
              <w:t>9</w:t>
            </w:r>
          </w:p>
        </w:tc>
        <w:tc>
          <w:tcPr>
            <w:tcW w:w="2268" w:type="dxa"/>
            <w:shd w:val="clear" w:color="auto" w:fill="auto"/>
          </w:tcPr>
          <w:p w14:paraId="0D5B0564" w14:textId="77777777" w:rsidR="00751A4A" w:rsidRPr="00191C1B" w:rsidRDefault="00187494" w:rsidP="0010095E">
            <w:pPr>
              <w:pStyle w:val="EPLogo"/>
            </w:pPr>
            <w:r w:rsidRPr="00191C1B">
              <w:rPr>
                <w:noProof/>
                <w:lang w:eastAsia="ja-JP"/>
              </w:rPr>
              <w:drawing>
                <wp:inline distT="0" distB="0" distL="0" distR="0" wp14:anchorId="1F4FEB3A" wp14:editId="57FFC5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B857E0" w14:textId="77777777" w:rsidR="00D058B8" w:rsidRPr="00191C1B" w:rsidRDefault="00D058B8" w:rsidP="004C5D52">
      <w:pPr>
        <w:pStyle w:val="LineTop"/>
      </w:pPr>
    </w:p>
    <w:p w14:paraId="301030ED" w14:textId="77777777" w:rsidR="00680577" w:rsidRPr="00191C1B" w:rsidRDefault="00181309" w:rsidP="00680577">
      <w:pPr>
        <w:pStyle w:val="EPBodyTA1"/>
      </w:pPr>
      <w:r w:rsidRPr="00191C1B">
        <w:t>PRIJATÉ TEXTY</w:t>
      </w:r>
    </w:p>
    <w:p w14:paraId="7831B402" w14:textId="77777777" w:rsidR="00D058B8" w:rsidRPr="00191C1B" w:rsidRDefault="00D058B8" w:rsidP="00D058B8">
      <w:pPr>
        <w:pStyle w:val="LineBottom"/>
      </w:pPr>
    </w:p>
    <w:p w14:paraId="25D3AE9C" w14:textId="1F384B56" w:rsidR="00181309" w:rsidRPr="00191C1B" w:rsidRDefault="00181309" w:rsidP="00181309">
      <w:pPr>
        <w:pStyle w:val="ATHeading1"/>
      </w:pPr>
      <w:bookmarkStart w:id="0" w:name="TANumber"/>
      <w:r w:rsidRPr="00191C1B">
        <w:t>P10_TA(2025)0</w:t>
      </w:r>
      <w:r w:rsidR="00FC1001" w:rsidRPr="00191C1B">
        <w:t>15</w:t>
      </w:r>
      <w:r w:rsidR="00F85001" w:rsidRPr="00191C1B">
        <w:t>6</w:t>
      </w:r>
      <w:bookmarkEnd w:id="0"/>
    </w:p>
    <w:p w14:paraId="44DE5024" w14:textId="77777777" w:rsidR="00181309" w:rsidRPr="00191C1B" w:rsidRDefault="00181309" w:rsidP="00181309">
      <w:pPr>
        <w:pStyle w:val="ATHeading2"/>
      </w:pPr>
      <w:bookmarkStart w:id="1" w:name="title"/>
      <w:r w:rsidRPr="00191C1B">
        <w:t>Správy o Bosne a Hercegovine za roky 2023 a 2024</w:t>
      </w:r>
      <w:bookmarkEnd w:id="1"/>
    </w:p>
    <w:p w14:paraId="1FB55B22" w14:textId="77777777" w:rsidR="00181309" w:rsidRPr="00191C1B" w:rsidRDefault="00181309" w:rsidP="00181309">
      <w:pPr>
        <w:rPr>
          <w:i/>
          <w:vanish/>
        </w:rPr>
      </w:pPr>
      <w:r w:rsidRPr="00191C1B">
        <w:rPr>
          <w:i/>
        </w:rPr>
        <w:fldChar w:fldCharType="begin"/>
      </w:r>
      <w:r w:rsidRPr="00191C1B">
        <w:rPr>
          <w:i/>
        </w:rPr>
        <w:instrText xml:space="preserve"> TC"(</w:instrText>
      </w:r>
      <w:bookmarkStart w:id="2" w:name="DocNumber"/>
      <w:r w:rsidRPr="00191C1B">
        <w:rPr>
          <w:i/>
        </w:rPr>
        <w:instrText>A10-0108/2025</w:instrText>
      </w:r>
      <w:bookmarkEnd w:id="2"/>
      <w:r w:rsidRPr="00191C1B">
        <w:rPr>
          <w:i/>
        </w:rPr>
        <w:instrText xml:space="preserve"> - Spravodajca: Ondřej Kolář)"\l3 \n&gt; \* MERGEFORMAT </w:instrText>
      </w:r>
      <w:r w:rsidRPr="00191C1B">
        <w:rPr>
          <w:i/>
        </w:rPr>
        <w:fldChar w:fldCharType="end"/>
      </w:r>
    </w:p>
    <w:p w14:paraId="0B75E9F7" w14:textId="77777777" w:rsidR="00181309" w:rsidRPr="00191C1B" w:rsidRDefault="00181309" w:rsidP="00181309">
      <w:pPr>
        <w:rPr>
          <w:vanish/>
        </w:rPr>
      </w:pPr>
      <w:bookmarkStart w:id="3" w:name="Commission"/>
      <w:r w:rsidRPr="00191C1B">
        <w:rPr>
          <w:vanish/>
        </w:rPr>
        <w:t>Výbor pre zahraničné veci</w:t>
      </w:r>
      <w:bookmarkEnd w:id="3"/>
    </w:p>
    <w:p w14:paraId="459D6E90" w14:textId="77777777" w:rsidR="00181309" w:rsidRPr="00191C1B" w:rsidRDefault="00181309" w:rsidP="00181309">
      <w:pPr>
        <w:rPr>
          <w:vanish/>
        </w:rPr>
      </w:pPr>
      <w:bookmarkStart w:id="4" w:name="PE"/>
      <w:r w:rsidRPr="00191C1B">
        <w:rPr>
          <w:vanish/>
        </w:rPr>
        <w:t>PE769.995</w:t>
      </w:r>
      <w:bookmarkEnd w:id="4"/>
    </w:p>
    <w:p w14:paraId="43A76F3E" w14:textId="5391D4AF" w:rsidR="00181309" w:rsidRPr="00191C1B" w:rsidRDefault="00181309" w:rsidP="00181309">
      <w:pPr>
        <w:pStyle w:val="ATHeading3"/>
      </w:pPr>
      <w:bookmarkStart w:id="5" w:name="Sujet"/>
      <w:r w:rsidRPr="00191C1B">
        <w:t>Uznesenie Európskeho parlamentu z</w:t>
      </w:r>
      <w:r w:rsidR="00754AB8" w:rsidRPr="00191C1B">
        <w:t> </w:t>
      </w:r>
      <w:r w:rsidR="00624C07" w:rsidRPr="00191C1B">
        <w:t>9</w:t>
      </w:r>
      <w:r w:rsidRPr="00191C1B">
        <w:t>. júla 2025 o správach Komisie o Bosne a Hercegovine za roky 2023 a 2024</w:t>
      </w:r>
      <w:bookmarkEnd w:id="5"/>
      <w:r w:rsidRPr="00191C1B">
        <w:t xml:space="preserve"> </w:t>
      </w:r>
      <w:bookmarkStart w:id="6" w:name="References"/>
      <w:r w:rsidRPr="00191C1B">
        <w:t>(2025/2018(INI))</w:t>
      </w:r>
      <w:bookmarkEnd w:id="6"/>
    </w:p>
    <w:p w14:paraId="08E4B85F" w14:textId="77777777" w:rsidR="00CA695C" w:rsidRPr="00191C1B" w:rsidRDefault="00CA695C" w:rsidP="00CA695C">
      <w:pPr>
        <w:pStyle w:val="EPComma"/>
      </w:pPr>
      <w:r w:rsidRPr="00191C1B">
        <w:rPr>
          <w:rStyle w:val="Italic"/>
        </w:rPr>
        <w:t>Európsky parlament</w:t>
      </w:r>
      <w:r w:rsidRPr="00191C1B">
        <w:t>,</w:t>
      </w:r>
    </w:p>
    <w:p w14:paraId="4981B7F4" w14:textId="53379993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 xml:space="preserve">so zreteľom na Všeobecnú rámcovú dohodu o mieri v Bosne a Hercegovine, ktorá bola parafovaná 21. novembra 1995 v Daytone a podpísaná 14. decembra </w:t>
      </w:r>
      <w:r w:rsidR="00A83F55" w:rsidRPr="00191C1B">
        <w:t xml:space="preserve">1995 </w:t>
      </w:r>
      <w:r w:rsidRPr="00191C1B">
        <w:t>v Paríži (Daytonská mierová dohoda),</w:t>
      </w:r>
    </w:p>
    <w:p w14:paraId="107AE243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Dohodu o stabilizácii a pridružení medzi Európskymi spoločenstvami a ich členskými štátmi na jednej strane a Bosnou a Hercegovinou na strane druhej</w:t>
      </w:r>
      <w:r w:rsidRPr="00191C1B">
        <w:rPr>
          <w:rStyle w:val="FootnoteReference"/>
        </w:rPr>
        <w:footnoteReference w:id="1"/>
      </w:r>
      <w:r w:rsidRPr="00191C1B">
        <w:t>, ktorá nadobudla platnosť 1. júna 2015,</w:t>
      </w:r>
    </w:p>
    <w:p w14:paraId="5546D6EA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žiadosť Bosny a Hercegoviny o členstvo v EÚ predloženú 15. februára 2016,</w:t>
      </w:r>
    </w:p>
    <w:p w14:paraId="19AFC027" w14:textId="54071A82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stanovisko Komisie z 29. mája 2019 k žiadosti Bosny a Hercegoviny o členstvo v Európskej únii (COM(2019)</w:t>
      </w:r>
      <w:r w:rsidR="00754AB8" w:rsidRPr="00191C1B">
        <w:t>0</w:t>
      </w:r>
      <w:r w:rsidRPr="00191C1B">
        <w:t>261),</w:t>
      </w:r>
    </w:p>
    <w:p w14:paraId="066B564A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závery Európskej rady z 15. decembra 2022, ktorými sa Bosne a Hercegovine udeľuje štatút kandidátskej krajiny,</w:t>
      </w:r>
    </w:p>
    <w:p w14:paraId="5ED9F83F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závery Európskej rady z 22. marca 2024 o začatí prístupových rokovaní s Bosnou a Hercegovinou,</w:t>
      </w:r>
    </w:p>
    <w:p w14:paraId="6B157EE5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nariadenie Európskeho parlamentu a Rady (EÚ) 2021/1529 z 15. septembra 2021, ktorým sa zriaďuje nástroj predvstupovej pomoci (IPA III)</w:t>
      </w:r>
      <w:r w:rsidRPr="00191C1B">
        <w:rPr>
          <w:rStyle w:val="FootnoteReference"/>
        </w:rPr>
        <w:footnoteReference w:id="2"/>
      </w:r>
      <w:r w:rsidRPr="00191C1B">
        <w:t>,</w:t>
      </w:r>
    </w:p>
    <w:p w14:paraId="32B21A9E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nariadenie Európskeho parlamentu a Rady (EÚ) 2024/1449 zo 14. mája 2024 o zriadení Nástroja na podporu reforiem a rastu pre západný Balkán</w:t>
      </w:r>
      <w:r w:rsidRPr="00191C1B">
        <w:rPr>
          <w:rStyle w:val="FootnoteReference"/>
        </w:rPr>
        <w:footnoteReference w:id="3"/>
      </w:r>
      <w:r w:rsidRPr="00191C1B">
        <w:t>,</w:t>
      </w:r>
    </w:p>
    <w:p w14:paraId="75B3E9F3" w14:textId="77777777" w:rsidR="00CA695C" w:rsidRPr="00191C1B" w:rsidRDefault="00CA695C" w:rsidP="00CA695C">
      <w:pPr>
        <w:pStyle w:val="NormalHanging12a"/>
      </w:pPr>
      <w:r w:rsidRPr="00191C1B">
        <w:lastRenderedPageBreak/>
        <w:t>–</w:t>
      </w:r>
      <w:r w:rsidRPr="00191C1B">
        <w:tab/>
        <w:t>so zreteľom na závery predsedníctva zo zasadnutia Európskej rady v Solúne, ktoré sa konalo 19. a 20. júna 2003,</w:t>
      </w:r>
    </w:p>
    <w:p w14:paraId="12230538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vyhlásenia zo samitov EÚ – západný Balkán zo 6. mája 2020, z 13. decembra 2023 a 18. decembra 2024 v Bruseli,</w:t>
      </w:r>
    </w:p>
    <w:p w14:paraId="648BE539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berlínsky proces, ktorý sa začal 28. augusta 2014,</w:t>
      </w:r>
    </w:p>
    <w:p w14:paraId="65E5982B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rozhodnutie Rady (EÚ) 2021/1923 zo 4. novembra 2021 o opatrení pomoci v rámci Európskeho mierového nástroja na podporu budovania kapacít ozbrojených síl Bosny a Hercegoviny</w:t>
      </w:r>
      <w:r w:rsidRPr="00191C1B">
        <w:rPr>
          <w:rStyle w:val="FootnoteReference"/>
        </w:rPr>
        <w:footnoteReference w:id="4"/>
      </w:r>
      <w:r w:rsidRPr="00191C1B">
        <w:t>,</w:t>
      </w:r>
    </w:p>
    <w:p w14:paraId="340B8902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rozhodnutie Rady (EÚ) 2022/2353 z 1. decembra 2022 o opatrení pomoci v rámci Európskeho mierového nástroja na posilnenie kapacít ozbrojených síl Bosny a Hercegoviny</w:t>
      </w:r>
      <w:r w:rsidRPr="00191C1B">
        <w:rPr>
          <w:rStyle w:val="FootnoteReference"/>
        </w:rPr>
        <w:footnoteReference w:id="5"/>
      </w:r>
      <w:r w:rsidRPr="00191C1B">
        <w:t>,</w:t>
      </w:r>
    </w:p>
    <w:p w14:paraId="3993CDF8" w14:textId="2F90BDB3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oznámenie Komisie z 5. februára 2020 s názvom Posilnený proces pristúpenia – dôveryhodná perspektíva členstva v EÚ pre západný Balkán (COM(2020)</w:t>
      </w:r>
      <w:r w:rsidR="00F36535" w:rsidRPr="00191C1B">
        <w:t>00</w:t>
      </w:r>
      <w:r w:rsidRPr="00191C1B">
        <w:t>57),</w:t>
      </w:r>
    </w:p>
    <w:p w14:paraId="76517E6E" w14:textId="5ECA5903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oznámenie Komisie zo 6. októbra 2020 s názvom Hospodársky a investičný plán pre západný Balkán (COM(2020)</w:t>
      </w:r>
      <w:r w:rsidR="00F36535" w:rsidRPr="00191C1B">
        <w:t>0</w:t>
      </w:r>
      <w:r w:rsidRPr="00191C1B">
        <w:t>641),</w:t>
      </w:r>
    </w:p>
    <w:p w14:paraId="2F6C2BE9" w14:textId="22463D9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oznámenie Komisie z 8. novembra 2023 s názvom Oznámenie o politike rozširovania EÚ z roku 2023 (COM(2023)</w:t>
      </w:r>
      <w:r w:rsidR="00F36535" w:rsidRPr="00191C1B">
        <w:t>0</w:t>
      </w:r>
      <w:r w:rsidRPr="00191C1B">
        <w:t>690) a na sprievodný pracovný dokument útvarov Komisie s názvom Správa o Bosne a Hercegovine za rok 2023 (SWD(2023)</w:t>
      </w:r>
      <w:r w:rsidR="00F36535" w:rsidRPr="00191C1B">
        <w:t>0</w:t>
      </w:r>
      <w:r w:rsidRPr="00191C1B">
        <w:t>691),</w:t>
      </w:r>
    </w:p>
    <w:p w14:paraId="63DD5D7D" w14:textId="7BB58173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oznámenie Komisie z 8. novembra 2023 s názvom Nový plán rastu pre západný Balkán (COM(2023)</w:t>
      </w:r>
      <w:r w:rsidR="00F36535" w:rsidRPr="00191C1B">
        <w:t>0</w:t>
      </w:r>
      <w:r w:rsidRPr="00191C1B">
        <w:t>691),</w:t>
      </w:r>
    </w:p>
    <w:p w14:paraId="3E586811" w14:textId="7D34106F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oznámenie Komisie z 12. marca 2024 s názvom Správa o pokroku Bosny a Hercegoviny – marec 2024 (COM(2024)</w:t>
      </w:r>
      <w:r w:rsidR="00F36535" w:rsidRPr="00191C1B">
        <w:t>0</w:t>
      </w:r>
      <w:r w:rsidRPr="00191C1B">
        <w:t>129),</w:t>
      </w:r>
    </w:p>
    <w:p w14:paraId="609D1DFA" w14:textId="516775AC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oznámenie Komisie z 20. marca 2024 o reformách pred rozšírením a o preskúmaní politík (COM(2024)</w:t>
      </w:r>
      <w:r w:rsidR="00F36535" w:rsidRPr="00191C1B">
        <w:t>0</w:t>
      </w:r>
      <w:r w:rsidRPr="00191C1B">
        <w:t>146),</w:t>
      </w:r>
    </w:p>
    <w:p w14:paraId="0693FCCE" w14:textId="4CE46326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oznámenie Komisie z 30. októbra 2024 s názvom Oznámenie o politike rozširovania EÚ za rok 2024 (COM(2024)</w:t>
      </w:r>
      <w:r w:rsidR="00F36535" w:rsidRPr="00191C1B">
        <w:t>0</w:t>
      </w:r>
      <w:r w:rsidRPr="00191C1B">
        <w:t>690) a na sprievodný pracovný dokument útvarov Komisie s názvom Správa o Bosne a Hercegovine za rok 2024 (SWD(2024)</w:t>
      </w:r>
      <w:r w:rsidR="00F36535" w:rsidRPr="00191C1B">
        <w:t>0</w:t>
      </w:r>
      <w:r w:rsidRPr="00191C1B">
        <w:t>691),</w:t>
      </w:r>
    </w:p>
    <w:p w14:paraId="76561D69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prehľad a hodnotenie krajiny zamerané na program hospodárskych reforiem Bosny a Hercegoviny, ktoré 31. mája 2023 a 13. júna 2024 zverejnila Komisia,</w:t>
      </w:r>
    </w:p>
    <w:p w14:paraId="60B33649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piate zasadnutie Rady pre stabilizáciu a pridruženie EÚ – Bosna a Hercegovina, ktoré sa konalo 19. júla 2023 a na siedme zasadnutie Výboru pre stabilizáciu a pridruženie EÚ – Bosna a Hercegovina, ktoré sa konalo 19. septembra 2024,</w:t>
      </w:r>
    </w:p>
    <w:p w14:paraId="56367326" w14:textId="77777777" w:rsidR="00CA695C" w:rsidRPr="00191C1B" w:rsidRDefault="00CA695C" w:rsidP="00CA695C">
      <w:pPr>
        <w:pStyle w:val="NormalHanging12a"/>
      </w:pPr>
      <w:r w:rsidRPr="00191C1B">
        <w:lastRenderedPageBreak/>
        <w:t>–</w:t>
      </w:r>
      <w:r w:rsidRPr="00191C1B">
        <w:tab/>
        <w:t>so zreteľom na výsledky tretej, štvrtej, piatej a šiestej schôdze Parlamentného výboru pre stabilizáciu a pridruženie EÚ – Bosna a Hercegovina, ktoré sa konali 30. a 31. októbra 2023, 13. a 14. marca 2024, 30. októbra 2024 a 12. a 13. marca 2025,</w:t>
      </w:r>
    </w:p>
    <w:p w14:paraId="01EC507A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správu expertov z 5. decembra 2019 o otázkach právneho štátu v Bosne a Hercegovine,</w:t>
      </w:r>
    </w:p>
    <w:p w14:paraId="61D7F95D" w14:textId="77777777" w:rsidR="00CA695C" w:rsidRPr="00191C1B" w:rsidRDefault="00CA695C" w:rsidP="00CA695C">
      <w:pPr>
        <w:pStyle w:val="NormalHanging12a"/>
        <w:rPr>
          <w:bCs/>
          <w:iCs/>
        </w:rPr>
      </w:pPr>
      <w:r w:rsidRPr="00191C1B">
        <w:rPr>
          <w:b/>
          <w:i/>
        </w:rPr>
        <w:t>–</w:t>
      </w:r>
      <w:r w:rsidRPr="00191C1B">
        <w:rPr>
          <w:b/>
          <w:i/>
        </w:rPr>
        <w:tab/>
      </w:r>
      <w:r w:rsidRPr="00191C1B">
        <w:t>so zreteľom na politickú dohodu Európskej rady z 12. júna 2022 o zásadách na zabezpečenie toho, aby bola Bosna a Hercegovina fungujúcou krajinou, ktorá napreduje na svojej európskej ceste,</w:t>
      </w:r>
    </w:p>
    <w:p w14:paraId="35864299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63., 64., 65. a 66. správu vysokého predstaviteľa pre vykonávanie mierovej dohody týkajúcej sa Bosny a Hercegoviny generálnemu tajomníkovi OSN z 9. mája 2023, 2. novembra 2023, 15. mája 2024 a 1. novembra 2024,</w:t>
      </w:r>
    </w:p>
    <w:p w14:paraId="7AB5C1F1" w14:textId="66E9D2F2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rezolúciu Bezpečnostnej rady OSN 2757 (2024) z 1. novembra 2024, ktorou sa predlžuje mandát ozbrojených síl pod vedením Európskej únie v Bosne a Hercegovine (EUFOR) do 2. novembra 2025,</w:t>
      </w:r>
    </w:p>
    <w:p w14:paraId="29DE3D01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rezolúciu Valného zhromaždenia OSN 78/282 z 23. mája 2024, v ktorej bol 11. júl vyhlásený za Medzinárodný deň reflexie a spomienky na genocídu 1995 v Srebrenici,</w:t>
      </w:r>
    </w:p>
    <w:p w14:paraId="4DD70BFB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Dohovor OSN o právach dieťaťa (UNCRC), ktorý Bosna a Hercegovina ratifikovala 6. marca 1992, a na jeho tri opčné protokoly, konkrétne: opčný protokol o účasti detí v ozbrojených konfliktoch, ratifikovaný 10. októbra 2003; opčný protokol o predaji detí, detskej prostitúcii a detskej pornografii, ratifikovaný 4. septembra 2001; a opčný protokol o procedúre oznámení, ratifikovaný 19. októbra 2018,</w:t>
      </w:r>
    </w:p>
    <w:p w14:paraId="4DF37400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rezolúcie UNESCO o práve na vzdelanie v materinskom jazyku, Dohovor UNESCO zo 17. októbra 2003 na ochranu nehmotného kultúrneho dedičstva, ako aj Dohovor UNESCO z 20. októbra 2005 o ochrane a podpore rozmanitosti kultúrnych prejavov,</w:t>
      </w:r>
    </w:p>
    <w:p w14:paraId="0FB5F959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ústavu Bosny a Hercegoviny,</w:t>
      </w:r>
    </w:p>
    <w:p w14:paraId="532B7A89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zmenu volebného zákona Bosny a Hercegoviny, ktorú nariadil vysoký predstaviteľ v Bosne a Hercegovine 26. marca 2024,</w:t>
      </w:r>
    </w:p>
    <w:p w14:paraId="4608C43E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návštevy podpredsedníčky Európskej komisie/vysokej predstaviteľky Únie pre zahraničné veci a bezpečnostnú politiku (PK/VP) Kaje Kallasovej a generálneho tajomníka NATO Marka Rutteho v Bosne a Hercegovine v marci a apríli 2025,</w:t>
      </w:r>
    </w:p>
    <w:p w14:paraId="595D5CA2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vyhlásenie predsedu Európskej rady Antónia Costu z apríla 2025 adresované politickým lídrom Bosny a Hercegoviny,</w:t>
      </w:r>
    </w:p>
    <w:p w14:paraId="6DB79215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svoje odporúčanie z 23. novembra 2022 Rade, Komisii a podpredsedovi Komisie/vysokému predstaviteľovi Únie pre zahraničné veci a bezpečnostnú politiku k novej stratégii Únie pre rozširovanie</w:t>
      </w:r>
      <w:r w:rsidRPr="00191C1B">
        <w:rPr>
          <w:rStyle w:val="FootnoteReference"/>
        </w:rPr>
        <w:footnoteReference w:id="6"/>
      </w:r>
      <w:r w:rsidRPr="00191C1B">
        <w:t>,</w:t>
      </w:r>
    </w:p>
    <w:p w14:paraId="366C2AA9" w14:textId="77777777" w:rsidR="00CA695C" w:rsidRPr="00191C1B" w:rsidRDefault="00CA695C" w:rsidP="00CA695C">
      <w:pPr>
        <w:pStyle w:val="NormalHanging12a"/>
      </w:pPr>
      <w:r w:rsidRPr="00191C1B">
        <w:lastRenderedPageBreak/>
        <w:t>–</w:t>
      </w:r>
      <w:r w:rsidRPr="00191C1B">
        <w:tab/>
        <w:t>so zreteľom na svoju správu zo 17. januára 2024 s názvom Úloha preventívnej diplomacie pri riešení zamrznutých konfliktov vo svete - premárnená príležitosť alebo zmena pre budúcnosť?</w:t>
      </w:r>
      <w:r w:rsidRPr="00191C1B">
        <w:rPr>
          <w:rStyle w:val="FootnoteReference"/>
        </w:rPr>
        <w:footnoteReference w:id="7"/>
      </w:r>
      <w:r w:rsidRPr="00191C1B">
        <w:t>,</w:t>
      </w:r>
    </w:p>
    <w:p w14:paraId="6EAD791F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svoje predchádzajúce uznesenia o Bosne a Hercegovine,</w:t>
      </w:r>
    </w:p>
    <w:p w14:paraId="100C9167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zo zreteľom na článok 55 rokovacieho poriadku,</w:t>
      </w:r>
    </w:p>
    <w:p w14:paraId="4D32C8B3" w14:textId="77777777" w:rsidR="00CA695C" w:rsidRPr="00191C1B" w:rsidRDefault="00CA695C" w:rsidP="00CA695C">
      <w:pPr>
        <w:pStyle w:val="NormalHanging12a"/>
      </w:pPr>
      <w:r w:rsidRPr="00191C1B">
        <w:t>–</w:t>
      </w:r>
      <w:r w:rsidRPr="00191C1B">
        <w:tab/>
        <w:t>so zreteľom na správu Výboru pre zahraničné veci (A10-0108/2025),</w:t>
      </w:r>
    </w:p>
    <w:p w14:paraId="304A6248" w14:textId="77777777" w:rsidR="00CA695C" w:rsidRPr="00191C1B" w:rsidRDefault="00CA695C" w:rsidP="00CA695C">
      <w:pPr>
        <w:pStyle w:val="NormalHanging12a"/>
      </w:pPr>
      <w:r w:rsidRPr="00191C1B">
        <w:t>A.</w:t>
      </w:r>
      <w:r w:rsidRPr="00191C1B">
        <w:tab/>
        <w:t>keďže rozširovanie je jedným z najúčinnejších nástrojov zahraničnej politiky EÚ a geostrategickou investíciou do mieru, demokracie, stability, bezpečnosti a prosperity na európskom kontinente a má naďalej zásadný význam, najmä v kontexte rýchlych a veľkých geopolitických zmien a rastúcej konkurencie s autoritárskymi režimami;</w:t>
      </w:r>
    </w:p>
    <w:p w14:paraId="30A9232C" w14:textId="77777777" w:rsidR="00CA695C" w:rsidRPr="00191C1B" w:rsidRDefault="00CA695C" w:rsidP="00CA695C">
      <w:pPr>
        <w:pStyle w:val="NormalHanging12a"/>
      </w:pPr>
      <w:r w:rsidRPr="00191C1B">
        <w:t>B.</w:t>
      </w:r>
      <w:r w:rsidRPr="00191C1B">
        <w:tab/>
        <w:t>keďže každá krajina sa posudzuje na základe vlastných zásluh pri plnení kodanských kritérií vrátane úplného dodržiavania demokracie, právneho štátu, základných hodnôt EÚ, ľudských práv, práv menšín a slobody médií;</w:t>
      </w:r>
    </w:p>
    <w:p w14:paraId="63B71F9B" w14:textId="77777777" w:rsidR="00CA695C" w:rsidRPr="00191C1B" w:rsidRDefault="00CA695C" w:rsidP="00CA695C">
      <w:pPr>
        <w:pStyle w:val="NormalHanging12a"/>
      </w:pPr>
      <w:r w:rsidRPr="00191C1B">
        <w:t>C.</w:t>
      </w:r>
      <w:r w:rsidRPr="00191C1B">
        <w:tab/>
        <w:t>keďže EÚ je aj naďalej hlavným politickým a hospodárskym partnerom krajín západného Balkánu; keďže EÚ je naďalej najväčším obchodným a investičným partnerom Bosny a Hercegoviny, ktorý pokrýva väčšinu jej zahraničných obchodných tokov a zohráva ústrednú úlohu v procese jej hospodárskej integrácie;</w:t>
      </w:r>
    </w:p>
    <w:p w14:paraId="0344683C" w14:textId="77777777" w:rsidR="00CA695C" w:rsidRPr="00191C1B" w:rsidRDefault="00CA695C" w:rsidP="00CA695C">
      <w:pPr>
        <w:pStyle w:val="NormalHanging12a"/>
      </w:pPr>
      <w:r w:rsidRPr="00191C1B">
        <w:t>D.</w:t>
      </w:r>
      <w:r w:rsidRPr="00191C1B">
        <w:tab/>
        <w:t>keďže Bosna a Hercegovina je kandidátskou krajinou a jasná väčšina jej občanov túži po euroatlantickej integrácii v záujme udržateľného mieru, demokracie a prosperity; keďže v roku 2025 si pripomíname 30. výročie Daytonskej mierovej dohody, ktorá je naďalej základom inštitucionálneho usporiadania Bosny a Hercegoviny a mala byť zárukou rovnosti jej troch štátotvorných národov;</w:t>
      </w:r>
    </w:p>
    <w:p w14:paraId="725F80FD" w14:textId="77777777" w:rsidR="00CA695C" w:rsidRPr="00191C1B" w:rsidRDefault="00CA695C" w:rsidP="00CA695C">
      <w:pPr>
        <w:pStyle w:val="NormalHanging12a"/>
      </w:pPr>
      <w:r w:rsidRPr="00191C1B">
        <w:t>E.</w:t>
      </w:r>
      <w:r w:rsidRPr="00191C1B">
        <w:tab/>
        <w:t>keďže verejná podpora zostáva krehká v dôsledku naratívov zameraných proti EÚ, ktoré propagujú neliberálni aktéri z regiónu i mimo neho;</w:t>
      </w:r>
    </w:p>
    <w:p w14:paraId="54E456C8" w14:textId="77777777" w:rsidR="00CA695C" w:rsidRPr="00191C1B" w:rsidRDefault="00CA695C" w:rsidP="00CA695C">
      <w:pPr>
        <w:pStyle w:val="NormalHanging12a"/>
      </w:pPr>
      <w:r w:rsidRPr="00191C1B">
        <w:t>F.</w:t>
      </w:r>
      <w:r w:rsidRPr="00191C1B">
        <w:tab/>
        <w:t xml:space="preserve">keďže Daytonská mierová dohoda napriek svojim nedostatkom podporila mier a následnú stabilizáciu v Bosne a Hercegovine vytvorením kľúčových inštitúcií, ktoré umožnili krajine napredovať na ceste integrácie do EÚ a NATO; </w:t>
      </w:r>
    </w:p>
    <w:p w14:paraId="56E22493" w14:textId="77777777" w:rsidR="00CA695C" w:rsidRPr="00191C1B" w:rsidRDefault="00CA695C" w:rsidP="00CA695C">
      <w:pPr>
        <w:pStyle w:val="NormalHanging12a"/>
      </w:pPr>
      <w:r w:rsidRPr="00191C1B">
        <w:t>G.</w:t>
      </w:r>
      <w:r w:rsidRPr="00191C1B">
        <w:tab/>
        <w:t xml:space="preserve">keďže 30 rokov po skončení vojny je Bosna a Hercegovina naďalej nefunkčná a opäť sa nachádza v stave hlbokej politickej a bezpečnostnej krízy, pričom je poznačená pokusmi o odtrhnutie a vysokou mierou korupcie; </w:t>
      </w:r>
    </w:p>
    <w:p w14:paraId="3CA20726" w14:textId="77777777" w:rsidR="00CA695C" w:rsidRPr="00191C1B" w:rsidRDefault="00CA695C" w:rsidP="00CA695C">
      <w:pPr>
        <w:pStyle w:val="NormalHanging12a"/>
      </w:pPr>
      <w:r w:rsidRPr="00191C1B">
        <w:t>H.</w:t>
      </w:r>
      <w:r w:rsidRPr="00191C1B">
        <w:tab/>
        <w:t>keďže EÚ rozhodne podporuje územnú celistvosť a zvrchovanosť Bosny a Hercegoviny a nebude akceptovať žiadne pokusy o jej narušenie; keďže v Strategickom kompase sa uvádza, že z hľadiska bezpečnosti a stability je mimoriadne dôležité podporovať zvrchovanosť, jednotu a územnú celistvosť Bosny a Hercegoviny;</w:t>
      </w:r>
    </w:p>
    <w:p w14:paraId="2EF91E4A" w14:textId="77777777" w:rsidR="00CA695C" w:rsidRPr="00191C1B" w:rsidRDefault="00CA695C" w:rsidP="00CA695C">
      <w:pPr>
        <w:pStyle w:val="NormalHanging12a"/>
      </w:pPr>
      <w:r w:rsidRPr="00191C1B">
        <w:t>I.</w:t>
      </w:r>
      <w:r w:rsidRPr="00191C1B">
        <w:tab/>
        <w:t xml:space="preserve">keďže prezident Republiky srbskej Milorad Dodik a politici Aliancie nezávislých sociálnych demokratov (SNSD) iniciovali protiústavné kroky na zrušenie štátnych zákonov v rámci Republiky srbskej a napadli kľúčové štátne inštitúcie, konkrétne Úrad vysokého predstaviteľa, Ústavný súd Bosny a Hercegoviny a súdnictvo; keďže orgány Republiky srbskej sa zúčastnili na „Celosrbskom zhromaždení“, ktoré sa konalo 8. júna </w:t>
      </w:r>
      <w:r w:rsidRPr="00191C1B">
        <w:lastRenderedPageBreak/>
        <w:t>2024 v Belehrade pod heslom „Jeden národ, jedno zhromaždenie“, keďže sa začal proces formovania novej proeurópskej väčšiny;</w:t>
      </w:r>
    </w:p>
    <w:p w14:paraId="260BBC6D" w14:textId="77777777" w:rsidR="00CA695C" w:rsidRPr="00191C1B" w:rsidRDefault="00CA695C" w:rsidP="00CA695C">
      <w:pPr>
        <w:pStyle w:val="NormalHanging12a"/>
      </w:pPr>
      <w:r w:rsidRPr="00191C1B">
        <w:t>J.</w:t>
      </w:r>
      <w:r w:rsidRPr="00191C1B">
        <w:tab/>
        <w:t>keďže EUFOR Althea je misia EÚ v rámci SBOP, ktorá pomáha Bosne a Hercegovine udržiavať stabilné a bezpečné prostredie v krajine a podporuje úsilie ozbrojených síl o zosúladenie s normami NATO, pričom zároveň slúži ako odstrašujúci prostriedok proti akýmkoľvek zahraničným hrozbám;</w:t>
      </w:r>
    </w:p>
    <w:p w14:paraId="2B485646" w14:textId="77777777" w:rsidR="00CA695C" w:rsidRPr="00191C1B" w:rsidRDefault="00CA695C" w:rsidP="00CA695C">
      <w:pPr>
        <w:pStyle w:val="NormalHanging12a"/>
      </w:pPr>
      <w:r w:rsidRPr="00191C1B">
        <w:t>K.</w:t>
      </w:r>
      <w:r w:rsidRPr="00191C1B">
        <w:tab/>
        <w:t>keďže smerovanie Bosny a Hercegoviny do EÚ je čoraz častejšie terčom škodlivých zahraničných aktérov, najmä Ruskej federácie a Čínskej ľudovej republiky, ktorí využívajú etnické spory a inštitucionálnu krehkosť na bránenie reformám, ohrozovanie ústavného poriadku a narúšanie dôvery verejnosti v EÚ; keďže ruské štátom kontrolované médiá vrátane tlačovej agentúry Sputnik Serbia a spravodajského kanála RT Balkan naďalej pôsobia v Bosne a Hercegovine, najmä v Republike srbskej, a šíria dezinformácie a prokremeľské naratívy, čím porušujú sankcie EÚ voči ruským propagandistickým médiám;</w:t>
      </w:r>
    </w:p>
    <w:p w14:paraId="11228982" w14:textId="77777777" w:rsidR="00CA695C" w:rsidRPr="00191C1B" w:rsidRDefault="00CA695C" w:rsidP="00CA695C">
      <w:pPr>
        <w:pStyle w:val="NormalHanging12a"/>
      </w:pPr>
      <w:r w:rsidRPr="00191C1B">
        <w:t>L.</w:t>
      </w:r>
      <w:r w:rsidRPr="00191C1B">
        <w:tab/>
        <w:t>keďže Bosna a Hercegovina je mnohonárodnostný štát, na ktorého území už stáročia žijú rôzne náboženské a etnické skupiny, čo dokazuje, že národy s rôznymi názormi môžu spolunažívať v prostredí tolerancie a vzájomného rešpektu; keďže jazyková a kultúrna rozmanitosť je jednou zo základných zásad Európskej únie, ako je zakotvené v článkoch 21 a 22 Charty základných práv:</w:t>
      </w:r>
    </w:p>
    <w:p w14:paraId="7501FE0A" w14:textId="77777777" w:rsidR="00CA695C" w:rsidRPr="00191C1B" w:rsidRDefault="00CA695C" w:rsidP="00CA695C">
      <w:pPr>
        <w:pStyle w:val="NormalHanging12a"/>
      </w:pPr>
      <w:r w:rsidRPr="00191C1B">
        <w:t>M.</w:t>
      </w:r>
      <w:r w:rsidRPr="00191C1B">
        <w:tab/>
        <w:t>keďže v prípade všeobecných volieb v roku 2022 volebná pozorovateľská misia Úradu pre demokratické inštitúcie a ľudské práva Organizácie pre bezpečnosť a spoluprácu v Európe (OBSE/ODIHR) dospela k záveru, že volebný proces je naďalej zraniteľný voči vonkajšiemu zasahovaniu vrátane zneužívania administratívnych zdrojov a zaujatého mediálneho pokrytia ovplyvneného platformami podporovanými zo zahraničia, a vyzvala na zvýšenú ochranu pred dezinformáciami, transparentnosť financovania kampaní a záruky pre novinárov a občiansku spoločnosť;</w:t>
      </w:r>
    </w:p>
    <w:p w14:paraId="687BC037" w14:textId="77777777" w:rsidR="00CA695C" w:rsidRPr="00191C1B" w:rsidRDefault="00CA695C" w:rsidP="00CA695C">
      <w:pPr>
        <w:pStyle w:val="Normal12a24b"/>
      </w:pPr>
      <w:r w:rsidRPr="00191C1B">
        <w:rPr>
          <w:rStyle w:val="BoldItalic"/>
        </w:rPr>
        <w:t>Záväzok v súvislosti s pristúpením k EÚ</w:t>
      </w:r>
    </w:p>
    <w:p w14:paraId="6E89DE1C" w14:textId="77777777" w:rsidR="00CA695C" w:rsidRPr="00191C1B" w:rsidRDefault="00CA695C" w:rsidP="00CA695C">
      <w:pPr>
        <w:pStyle w:val="NormalHanging12a"/>
      </w:pPr>
      <w:r w:rsidRPr="00191C1B">
        <w:t>1.</w:t>
      </w:r>
      <w:r w:rsidRPr="00191C1B">
        <w:tab/>
        <w:t>potvrdzuje svoju podporu pristúpeniu Bosny a Hercegoviny k EÚ prostredníctvom procesu založeného na dosiahnutých výsledkoch, kodanských kritériách, jednote, zvrchovanosti, územnej celistvosti a rovnosti medzi jej občanmi;</w:t>
      </w:r>
    </w:p>
    <w:p w14:paraId="3A1ADA19" w14:textId="77777777" w:rsidR="00CA695C" w:rsidRPr="00191C1B" w:rsidRDefault="00CA695C" w:rsidP="00CA695C">
      <w:pPr>
        <w:pStyle w:val="NormalHanging12a"/>
      </w:pPr>
      <w:r w:rsidRPr="00191C1B">
        <w:t>2.</w:t>
      </w:r>
      <w:r w:rsidRPr="00191C1B">
        <w:tab/>
        <w:t>víta rozhodnutie Európskej rady začať prístupové rokovania s Bosnou a Hercegovinou v kontexte zmenenej geopolitickej reality po začiatku útočnej vojny Ruska proti Ukrajine; víta prijatie viacerých kľúčových zákonov pred týmto rozhodnutím, vyjadruje však poľutovanie nad tým, že pozitívna dynamika reforiem sa zastavila, a poukazuje na nedostatočné vykonávanie a presadzovanie prijatých zákonov; vyjadruje poľutovanie nad tým, že legislatívny proces bol poznačený nedostatočnou transparentnosťou a obmedzeným prístupom kľúčových zainteresovaných strán; berie na vedomie nedávne prijatie zákona o kontrole hraníc a zákona o ochrane osobných údajov a požaduje ich dôkladné vykonávanie; vyzýva na prípravy na vytvorenie inštitucionálneho a finančného základu pre toto rozšírenie s cieľom zabezpečiť udržateľnú integráciu do EÚ;</w:t>
      </w:r>
    </w:p>
    <w:p w14:paraId="332DC9B9" w14:textId="77777777" w:rsidR="00CA695C" w:rsidRPr="00191C1B" w:rsidRDefault="00CA695C" w:rsidP="00CA695C">
      <w:pPr>
        <w:pStyle w:val="NormalHanging12a"/>
      </w:pPr>
      <w:r w:rsidRPr="00191C1B">
        <w:t>3.</w:t>
      </w:r>
      <w:r w:rsidRPr="00191C1B">
        <w:tab/>
        <w:t xml:space="preserve">naliehavo vyzýva legitímnych politických lídrov Bosny a Hercegoviny na všetkých úrovniach, aby podnikli všetky relevantné kroky stanovené v odporúčaní Komisie z 12. októbra 2022 pri plnom rešpektovaní riadnych demokratických, transparentných a </w:t>
      </w:r>
      <w:r w:rsidRPr="00191C1B">
        <w:lastRenderedPageBreak/>
        <w:t>inkluzívnych postupov v rámci príslušných inštitúcií, aby Rada mohla prijať rokovací rámec, keď budú tieto podmienky splnené, a aby zintenzívnili úsilie o splnenie 14 kľúčových priorít, ktoré Komisia stanovila v roku 2019; vyzýva všetkých politických aktérov, aby podporovali jednotu, zvrchovanosť a územnú celistvosť Bosny a Hercegoviny a aby sa zdržali akejkoľvek rozdeľujúcej rétoriky a činov vrátane separatistických, ako aj podnecovania k etnickej, náboženskej a rasovej neznášanlivosti, popierania genocídy a iných vojnových zločinov a glorifikovania vojnových zločinov a ich páchateľov;</w:t>
      </w:r>
    </w:p>
    <w:p w14:paraId="7EA09379" w14:textId="77777777" w:rsidR="00CA695C" w:rsidRPr="00191C1B" w:rsidRDefault="00CA695C" w:rsidP="00CA695C">
      <w:pPr>
        <w:pStyle w:val="NormalHanging12a"/>
      </w:pPr>
      <w:r w:rsidRPr="00191C1B">
        <w:t>4.</w:t>
      </w:r>
      <w:r w:rsidRPr="00191C1B">
        <w:tab/>
        <w:t>zdôrazňuje, že prístupový proces Bosny a Hercegoviny musí byť ukotvený vo fungujúcich demokratických inštitúciách, právnom štáte, boji proti korupcii a organizovanej trestnej činnosti, ako aj v dodržiavaní základných práv a nediskriminácii vo vzťahu ku všetkým občanom vrátane štátotvorných národov bez ohľadu na etnickú, náboženskú alebo inú príslušnosť;</w:t>
      </w:r>
    </w:p>
    <w:p w14:paraId="71467DEB" w14:textId="77777777" w:rsidR="00CA695C" w:rsidRPr="00191C1B" w:rsidRDefault="00CA695C" w:rsidP="00CA695C">
      <w:pPr>
        <w:pStyle w:val="NormalHanging12a"/>
      </w:pPr>
      <w:r w:rsidRPr="00191C1B">
        <w:t>5.</w:t>
      </w:r>
      <w:r w:rsidRPr="00191C1B">
        <w:tab/>
        <w:t>dôrazne odsudzuje opakované používanie štvavej rétoriky a prijímanie separatistických zákonov a politík prezidentom Republiky srbskej Miloradom Dodikom, stranou SNSD a zhromaždením entity Republika srbská vrátane osláv takzvaného „Dňa Republiky srbskej“ a Dňa štátnosti Republiky srbskej; zdôrazňuje, že takéto kroky narúšajú ústavný poriadok, územnú celistvosť a zvrchovanosť Bosny a Hercegoviny, sú nezlučiteľné s jej procesom pristúpenia k EÚ a podkopávajú Daytonskú mierovú dohodu;</w:t>
      </w:r>
    </w:p>
    <w:p w14:paraId="38598F0A" w14:textId="77777777" w:rsidR="00CA695C" w:rsidRPr="00191C1B" w:rsidRDefault="00CA695C" w:rsidP="00CA695C">
      <w:pPr>
        <w:pStyle w:val="NormalHanging12a"/>
      </w:pPr>
      <w:r w:rsidRPr="00191C1B">
        <w:t>6.</w:t>
      </w:r>
      <w:r w:rsidRPr="00191C1B">
        <w:tab/>
        <w:t>naliehavo žiada všetky členské štáty – a vyzýva na ich jednotu –, ako aj Európsku službu pre vonkajšiu činnosť (ESVČ) a Komisiu, aby konali rozhodnejšie a reagovali na tieto priame hrozby pre európsku bezpečnosť, a opakuje svoju výzvu na cielené sankcie voči všetkým destabilizačným aktérom, najmä Miloradovi Dodikovi, ako aj voči ďalším vysokopostaveným predstaviteľom Republiky srbskej a Srbska, ktorí separatistické politiky z politického a materiálneho hľadiska podporujú; vyzýva všetky členské štáty, aby zabezpečili, že tieto sankcie bude môcť prijať Rada, a aby ich uložili na bilaterálnej úrovni alebo na základe dohody s ostatnými členskými štátmi, ak ich prijatie v Rade nebude možné; odsudzuje úlohu maďarskej vlády pri blokovaní sankcií; schvaľuje vyhlásenia generálneho tajomníka NATO Marka Rutteho z 10. marca 2025 v Sarajeve a PK/VP Kaje Kallasovej z 8. apríla v Sarajeve a vyzýva na zachovanie stability v krajine; je presvedčený, že vysokí predstavitelia EÚ by sa nemali zapájať do spolupráce s aktérmi, ktorí ohrozujú ústavný poriadok Bosny a Hercegoviny, aby nepoškodili dôveryhodnosť EÚ pri podpore štátnych inštitúcií Bosny a Hercegoviny, a víta zákazy cestovania, ktoré niektoré členské štáty uvalili na vysokopostavených jednotlivcov z Republiky srbskej;</w:t>
      </w:r>
    </w:p>
    <w:p w14:paraId="5ED15769" w14:textId="77777777" w:rsidR="00CA695C" w:rsidRPr="00191C1B" w:rsidRDefault="00CA695C" w:rsidP="00CA695C">
      <w:pPr>
        <w:pStyle w:val="NormalHanging12a"/>
      </w:pPr>
      <w:r w:rsidRPr="00191C1B">
        <w:t>7.</w:t>
      </w:r>
      <w:r w:rsidRPr="00191C1B">
        <w:tab/>
        <w:t xml:space="preserve">berie na vedomie rozhodnutie súdu Bosny a Hercegoviny v prípade Milorada Dodika z 26. februára 2025 a je veľmi znepokojený stupňujúcim sa napätím a krokmi, ktoré odvtedy podnikol, vrátane bezprecedentných útokov na inštitúcie Bosny a Hercegoviny a zastrašovania opozície v Republike srbskej; vyjadruje poľutovanie nad tým, že ruské a srbské orgány podporujú takéto politiky, a vyzýva všetkých domácich, regionálnych a medzinárodných aktérov, aby rešpektovali zvrchovanosť a územnú celistvosť Bosny a Hercegoviny; vyzýva na medzinárodnú izoláciu Milorada Dodika; odsudzuje nedávne rozhodnutie vlády Republiky srbskej vyhlásiť vysokú úradníčku nemeckého ministerstva zahraničných vecí za nežiaducu osobu; so znepokojením konštatuje, že INTERPOL odmietol vydať červený obežník na účely medzinárodného zatykača, a vyzýva sily EUFOR, aby poskytli konkrétnu podporu orgánom Bosny a Hercegoviny s cieľom ukončiť pokračujúce úsilie o oslabenie právnej a politickej stability krajiny a </w:t>
      </w:r>
      <w:r w:rsidRPr="00191C1B">
        <w:lastRenderedPageBreak/>
        <w:t>aby preukázali odhodlanie a schopnosť EÚ a EUFOR udržiavať mier, presadzovať právny štát a zachovať integritu právnych inštitúcií;</w:t>
      </w:r>
    </w:p>
    <w:p w14:paraId="20133CC0" w14:textId="77777777" w:rsidR="00CA695C" w:rsidRPr="00191C1B" w:rsidRDefault="00CA695C" w:rsidP="00CA695C">
      <w:pPr>
        <w:pStyle w:val="NormalHanging12a"/>
      </w:pPr>
      <w:r w:rsidRPr="00191C1B">
        <w:t>8.</w:t>
      </w:r>
      <w:r w:rsidRPr="00191C1B">
        <w:tab/>
        <w:t xml:space="preserve">vyjadruje poľutovanie nad tým, že politika a kroky Milorada Dodika vrátane častých blokád orgánov a rozhodovania na štátnej úrovni a oslabovania inštitúcií Bosny a Hercegoviny potrebných pre technickú prácu na zosúlaďovaní s </w:t>
      </w:r>
      <w:r w:rsidRPr="00191C1B">
        <w:rPr>
          <w:i/>
          <w:iCs/>
        </w:rPr>
        <w:t>acquis</w:t>
      </w:r>
      <w:r w:rsidRPr="00191C1B">
        <w:t xml:space="preserve"> EÚ sú hlavným faktorom problematickej cesty Bosny a Hercegoviny k vstupu do EÚ a jasným porušením politickej dohody z 12. júna 2022; víta prácu príslušných inštitúcií Bosny a Hercegoviny a vyzýva ich, aby dodržiavali riadne postupy a vykonávali a implementovali všetky rozhodnutia pri plnom rešpektovaní zásad právneho štátu; naliehavo žiada všetkých politických aktérov, najmä v entite Republika srbská, aby odmietli všetky separatistické kroky podkopávajúce jednotu, zvrchovanosť, územnú celistvosť a bezpečnosť krajiny; naliehavo vyzýva Národné zhromaždenie Republiky srbskej, aby zabezpečilo, že v jeho úradnom vestníku sa budú uvádzať rozhodnutia Ústavného súdu Bosny a Hercegoviny týkajúce sa právnych predpisov Republiky srbskej, ktoré podľa súdu ohrozovali ústavný poriadok a boli zrušené;</w:t>
      </w:r>
    </w:p>
    <w:p w14:paraId="1D0E50EB" w14:textId="77777777" w:rsidR="00CA695C" w:rsidRPr="00191C1B" w:rsidRDefault="00CA695C" w:rsidP="00CA695C">
      <w:pPr>
        <w:pStyle w:val="NormalHanging12a"/>
      </w:pPr>
      <w:r w:rsidRPr="00191C1B">
        <w:t>9.</w:t>
      </w:r>
      <w:r w:rsidRPr="00191C1B">
        <w:tab/>
        <w:t>naliehavo žiada Komisiu, aby v úzkej spolupráci s členskými štátmi a medzinárodnými partnermi vrátane Úradu vysokého predstaviteľa, Organizácie pre bezpečnosť a spoluprácu v Európe (OBSE) a Rady Európy zhodnotila skúsenosti získané počas uplynulých 15 rokov európskej angažovanosti v Bosne a Hercegovine a aby zodpovedajúcim spôsobom upravila svoju stratégiu a opätovne sa zamerala na dosiahnutie hmatateľného pokroku a reforiem, ktoré urýchlia cestu krajiny k členstvu v EÚ, čím by opätovne potvrdila neochvejný záväzok EÚ plne integrovať Bosnu a Hercegovinu do Únie;</w:t>
      </w:r>
    </w:p>
    <w:p w14:paraId="4942FF91" w14:textId="77777777" w:rsidR="00CA695C" w:rsidRPr="00191C1B" w:rsidRDefault="00CA695C" w:rsidP="00CA695C">
      <w:pPr>
        <w:pStyle w:val="NormalHanging12a"/>
      </w:pPr>
      <w:r w:rsidRPr="00191C1B">
        <w:t>10.</w:t>
      </w:r>
      <w:r w:rsidRPr="00191C1B">
        <w:tab/>
        <w:t>víta formálne úplné zosúladenie Bosny a Hercegoviny so spoločnou zahraničnou a bezpečnostnou politikou EÚ vrátane reštriktívnych opatrení v reakcii na útočnú vojnu Ruska proti Ukrajine a naliehavo vyzýva na účinné vykonávanie týchto opatrení; víta pokračujúcu účasť Bosny a Hercegoviny na misiách a operáciách krízového riadenia EÚ; odsudzuje proruský postoj vedenia Republiky srbskej a jeho časté stretnutia s Vladimírom Putinom a ďalšími ruskými predstaviteľmi; vyjadruje vážne znepokojenie nad bezpečnostnými rizikami, ktoré tieto väzby predstavujú; naliehavo žiada EÚ, aby vyšetrila využívanie Republiky srbskej ako vstupnej brány pre ruské spravodajské operácie a hybridné útoky na členské štáty EÚ; vyzýva na podporu Bosny a Hercegoviny v boji proti dezinformačným kampaniam pochádzajúcim z Ruska v rámci spoločného úsilia proti hybridným hrozbám; rozhodne podporuje sústavné úsilie Bosny a Hercegoviny o euroatlantickú integráciu a členstvo v NATO a vyzýva všetkých politických aktérov, aby podnikli konkrétne politické kroky na naplnenie týchto snáh;</w:t>
      </w:r>
    </w:p>
    <w:p w14:paraId="2A53405C" w14:textId="77777777" w:rsidR="00CA695C" w:rsidRPr="00191C1B" w:rsidRDefault="00CA695C" w:rsidP="00CA695C">
      <w:pPr>
        <w:pStyle w:val="NormalHanging12a"/>
      </w:pPr>
      <w:r w:rsidRPr="00191C1B">
        <w:t>11.</w:t>
      </w:r>
      <w:r w:rsidRPr="00191C1B">
        <w:tab/>
        <w:t>opakuje svoju podporu Úradu vysokého predstaviteľa a operácii EUFOR Althea pri dohliadaní na vykonávanie Daytonskej mierovej dohody v súlade s ich mandátmi založenými na politickej neutralite a plnom rešpektovaní ústavy Bosny a Hercegoviny, kým krajina nesplní „program 5+2“ a neskončí sa jej medzinárodný dohľad; víta obnovenie mandátu operácie EUFOR Althea; vyjadruje poľutovanie nad tým, že Bosna a Hercegovina je stále vo veľkej miere závislá od mandátu Úradu vysokého predstaviteľa a prítomnosti EUFOR Althea, ale uznáva, že ide o kľúčovú inštitúciu pri zabezpečovaní nielen mieru, ale aj samotného fungovania krajiny, a oceňuje jej význam;</w:t>
      </w:r>
    </w:p>
    <w:p w14:paraId="56D8C55D" w14:textId="77777777" w:rsidR="00CA695C" w:rsidRPr="00191C1B" w:rsidRDefault="00CA695C" w:rsidP="00CA695C">
      <w:pPr>
        <w:pStyle w:val="NormalHanging12a"/>
      </w:pPr>
      <w:r w:rsidRPr="00191C1B">
        <w:t>12.</w:t>
      </w:r>
      <w:r w:rsidRPr="00191C1B">
        <w:tab/>
        <w:t xml:space="preserve">pripomína, že operácia EUFOR Althea zohráva rozhodujúcu úlohu pri zaisťovaní bezpečnosti, územnej celistvosti, stability, zvrchovanosti a politickej nezávislosti Bosny </w:t>
      </w:r>
      <w:r w:rsidRPr="00191C1B">
        <w:lastRenderedPageBreak/>
        <w:t xml:space="preserve">a Hercegoviny a zároveň zabezpečuje, aby miestne zainteresované strany konali v súlade s týmito základnými zásadami, ako sa uvádza v Daytonskej mierovej dohode a v rezolúciách Bezpečnostnej rady OSN; naliehavo vyzýva sily EUFOR, aby tento mandát jednoznačne prezentovali občanom Bosny a Hercegoviny ako opatrenie na budovanie dôvery; </w:t>
      </w:r>
    </w:p>
    <w:p w14:paraId="5518669D" w14:textId="77777777" w:rsidR="00CA695C" w:rsidRPr="00191C1B" w:rsidRDefault="00CA695C" w:rsidP="00CA695C">
      <w:pPr>
        <w:pStyle w:val="NormalHanging12a"/>
      </w:pPr>
      <w:r w:rsidRPr="00191C1B">
        <w:t>13.</w:t>
      </w:r>
      <w:r w:rsidRPr="00191C1B">
        <w:tab/>
        <w:t>ďalej víta rozhodnutie Rady o opatrení pomoci v rámci Európskeho mierového nástroja v hodnote 10 miliónov EUR v prospech ozbrojených síl Bosny a Hercegoviny (OSBH) a zmluvu o spolupráci a výcviku na rok 2023 medzi ozbrojenými silami Bosny a Hercegoviny a EUFOR; vyzýva Radu a PK/VP, aby umožnili všetkým oprávneným členským štátom zúčastňovať sa na mierových misiách EÚ, ako je napríklad operácia EUFOR Althea v Bosne a Hercegovine; vyzýva orgány Bosny a Hercegoviny, NATO a EUFOR Althea, aby začali reformný proces ozbrojených síl Bosny a Hercegoviny;</w:t>
      </w:r>
    </w:p>
    <w:p w14:paraId="2425691B" w14:textId="77777777" w:rsidR="00CA695C" w:rsidRPr="00191C1B" w:rsidRDefault="00CA695C" w:rsidP="00CA695C">
      <w:pPr>
        <w:pStyle w:val="NormalHanging12a"/>
      </w:pPr>
      <w:r w:rsidRPr="00191C1B">
        <w:t>14.</w:t>
      </w:r>
      <w:r w:rsidRPr="00191C1B">
        <w:tab/>
        <w:t xml:space="preserve">je naďalej znepokojený škodlivým zahraničným zasahovaním a dezinformačnými kampaňami zahraničných aktérov v Bosne a Hercegovine, najmä Ruska a Číny, ako aj ich šírením prostredníctvom miestnych médií a politických štruktúr, najmä zo strany Republiky srbskej; vyjadruje vážne znepokojenie nad podporou separatistickej rétoriky zo strany Kremľa, pokusmi o delegitimizáciu štátnych inštitúcií a zasahovaním do súdnych a volebných záležitostí; upozorňuje na nedávne úsilie Ruska v Bezpečnostnej rade OSN obhajovať protiústavné kroky orgánov Republiky srbskej; </w:t>
      </w:r>
    </w:p>
    <w:p w14:paraId="4A3E0301" w14:textId="77777777" w:rsidR="00CA695C" w:rsidRPr="00191C1B" w:rsidRDefault="00CA695C" w:rsidP="00CA695C">
      <w:pPr>
        <w:pStyle w:val="NormalHanging12a"/>
      </w:pPr>
      <w:r w:rsidRPr="00191C1B">
        <w:t>15.</w:t>
      </w:r>
      <w:r w:rsidRPr="00191C1B">
        <w:tab/>
        <w:t xml:space="preserve">požaduje ďalšie kroky, okrem iného zosúladenie právnych predpisov Bosny a Hercegoviny s </w:t>
      </w:r>
      <w:r w:rsidRPr="00191C1B">
        <w:rPr>
          <w:i/>
          <w:iCs/>
        </w:rPr>
        <w:t>acquis</w:t>
      </w:r>
      <w:r w:rsidRPr="00191C1B">
        <w:t xml:space="preserve"> EÚ, ako aj podporu EÚ s cieľom účinne bojovať proti škodlivému zahraničnému zasahovaniu a dezinformačným kampaniam; vyzýva ESVČ a delegáciu EÚ v Bosne a Hercegovine, aby zintenzívnili úsilie pri propagácii výhod užšej integrácie a investovali do komunikačných kampaní na boj proti antidemokratickým naratívom a iným formám zahraničného vplyvu;</w:t>
      </w:r>
    </w:p>
    <w:p w14:paraId="4806212B" w14:textId="77777777" w:rsidR="00CA695C" w:rsidRPr="00191C1B" w:rsidRDefault="00CA695C" w:rsidP="00CA695C">
      <w:pPr>
        <w:pStyle w:val="NormalHanging12a"/>
      </w:pPr>
      <w:r w:rsidRPr="00191C1B">
        <w:t>16.</w:t>
      </w:r>
      <w:r w:rsidRPr="00191C1B">
        <w:tab/>
        <w:t>odsudzuje účasť orgánov entity Republika srbská na „Celosrbskom zhromaždení“, ktoré sa konalo 8. júna 2024 v Belehrade pod heslom „Jeden národ, jedno zhromaždenie“, a odmieta jeho vyhlásenie, ktoré ohrozuje suverenitu Bosny a Hercegoviny a ďalších krajín západného Balkánu a nepodporuje dobré susedské vzťahy; odsudzuje zasahovanie srbského prezidenta Alexandra Vučića do záležitostí Bosny a Hercegoviny vrátane vyjadrovania podpory nelegitímnym krokom Milorada Dodika a organizovania Ruskom podporovaného „Celosrbského zhromaždenia“, ktoré ohrozuje zvrchovanosť a územnú celistvosť Bosny a Hercegoviny;</w:t>
      </w:r>
    </w:p>
    <w:p w14:paraId="2E33465D" w14:textId="77777777" w:rsidR="00CA695C" w:rsidRPr="00191C1B" w:rsidRDefault="00CA695C" w:rsidP="00CA695C">
      <w:pPr>
        <w:pStyle w:val="NormalHanging12a"/>
        <w:rPr>
          <w:bCs/>
          <w:iCs/>
        </w:rPr>
      </w:pPr>
      <w:r w:rsidRPr="00191C1B">
        <w:t>17.</w:t>
      </w:r>
      <w:r w:rsidRPr="00191C1B">
        <w:tab/>
        <w:t>odsudzuje rastúci škodlivý vplyv Iránu v krajine a na západnom Balkáne, ktorý ohrozuje bezpečnosť EÚ a jej členských štátov;</w:t>
      </w:r>
    </w:p>
    <w:p w14:paraId="001F2C2A" w14:textId="77777777" w:rsidR="00CA695C" w:rsidRPr="00191C1B" w:rsidRDefault="00CA695C" w:rsidP="00CA695C">
      <w:pPr>
        <w:pStyle w:val="NormalHanging12a"/>
      </w:pPr>
      <w:r w:rsidRPr="00191C1B">
        <w:t>18.</w:t>
      </w:r>
      <w:r w:rsidRPr="00191C1B">
        <w:tab/>
        <w:t>víta obnovenú a trvalú angažovanosť Bosny a Hercegoviny v Parlamentnom výbore pre stabilizáciu a pridruženie EÚ – Bosna a Hercegovina, čím sa plní jedna zo 14 kľúčových priorít, ktoré stanovila Komisia;</w:t>
      </w:r>
    </w:p>
    <w:p w14:paraId="46EDFA95" w14:textId="77777777" w:rsidR="00CA695C" w:rsidRPr="00191C1B" w:rsidRDefault="00CA695C" w:rsidP="00CA695C">
      <w:pPr>
        <w:pStyle w:val="NormalHanging12a"/>
      </w:pPr>
      <w:r w:rsidRPr="00191C1B">
        <w:t>19.</w:t>
      </w:r>
      <w:r w:rsidRPr="00191C1B">
        <w:tab/>
        <w:t xml:space="preserve">naliehavo vyzýva orgány Bosny a Hercegoviny, aby zreformovali koordinačný mechanizmus pre záležitosti EÚ, ktorý sa ukázal ako neúčinný a neefektívny pri riešení úloh súvisiacich s integráciou do EÚ; vyzýva orgány, aby v súlade s pripomienkami Komisie predložili národný program prijatia </w:t>
      </w:r>
      <w:r w:rsidRPr="00191C1B">
        <w:rPr>
          <w:i/>
          <w:iCs/>
        </w:rPr>
        <w:t>acquis</w:t>
      </w:r>
      <w:r w:rsidRPr="00191C1B">
        <w:t xml:space="preserve"> EÚ (NPAA) a zabezpečili koordinované zosúladenie s </w:t>
      </w:r>
      <w:r w:rsidRPr="00191C1B">
        <w:rPr>
          <w:i/>
          <w:iCs/>
        </w:rPr>
        <w:t>acquis</w:t>
      </w:r>
      <w:r w:rsidRPr="00191C1B">
        <w:t xml:space="preserve"> EÚ v celej krajine; zdôrazňuje, že po rozhodnutí Európskej rady o začatí prístupových rokovaní je potrebné vytvoriť operatívnu </w:t>
      </w:r>
      <w:r w:rsidRPr="00191C1B">
        <w:lastRenderedPageBreak/>
        <w:t>rokovaciu štruktúru vrátane vymenovania rokovacieho tímu a hlavného vyjednávača, ktorý bude plne oprávnený prezentovať pozíciu krajiny;</w:t>
      </w:r>
    </w:p>
    <w:p w14:paraId="32B3103B" w14:textId="77777777" w:rsidR="00CA695C" w:rsidRPr="00191C1B" w:rsidRDefault="00CA695C" w:rsidP="00CA695C">
      <w:pPr>
        <w:pStyle w:val="Normal12a24b"/>
      </w:pPr>
      <w:r w:rsidRPr="00191C1B">
        <w:rPr>
          <w:rStyle w:val="BoldItalic"/>
        </w:rPr>
        <w:t>Demokracia a právny štát</w:t>
      </w:r>
    </w:p>
    <w:p w14:paraId="1A827117" w14:textId="77777777" w:rsidR="00CA695C" w:rsidRPr="00191C1B" w:rsidRDefault="00CA695C" w:rsidP="00CA695C">
      <w:pPr>
        <w:pStyle w:val="NormalHanging12a"/>
      </w:pPr>
      <w:r w:rsidRPr="00191C1B">
        <w:t>20.</w:t>
      </w:r>
      <w:r w:rsidRPr="00191C1B">
        <w:tab/>
        <w:t>vyjadruje poľutovanie nad tým, že politickí aktéri stále neuzákonili potrebné zmeny ústavy a volebného zákona na ich zosúladenie s Európskym dohovorom o ľudských právach a vykonanie príslušných rozhodnutí Ústavného súdu Bosny a Hercegoviny a Európskeho súdu pre ľudské práva s cieľom odstrániť všetky formy nerovnosti a diskriminácie vo volebnom procese a zabezpečiť nediskrimináciu, ochranu základných práv a rovnosť pre všetkých občanov Bosny a Hercegoviny v záujme „prechodu z Daytonu do Bruselu“; opakuje, že neuplatňovanie týchto rozhodnutí je nezlučiteľné s hodnotami EÚ a integráciou Bosny a Hercegoviny do EÚ; zdôrazňuje, že je potrebné, aby všetky procesy ústavnej a volebnej reformy boli inkluzívne, založené na komplexných konzultáciách s občanmi, občianskou spoločnosťou, nezávislými odborníkmi a všetkými príslušnými zainteresovanými stranami v krajine a v súlade s európskymi normami a zásadami; opakuje, že žiadna volebná reforma nesmie prehĺbiť ani upevniť etnické rozpory;</w:t>
      </w:r>
    </w:p>
    <w:p w14:paraId="1939480A" w14:textId="77777777" w:rsidR="00CA695C" w:rsidRPr="00191C1B" w:rsidRDefault="00CA695C" w:rsidP="00CA695C">
      <w:pPr>
        <w:pStyle w:val="NormalHanging12a"/>
      </w:pPr>
      <w:r w:rsidRPr="00191C1B">
        <w:t>21.</w:t>
      </w:r>
      <w:r w:rsidRPr="00191C1B">
        <w:tab/>
        <w:t>vyjadruje poľutovanie nad tým, že orgány Bosny a Hercegoviny nedokázali zjednotiť spoločnosť ani vytvoriť spravodlivý a funkčný systém v krajine, ale skôr vo veľkej miere prispeli k prehlbovaniu rozporov; vyzýva EÚ a jej členské štáty, aby začali proces transparentných a inkluzívnych reforiem, ktorý by umožnil udržateľnú transformáciu Daytonskej mierovej dohody na ústavu, plne v súlade s európskymi normami a zásadami, s cieľom zabezpečiť funkčný, zodpovedný, reprezentatívny a všeobecne legitímny systém správy vecí verejných, prekonať etnicko-nacionalistické rozpory a dosiahnuť udržateľný pokrok na ceste do EÚ;</w:t>
      </w:r>
    </w:p>
    <w:p w14:paraId="458D6274" w14:textId="77777777" w:rsidR="00CA695C" w:rsidRPr="00191C1B" w:rsidRDefault="00CA695C" w:rsidP="00CA695C">
      <w:pPr>
        <w:pStyle w:val="NormalHanging12a"/>
      </w:pPr>
      <w:r w:rsidRPr="00191C1B">
        <w:t>22.</w:t>
      </w:r>
      <w:r w:rsidRPr="00191C1B">
        <w:tab/>
        <w:t>berie na vedomie zmeny volebného zákona, ktoré vykonal vysoký predstaviteľ v marci 2024 a ktorými sa zaviedli dôležité normy integrity a opatrenia na budovanie dôvery s cieľom obnoviť dôveru voličov vo volebný proces ako celok; vyzýva Parlamentné zhromaždenie Bosny a Hercegoviny, aby sa urýchlene zaoberalo všetkými nedoriešenými odporúčaniami OBSE/ODIHR, Benátskej komisie a Skupiny štátov proti korupcii (GRECO), najmä pokiaľ ide o záležitosti týkajúce sa volebnej správy, priebehu hlasovania a sčítavania hlasov, vedenia kampane a jej financovania, výslovného zákazu nepriameho kupovania hlasov, riešenia volebných sporov, boja proti dezinformáciám a zahraničnému zasahovaniu, zvýšenia ochrany novinárov a ukladania sankcií za zneužívanie administratívnych zdrojov;</w:t>
      </w:r>
    </w:p>
    <w:p w14:paraId="5C06C62B" w14:textId="77777777" w:rsidR="00CA695C" w:rsidRPr="00191C1B" w:rsidRDefault="00CA695C" w:rsidP="00CA695C">
      <w:pPr>
        <w:pStyle w:val="NormalHanging12a"/>
      </w:pPr>
      <w:r w:rsidRPr="00191C1B">
        <w:t>23.</w:t>
      </w:r>
      <w:r w:rsidRPr="00191C1B">
        <w:tab/>
        <w:t>víta skutočnosť, že komunálne voľby, ktoré sa konali 6. októbra 2024, boli založené na slobodnej súťaži a boli účinne riadené; vyjadruje poľutovanie nad tým, že sa uskutočnili v prostredí, v ktorom chýbala sociálna a politická súdržnosť;</w:t>
      </w:r>
    </w:p>
    <w:p w14:paraId="0AED4B26" w14:textId="77777777" w:rsidR="00CA695C" w:rsidRPr="00191C1B" w:rsidRDefault="00CA695C" w:rsidP="00CA695C">
      <w:pPr>
        <w:pStyle w:val="NormalHanging12a"/>
      </w:pPr>
      <w:r w:rsidRPr="00191C1B">
        <w:t>24.</w:t>
      </w:r>
      <w:r w:rsidRPr="00191C1B">
        <w:tab/>
        <w:t>dôrazne odsudzuje konanie subjektu Republika srbská, ktoré oslabuje ústavný poriadok Bosny a Hercegoviny a právomoci štátnych orgánov, a jeho obštrukcie voči ústavnému súdu Bosny a Hercegoviny; odsudzuje všetky nezákonné kroky, ktoré sú v rozpore s ústavným rámcom, a vyzýva všetkých politických aktérov v Bosne a Hercegovine, aby uplatňovali proeurópsky prístup;</w:t>
      </w:r>
    </w:p>
    <w:p w14:paraId="4C689705" w14:textId="77777777" w:rsidR="00CA695C" w:rsidRPr="00191C1B" w:rsidRDefault="00CA695C" w:rsidP="00CA695C">
      <w:pPr>
        <w:pStyle w:val="NormalHanging12a"/>
      </w:pPr>
      <w:r w:rsidRPr="00191C1B">
        <w:t>25.</w:t>
      </w:r>
      <w:r w:rsidRPr="00191C1B">
        <w:tab/>
        <w:t xml:space="preserve">berie na vedomie obmedzený pokrok v reformách súdnictva v Bosne a Hercegovine, najmä pokiaľ ide o nezávislosť, profesionalitu, účinnosť a zodpovednosť súdneho systému; požaduje naliehavé opatrenia na urýchlenie reforiem v týchto oblastiach, </w:t>
      </w:r>
      <w:r w:rsidRPr="00191C1B">
        <w:lastRenderedPageBreak/>
        <w:t>zabezpečenie úplného zosúladenia s normami EÚ a posilnenie schopnosti súdnictva účinne slúžiť spravodlivosti a presadzovať zásady právneho štátu;</w:t>
      </w:r>
    </w:p>
    <w:p w14:paraId="637666B8" w14:textId="77777777" w:rsidR="00CA695C" w:rsidRPr="00191C1B" w:rsidRDefault="00CA695C" w:rsidP="00CA695C">
      <w:pPr>
        <w:pStyle w:val="NormalHanging12a"/>
      </w:pPr>
      <w:r w:rsidRPr="00191C1B">
        <w:t>26.</w:t>
      </w:r>
      <w:r w:rsidRPr="00191C1B">
        <w:tab/>
        <w:t>je naďalej vážne znepokojený korupciou, najmä korupciou na vysokej úrovni, v Bosne a Hercegovine, ktorá je štrukturálnym problémom pevne zakotveným vo veľmi zložitom systéme správy krajiny, a naliehavo vyzýva príslušné orgány, aby zaujali rozhodnejší, koordinovanejší, transparentnejší a proaktívnejší postoj v boji proti nej, a to aj zlepšením protikorupčných právnych predpisov v plnom súlade s medzinárodnými normami a odporúčaniami a zabezpečením účinného vykonávania zákonov, ako sú zákony o predchádzaní konfliktom záujmov a ochrane oznamovateľov; nabáda Bosnu a Hercegovinu, aby sa zapojila do štruktúrovanej spolupráce a výmeny najlepších postupov s členskými štátmi; víta protikorupčnú stratégiu na roky 2024 – 2028 a prijatie akčného plánu na jej vykonávanie, ako aj prebiehajúce úsilie o medzinárodnú spoluprácu;</w:t>
      </w:r>
    </w:p>
    <w:p w14:paraId="504F7AC2" w14:textId="77777777" w:rsidR="00CA695C" w:rsidRPr="00191C1B" w:rsidRDefault="00CA695C" w:rsidP="00CA695C">
      <w:pPr>
        <w:pStyle w:val="NormalHanging12a"/>
      </w:pPr>
      <w:r w:rsidRPr="00191C1B">
        <w:t>27.</w:t>
      </w:r>
      <w:r w:rsidRPr="00191C1B">
        <w:tab/>
        <w:t>vyjadruje poľutovanie nad tým, že zákony o verejnom obstarávaní, o konflikte záujmov a o Vysokej rade pre sudcov stále nie sú v súlade s európskymi normami, a naliehavo požaduje prijatie nového zákona o Vysokej rade pre sudcov a prokuratúru v súlade s odporúčaniami Benátskej komisie; vyzýva na zriadenie nezávisle fungujúceho oddelenia pre majetkové priznania v rámci Vysokej rady pre sudcov a prokuratúru a zasadzuje sa za nestranné a účinné stíhanie prípadov korupcie na vysokých miestach;</w:t>
      </w:r>
    </w:p>
    <w:p w14:paraId="14253D1F" w14:textId="77777777" w:rsidR="00CA695C" w:rsidRPr="00191C1B" w:rsidRDefault="00CA695C" w:rsidP="00CA695C">
      <w:pPr>
        <w:pStyle w:val="NormalHanging12a"/>
      </w:pPr>
      <w:r w:rsidRPr="00191C1B">
        <w:t>28.</w:t>
      </w:r>
      <w:r w:rsidRPr="00191C1B">
        <w:tab/>
        <w:t>zdôrazňuje, že je potrebné posilniť systém riadenia konfliktov záujmov osôb v najvyšších výkonných funkciách, najmä zabezpečením pravidelného a vecného overovania vyhlásení o záujmoch; zdôrazňuje, že všetky osoby v najvyšších výkonných funkciách, či už volené alebo menované, by mali podliehať jednotným informačným povinnostiam a že všetky takéto vyhlásenia by mali byť v záujme transparentnosti a verejnej zodpovednosti systematicky zverejňované a ľahko dostupné na internete;</w:t>
      </w:r>
    </w:p>
    <w:p w14:paraId="73A67D2A" w14:textId="77777777" w:rsidR="00CA695C" w:rsidRPr="00191C1B" w:rsidRDefault="00CA695C" w:rsidP="00CA695C">
      <w:pPr>
        <w:pStyle w:val="NormalHanging12a"/>
      </w:pPr>
      <w:r w:rsidRPr="00191C1B">
        <w:t>29.</w:t>
      </w:r>
      <w:r w:rsidRPr="00191C1B">
        <w:tab/>
        <w:t>naliehavo vyzýva Bosnu a Hercegovinu, aby zintenzívnila boj proti organizovanej trestnej činnosti; je hlboko znepokojený zraniteľnosťou voči prenikaniu trestnej činnosti do politických, právnych a hospodárskych systémov; vyjadruje uznanie orgánom Bosny a Hercegoviny za to, že 24. októbra 2024 podpísali dohodu o spolupráci s Eurojustom s cieľom zvýšiť účinnosť vyšetrovania a trestného stíhania v oblasti organizovanej trestnej činnosti, terorizmu, obchodovania s ľuďmi, počítačovej kriminality a iných trestných činností;</w:t>
      </w:r>
    </w:p>
    <w:p w14:paraId="551CA938" w14:textId="77777777" w:rsidR="00CA695C" w:rsidRPr="00191C1B" w:rsidRDefault="00CA695C" w:rsidP="00CA695C">
      <w:pPr>
        <w:pStyle w:val="NormalHanging12a"/>
      </w:pPr>
      <w:r w:rsidRPr="00191C1B">
        <w:t>30.</w:t>
      </w:r>
      <w:r w:rsidRPr="00191C1B">
        <w:tab/>
        <w:t>zdôrazňuje, že je potrebné zlepšiť spoluprácu s EÚ v boji proti obchodovaniu s drogami; vyzýva Bosnu a Hercegovinu, aby v rámci spolupráce s Agentúrou Európskej únie pre drogy (EUDA) vymenovala svojho korešpondenta;</w:t>
      </w:r>
    </w:p>
    <w:p w14:paraId="4794B803" w14:textId="77777777" w:rsidR="00CA695C" w:rsidRPr="00191C1B" w:rsidRDefault="00CA695C" w:rsidP="00CA695C">
      <w:pPr>
        <w:pStyle w:val="NormalHanging12a"/>
      </w:pPr>
      <w:r w:rsidRPr="00191C1B">
        <w:t>31.</w:t>
      </w:r>
      <w:r w:rsidRPr="00191C1B">
        <w:tab/>
        <w:t xml:space="preserve">víta nový zákon o boji proti praniu špinavých peňazí a financovaniu terorizmu a naliehavo vyzýva Bosnu a Hercegovinu, aby posilnila opatrenia v tejto oblasti vrátane prijatia nevyhnutných podzákonných predpisov potrebných na účinné vykonávanie zákona s osobitným dôrazom na účinné presadzovanie a monitorovanie; zdôrazňuje najmä potrebu úplného zosúladenia právnych predpisov v oblasti boja proti terorizmu s </w:t>
      </w:r>
      <w:r w:rsidRPr="00191C1B">
        <w:rPr>
          <w:i/>
          <w:iCs/>
        </w:rPr>
        <w:t>acquis</w:t>
      </w:r>
      <w:r w:rsidRPr="00191C1B">
        <w:t xml:space="preserve"> EÚ a medzinárodným právom; vyzýva na zavedenie prísnejších sankcií za trestné činy terorizmu;</w:t>
      </w:r>
    </w:p>
    <w:p w14:paraId="2F642FCB" w14:textId="77777777" w:rsidR="00CA695C" w:rsidRPr="00191C1B" w:rsidRDefault="00CA695C" w:rsidP="00CA695C">
      <w:pPr>
        <w:pStyle w:val="NormalHanging12a"/>
      </w:pPr>
      <w:r w:rsidRPr="00191C1B">
        <w:t>32.</w:t>
      </w:r>
      <w:r w:rsidRPr="00191C1B">
        <w:tab/>
        <w:t xml:space="preserve">víta prijatie zákona Bosny a Hercegoviny o kontrole hraníc, ktorý je zameraný na zlepšenie dodržiavania európskych noriem, a vyzýva na úplné zosúladenie s vízovou politikou EÚ ako súčasť politiky kontrolovanej migrácie; zdôrazňuje, že Bosna a </w:t>
      </w:r>
      <w:r w:rsidRPr="00191C1B">
        <w:lastRenderedPageBreak/>
        <w:t>Hercegovina musí dbať na bezpečnosť svojich hraníc a spolupracovať s agentúrou Frontex a susednými krajinami s cieľom zabrániť nelegálnej migrácii a zároveň zabezpečiť dostatočný prístup k azylovým konaniam pre osoby oprávnené na medzinárodnú ochranu;</w:t>
      </w:r>
    </w:p>
    <w:p w14:paraId="318A5D62" w14:textId="77777777" w:rsidR="00CA695C" w:rsidRPr="00191C1B" w:rsidRDefault="00CA695C" w:rsidP="00CA695C">
      <w:pPr>
        <w:pStyle w:val="NormalHanging12a"/>
      </w:pPr>
      <w:r w:rsidRPr="00191C1B">
        <w:t>33.</w:t>
      </w:r>
      <w:r w:rsidRPr="00191C1B">
        <w:tab/>
        <w:t>zdôrazňuje, že je potrebné zabezpečiť, aby sa vymenovanie vyšších policajných úradníkov, najmä v hraničnej polícii a Štátnej agentúre pre vyšetrovanie a ochranu (SIPA), zakladalo na zásluhách a uskutočňovalo prostredníctvom otvorených, štandardizovaných a transparentných výberových konaní;</w:t>
      </w:r>
    </w:p>
    <w:p w14:paraId="242D3BE4" w14:textId="77777777" w:rsidR="00CA695C" w:rsidRPr="00191C1B" w:rsidRDefault="00CA695C" w:rsidP="00CA695C">
      <w:pPr>
        <w:pStyle w:val="NormalHanging12a"/>
      </w:pPr>
      <w:r w:rsidRPr="00191C1B">
        <w:t>34.</w:t>
      </w:r>
      <w:r w:rsidRPr="00191C1B">
        <w:tab/>
        <w:t>pripomína potrebu profesionálnej a odpolitizovanej verejnej služby; víta kroky prijaté v rámci reformy verejnej správy; vyzýva na zníženie administratívnej záťaže vo verejnej správe; vyzýva orgány Bosny a Hercegoviny, aby zlepšili schopnosť verejných orgánov reagovať na žiadosti o informácie;</w:t>
      </w:r>
    </w:p>
    <w:p w14:paraId="765F51A6" w14:textId="77777777" w:rsidR="00CA695C" w:rsidRPr="00191C1B" w:rsidRDefault="00CA695C" w:rsidP="00CA695C">
      <w:pPr>
        <w:pStyle w:val="Normal12a24b"/>
      </w:pPr>
      <w:r w:rsidRPr="00191C1B">
        <w:rPr>
          <w:rStyle w:val="BoldItalic"/>
        </w:rPr>
        <w:t>Základné slobody a ľudské práva</w:t>
      </w:r>
    </w:p>
    <w:p w14:paraId="41CC3382" w14:textId="77777777" w:rsidR="00CA695C" w:rsidRPr="00191C1B" w:rsidRDefault="00CA695C" w:rsidP="00CA695C">
      <w:pPr>
        <w:pStyle w:val="NormalHanging12a"/>
      </w:pPr>
      <w:r w:rsidRPr="00191C1B">
        <w:t>35.</w:t>
      </w:r>
      <w:r w:rsidRPr="00191C1B">
        <w:tab/>
        <w:t>dôrazne odsudzuje diskrimináciu, násilie a nenávistné prejavy voči všetkým menšinám; vyzýva na účinné stíhanie takýchto incidentov; naliehavo vyzýva Bosnu a Hercegovinu, aby presadzovala a zaručila ľudské práva, nediskrimináciu a ochranu všetkých menšín; vyzýva na lepšie uplatňovanie mechanizmov boja proti diskriminácii v Bosne a Hercegovine s osobitným dôrazom na boj proti neznášanlivosti, nenávistným prejavom a všetkým formám nerovnosti; vyzýva orgány, aby zlepšili prístup k sociálnym službám, bývaniu, vzdelávaniu a zdravotnej starostlivosti pre všetky menšiny a zraniteľné skupiny; zdôrazňuje význam ochrany kultúrnych a jazykových prejavov všetkých menšín v Bosne a Hercegovine;</w:t>
      </w:r>
    </w:p>
    <w:p w14:paraId="51E0D2C6" w14:textId="77777777" w:rsidR="00CA695C" w:rsidRPr="00191C1B" w:rsidRDefault="00CA695C" w:rsidP="00CA695C">
      <w:pPr>
        <w:pStyle w:val="NormalHanging12a"/>
      </w:pPr>
      <w:r w:rsidRPr="00191C1B">
        <w:t>36.</w:t>
      </w:r>
      <w:r w:rsidRPr="00191C1B">
        <w:tab/>
        <w:t xml:space="preserve">vyjadruje hlboké znepokojenie nad prudkým nárastom násilia – vrátane nových foriem digitálneho násilia – voči ženám, deťom, starším osobám a iným zraniteľným skupinám vrátane komunity LGBTIQ; naliehavo vyzýva orgány Bosny a Hercegoviny, aby zosúladili svoje politiky, právne predpisy a postupy v oblasti sexuálneho a digitálneho násilia páchaného na ženách a dievčatách s normami Rady Európy, najmä s Istanbulským dohovorom, príslušnou judikatúrou Európskeho súdu pre ľudské práva a </w:t>
      </w:r>
      <w:r w:rsidRPr="00191C1B">
        <w:rPr>
          <w:i/>
          <w:iCs/>
        </w:rPr>
        <w:t>acquis</w:t>
      </w:r>
      <w:r w:rsidRPr="00191C1B">
        <w:t xml:space="preserve"> EÚ; požaduje cielenú podporu kľúčových inštitúcií, školenie odborníkov na poskytovanie účinnej podpory obetiam a zvýšenie povedomia verejnosti a inštitucionálnych kapacít na predchádzanie všetkým formám rodovo podmieneného násilia a boj proti nim; zdôrazňuje kľúčovú úlohu ženských združení pri poskytovaní pomoci najzraniteľnejším osobám; vyzýva Bosnu a Hercegovinu, aby vytvorila oficiálny centralizovaný systém zberu údajov o femicíde; víta rozhodnutie vlády Federácie Bosny a Hercegoviny z 9. apríla 2025 zahrnúť femicídu do trestného zákona a vyzýva parlament, aby tento nový zákon urýchlene schválil;</w:t>
      </w:r>
    </w:p>
    <w:p w14:paraId="3902D9E3" w14:textId="77777777" w:rsidR="00CA695C" w:rsidRPr="00191C1B" w:rsidRDefault="00CA695C" w:rsidP="00CA695C">
      <w:pPr>
        <w:pStyle w:val="NormalHanging12a"/>
      </w:pPr>
      <w:r w:rsidRPr="00191C1B">
        <w:t>37.</w:t>
      </w:r>
      <w:r w:rsidRPr="00191C1B">
        <w:tab/>
        <w:t>vyjadruje poľutovanie nad tým, že akčný plán pre rodovú rovnosť na roky 2023 – 2027 doteraz nebol dostatočne financovaný a monitorovaný; vyzýva na zvýšenie verejnej a politickej účasti žien v Bosne a Hercegovine; uznáva ďalšie prekážky a diskrimináciu, ktorým čelia ženy z etnických menšín, najmä v prístupe k službám;</w:t>
      </w:r>
    </w:p>
    <w:p w14:paraId="3D6D98C8" w14:textId="77777777" w:rsidR="00CA695C" w:rsidRPr="00191C1B" w:rsidRDefault="00CA695C" w:rsidP="00CA695C">
      <w:pPr>
        <w:pStyle w:val="NormalHanging12a"/>
      </w:pPr>
      <w:r w:rsidRPr="00191C1B">
        <w:t>38.</w:t>
      </w:r>
      <w:r w:rsidRPr="00191C1B">
        <w:tab/>
        <w:t>odsudzuje skutočnosť, že Republika srbská prijala legislatívne zmeny, ktoré odstránili rodovú identitu ako chránenú charakteristiku, a zmeny, ktoré už nezaručujú ochranu detí s rôznou sexuálnou orientáciou a rodovou identitou;</w:t>
      </w:r>
    </w:p>
    <w:p w14:paraId="308AF6CA" w14:textId="77777777" w:rsidR="00CA695C" w:rsidRPr="00191C1B" w:rsidRDefault="00CA695C" w:rsidP="00CA695C">
      <w:pPr>
        <w:pStyle w:val="NormalHanging12a"/>
      </w:pPr>
      <w:r w:rsidRPr="00191C1B">
        <w:lastRenderedPageBreak/>
        <w:t>39.</w:t>
      </w:r>
      <w:r w:rsidRPr="00191C1B">
        <w:tab/>
        <w:t>vyzýva príslušné orgány Bosny a Hercegoviny, aby vypracovali a prijali očakávaný národný akčný plán na ochranu práv dieťaťa; zdôrazňuje, že chudoba a sociálne vylúčenie postihujú vysoké percento detí v krajine, najmä detí zo zraniteľných skupín vrátane rómskych detí, detí so zdravotným postihnutím, detí v konflikte so zákonom a migrujúcich detí; pripomína, že Bosna a Hercegovina musí dodržiavať svoje medzinárodné záväzky, aby sa na žiadne dieťa nezabudlo;</w:t>
      </w:r>
    </w:p>
    <w:p w14:paraId="5E2A7DD2" w14:textId="77777777" w:rsidR="00CA695C" w:rsidRPr="00191C1B" w:rsidRDefault="00CA695C" w:rsidP="00CA695C">
      <w:pPr>
        <w:pStyle w:val="NormalHanging12a"/>
      </w:pPr>
      <w:r w:rsidRPr="00191C1B">
        <w:t>40.</w:t>
      </w:r>
      <w:r w:rsidRPr="00191C1B">
        <w:tab/>
        <w:t>zdôrazňuje dôležitosť inkluzívneho a kvalitného vzdelávania vrátane práva na vzdelávanie v materinskom jazyku a okrem iného význam systematickej reformy rozdeľujúcich učebných osnov, ktoré vážne bránia vnútornej mobilite a obmedzujú zručnosti v oblasti kritického myslenia; opätovne požaduje ukončenie segregačných praktík v rámci systému „dve školy pod jednou strechou“, ktoré bránia sociálnej súdržnosti a rovnakým príležitostiam, a zdôrazňuje potrebu uprednostniť zmierenie a integráciu a chrániť právo každej národnostnej komunity vrátane menšín na jej kultúru, jazyk a identitu; požaduje prijatie spoločných učebných osnov v učebniciach dejepisu, ktoré by vychádzali zo súdne zistených skutočností týkajúcich sa vojny, aby sa zabránilo historickému revizionizmu, a nabáda EÚ, aby túto iniciatívu podporila;</w:t>
      </w:r>
    </w:p>
    <w:p w14:paraId="33E2CFDB" w14:textId="723F7FAD" w:rsidR="00683AEB" w:rsidRPr="00191C1B" w:rsidRDefault="00EE052F" w:rsidP="00CA695C">
      <w:pPr>
        <w:pStyle w:val="NormalHanging12a"/>
      </w:pPr>
      <w:r w:rsidRPr="00191C1B">
        <w:t>41</w:t>
      </w:r>
      <w:r w:rsidR="00683AEB" w:rsidRPr="00191C1B">
        <w:t>.</w:t>
      </w:r>
      <w:r w:rsidR="00683AEB" w:rsidRPr="00191C1B">
        <w:tab/>
        <w:t>vyzýva inštitúcie Bosny a Hercegoviny, aby v súlade s odporúčaním ombudsmana Bosny a Hercegoviny pre ľudské práva prijali právne predpisy na zabezpečenie účinného a rovnakého používania všetkých troch jej úradných jazykov, konkrétne chorvátskeho, bosnianskeho a srbského, ako aj latinky a cyriliky v externej komunikácii s občanmi; zdôrazňuje, že porušenie práva na rovnaké používanie jazyka a písma je v rozpore s ústavou Bosny a Hercegoviny, článkom 2 Medzinárodného paktu o občianskych a politických právach a článkom 14 Dohovoru o ochrane ľudských práv a základných slobôd;</w:t>
      </w:r>
    </w:p>
    <w:p w14:paraId="1F29C459" w14:textId="091202CB" w:rsidR="00CA695C" w:rsidRPr="00191C1B" w:rsidRDefault="00EE052F" w:rsidP="00CA695C">
      <w:pPr>
        <w:pStyle w:val="NormalHanging12a"/>
      </w:pPr>
      <w:r w:rsidRPr="00191C1B">
        <w:t>42</w:t>
      </w:r>
      <w:r w:rsidR="00CA695C" w:rsidRPr="00191C1B">
        <w:t>.</w:t>
      </w:r>
      <w:r w:rsidR="00CA695C" w:rsidRPr="00191C1B">
        <w:tab/>
        <w:t>vyzýva Bosnu a Hercegovinu, aby zaručila slobodu zhromažďovania, združovania a prejavu a umožnila zapojenie občianskej spoločnosti do tvorby politík; vyzýva orgány, aby zabezpečili zmysluplný, systematický a inkluzívny proces verejných konzultácií; odsudzuje skutočnosť, že Republika srbská opätovne prijala zákon o „zahraničných agentoch“ v ruskom štýle, a naliehavo žiada orgány, aby ho zrušili; odsudzuje skutočnosť, že orgány Republiky srbskej využívajú zákony o trestnom čine ohovárania ako nástroj na potláčanie slobody prejavu, a požaduje, aby sa tento trestný čin opäť stal výlučne predmetom občianskeho práva s cieľom zabrániť jeho zneužívaniu na obmedzovanie slobody prejavu; vyzýva Komisiu, aby zrušenie týchto zákonov prísne podmienila;</w:t>
      </w:r>
    </w:p>
    <w:p w14:paraId="205E42C1" w14:textId="1301CB70" w:rsidR="00CA695C" w:rsidRPr="00191C1B" w:rsidRDefault="00EE052F" w:rsidP="00CA695C">
      <w:pPr>
        <w:pStyle w:val="NormalHanging12a"/>
      </w:pPr>
      <w:r w:rsidRPr="00191C1B">
        <w:t>43</w:t>
      </w:r>
      <w:r w:rsidR="00CA695C" w:rsidRPr="00191C1B">
        <w:t>.</w:t>
      </w:r>
      <w:r w:rsidR="00CA695C" w:rsidRPr="00191C1B">
        <w:tab/>
        <w:t>nabáda Radu ministrov Bosny a Hercegoviny, aby prijala stratégiu rozvoja priaznivého prostredia pre občiansku spoločnosť a zabezpečila jej jednoznačné zameranie na zlepšenie legislatívneho rámca a zaistenie výraznejšieho a transparentnejšieho financovania organizácií občianskej spoločnosti; vyzýva na posilnenie ochrany obhajcov ľudských práv v Bosne a Hercegovine vrátane aktivistiek, novinárov a mimovládnych organizácií;</w:t>
      </w:r>
    </w:p>
    <w:p w14:paraId="5B33B756" w14:textId="46E6492D" w:rsidR="00CA695C" w:rsidRPr="00191C1B" w:rsidRDefault="00EE052F" w:rsidP="00CA695C">
      <w:pPr>
        <w:pStyle w:val="NormalHanging12a"/>
      </w:pPr>
      <w:r w:rsidRPr="00191C1B">
        <w:t>44</w:t>
      </w:r>
      <w:r w:rsidR="00CA695C" w:rsidRPr="00191C1B">
        <w:t>.</w:t>
      </w:r>
      <w:r w:rsidR="00CA695C" w:rsidRPr="00191C1B">
        <w:tab/>
        <w:t xml:space="preserve">zdôrazňuje kľúčový význam nezávislých médií a dodržiavania noriem v oblasti slobody prejavu; vyzýva Bosnu a Hercegovinu, aby vzhľadom na naliehavú finančnú krízu štátneho verejnoprávneho vysielateľa BHRT zabezpečila finančnú udržateľnosť a politickú nezávislosť verejnoprávnych vysielateľov a Regulačnej agentúry pre komunikácie Bosny a Hercegoviny; vyzýva Bosnu a Hercegovinu, aby prijala právne predpisy o transparentnosti vlastníctva médií a ich verejnom financovaní; vyzýva štát, aby urýchlil prijatie zákona o elektronických komunikáciách v súlade s aktom o </w:t>
      </w:r>
      <w:r w:rsidR="00CA695C" w:rsidRPr="00191C1B">
        <w:lastRenderedPageBreak/>
        <w:t>digitálnych službách</w:t>
      </w:r>
      <w:r w:rsidR="00CA695C" w:rsidRPr="00191C1B">
        <w:rPr>
          <w:rStyle w:val="FootnoteReference"/>
        </w:rPr>
        <w:footnoteReference w:id="8"/>
      </w:r>
      <w:r w:rsidR="00CA695C" w:rsidRPr="00191C1B">
        <w:t xml:space="preserve"> (DSA) a novým aktom EÚ o slobode médií</w:t>
      </w:r>
      <w:r w:rsidR="00CA695C" w:rsidRPr="00191C1B">
        <w:rPr>
          <w:rStyle w:val="FootnoteReference"/>
        </w:rPr>
        <w:footnoteReference w:id="9"/>
      </w:r>
      <w:r w:rsidR="00CA695C" w:rsidRPr="00191C1B">
        <w:t>; vyzýva na zabezpečenie plurality vo verejnoprávnych médiách na celom území Bosny a Hercegoviny vrátane rovnakého zastúpenia všetkých menšín; berie na vedomie, že po 12 rokoch obštrukcií bola vo Federácii Bosny a Hercegoviny vymenovaná rada pre verejnoprávne vysielanie, a vyzýva ju, aby zabezpečila nestranné a objektívne informovanie;</w:t>
      </w:r>
    </w:p>
    <w:p w14:paraId="6A0D342F" w14:textId="6B475B79" w:rsidR="00CA695C" w:rsidRPr="00191C1B" w:rsidRDefault="00EE052F" w:rsidP="00CA695C">
      <w:pPr>
        <w:pStyle w:val="NormalHanging12a"/>
      </w:pPr>
      <w:r w:rsidRPr="00191C1B">
        <w:t>45</w:t>
      </w:r>
      <w:r w:rsidR="00CA695C" w:rsidRPr="00191C1B">
        <w:t>.</w:t>
      </w:r>
      <w:r w:rsidR="00CA695C" w:rsidRPr="00191C1B">
        <w:tab/>
        <w:t>je hlboko znepokojený ruskou propagandou vo verejnoprávnom vysielaní entity Republika Srbská a vyjadruje poľutovanie nad vysielaním kanála RT (predtým Russia Today) v rozpore so sankciami EÚ;</w:t>
      </w:r>
    </w:p>
    <w:p w14:paraId="1797D607" w14:textId="2B8D307D" w:rsidR="00CA695C" w:rsidRPr="00191C1B" w:rsidRDefault="00EE052F" w:rsidP="00CA695C">
      <w:pPr>
        <w:pStyle w:val="NormalHanging12a"/>
      </w:pPr>
      <w:r w:rsidRPr="00191C1B">
        <w:t>46</w:t>
      </w:r>
      <w:r w:rsidR="00CA695C" w:rsidRPr="00191C1B">
        <w:t>.</w:t>
      </w:r>
      <w:r w:rsidR="00CA695C" w:rsidRPr="00191C1B">
        <w:tab/>
        <w:t>odsudzuje politický tlak, útoky, zastrašovanie, hrozby, hanlivé vyjadrenia a strategické žaloby proti verejnej účasti voči novinárom a pracovníkom médií, najmä zo strany politikov na vysokej úrovni alebo ich zástupných organizácií a aktérov napojených na zahraničie; vyjadruje poľutovanie nad nedostatočným pokrokom pri zaručovaní slobody prejavu a novelizácii právnych predpisov v oblasti trestného práva s cieľom posilniť ochranu novinárov pred hrozbami a útokmi v súlade s požiadavkami EÚ a vyzýva orgány, aby prijali zákony, ktoré účinne chránia novinárov, mimovládne organizácie, obhajcov ľudských práv, environmentálnych aktivistov a iné zainteresované strany pred strategickými žalobami proti verejnej účasti; zdôrazňuje, že je dôležité zabezpečiť primerané následné opatrenia na justičnej úrovni v prípadoch hrozieb a násilia voči novinárom;</w:t>
      </w:r>
    </w:p>
    <w:p w14:paraId="36FA940C" w14:textId="6289E4E1" w:rsidR="00CA695C" w:rsidRPr="00191C1B" w:rsidRDefault="00EE052F" w:rsidP="00CA695C">
      <w:pPr>
        <w:pStyle w:val="NormalHanging12a"/>
      </w:pPr>
      <w:r w:rsidRPr="00191C1B">
        <w:t>47</w:t>
      </w:r>
      <w:r w:rsidR="00CA695C" w:rsidRPr="00191C1B">
        <w:t>.</w:t>
      </w:r>
      <w:r w:rsidR="00CA695C" w:rsidRPr="00191C1B">
        <w:tab/>
        <w:t>naliehavo vyzýva Bosnu a Hercegovinu, aby zabezpečila a účinne presadzovala príslušné zákony o všeobecných ľudských právach; naliehavo vyzýva Bosnu a Hercegovinu, aby stíhala diskriminačné trestné činy;</w:t>
      </w:r>
    </w:p>
    <w:p w14:paraId="460E7177" w14:textId="5F1E71CA" w:rsidR="00CA695C" w:rsidRPr="00191C1B" w:rsidRDefault="00EE052F" w:rsidP="00CA695C">
      <w:pPr>
        <w:pStyle w:val="NormalHanging12a"/>
      </w:pPr>
      <w:r w:rsidRPr="00191C1B">
        <w:t>48</w:t>
      </w:r>
      <w:r w:rsidR="00CA695C" w:rsidRPr="00191C1B">
        <w:t>.</w:t>
      </w:r>
      <w:r w:rsidR="00CA695C" w:rsidRPr="00191C1B">
        <w:tab/>
        <w:t>pripomína potrebu spravodlivého riadenia migrácie a azylu založeného na solidarite, ktoré spája dodržiavanie ľudských práv s účinnou kontrolou hraníc; vyzýva EÚ, aby pomohla Bosne a Hercegovine prevziať plnú zodpovednosť za riadenie prijímacích centier, ktoré sa často nachádzajú na hraniciach s EÚ, zabezpečiť dostatočné prijímacie podmienky a zaručiť prístup k účinným a uskutočniteľným azylovým konaniam pri plnom rešpektovaní medzinárodného práva a ľudských práv; je znepokojený správami o nedostatočných prijímacích podmienkach v centre v Lipe, ktoré financuje EÚ; zdôrazňuje, že je potrebné zvýšiť transparentnosť a demokratickú kontrolu pri prideľovaní a využívaní finančných prostriedkov EÚ v oblasti migrácie; víta aktualizovanú dohodu o štatúte Bosny a Hercegoviny s agentúrou Frontex a vyzýva na jej urýchlené podpísanie; pripomína, že akákoľvek prípadná dohoda s touto agentúrou by mala plne rešpektovať základné práva a medzinárodné normy; naliehavo vyzýva Bosnu a Hercegovinu, aby zintenzívnila svoje úsilie v boji proti cezhraničnej trestnej činnosti, najmä obchodovaniu s ľuďmi;</w:t>
      </w:r>
    </w:p>
    <w:p w14:paraId="3323CBA8" w14:textId="77777777" w:rsidR="00CA695C" w:rsidRPr="00191C1B" w:rsidRDefault="00CA695C" w:rsidP="00CA695C">
      <w:pPr>
        <w:pStyle w:val="Normal12a24b"/>
      </w:pPr>
      <w:r w:rsidRPr="00191C1B">
        <w:rPr>
          <w:rStyle w:val="BoldItalic"/>
        </w:rPr>
        <w:lastRenderedPageBreak/>
        <w:t xml:space="preserve">Zmierenie, regionálna spolupráca a dobré susedské vzťahy </w:t>
      </w:r>
    </w:p>
    <w:p w14:paraId="7F48B54F" w14:textId="2E003B5C" w:rsidR="00CA695C" w:rsidRPr="00191C1B" w:rsidRDefault="00EE052F" w:rsidP="00CA695C">
      <w:pPr>
        <w:pStyle w:val="NormalHanging12a"/>
      </w:pPr>
      <w:r w:rsidRPr="00191C1B">
        <w:t>49</w:t>
      </w:r>
      <w:r w:rsidR="00CA695C" w:rsidRPr="00191C1B">
        <w:t>.</w:t>
      </w:r>
      <w:r w:rsidR="00CA695C" w:rsidRPr="00191C1B">
        <w:tab/>
        <w:t>pripomína, že základnými prvkami procesu rozširovania EÚ sú dobré susedské vzťahy a regionálna spolupráca;</w:t>
      </w:r>
    </w:p>
    <w:p w14:paraId="23608A44" w14:textId="59F1FE41" w:rsidR="00CA695C" w:rsidRPr="00191C1B" w:rsidRDefault="00EE052F" w:rsidP="00CA695C">
      <w:pPr>
        <w:pStyle w:val="NormalHanging12a"/>
      </w:pPr>
      <w:r w:rsidRPr="00191C1B">
        <w:t>50</w:t>
      </w:r>
      <w:r w:rsidR="00CA695C" w:rsidRPr="00191C1B">
        <w:t>.</w:t>
      </w:r>
      <w:r w:rsidR="00CA695C" w:rsidRPr="00191C1B">
        <w:tab/>
        <w:t xml:space="preserve">zdôrazňuje význam zmierenia v Bosne a Hercegovine a naliehavo vyzýva všetky orgány, aby aktívne presadzovali a zaručili prístup k pravde, spravodlivosti a inkluzívnej náprave vrátane prijatia zákona na celoštátnej úrovni, ktorý by stanovil minimálne práva pre obete vojny v celej krajine, a podpory kultúry historického povedomia žien; uznáva, že zodpovednosť, ako aj vzájomný rešpekt medzi jednotlivcami a komunitami a podpora vzájomného porozumenia, najmä medzi mladými ľuďmi, môžu mať pozitívny vplyv na zmierenie; naliehavo žiada orgány Bosny a Hercegoviny, aby prijali národnú stratégiu pre justíciu v prechodnom období; vyzýva na ďalšie úsilie o riešenie otázky nezvestných osôb; naliehavo vyzýva Komisiu, aby vynaložila ďalšie úsilie na propagáciu, podporu a uľahčenie procesov zmierenia v Bosne a Hercegovine; </w:t>
      </w:r>
    </w:p>
    <w:p w14:paraId="49A52234" w14:textId="33B3E88B" w:rsidR="00CA695C" w:rsidRPr="00191C1B" w:rsidRDefault="00EE052F" w:rsidP="00CA695C">
      <w:pPr>
        <w:pStyle w:val="NormalHanging12a"/>
      </w:pPr>
      <w:r w:rsidRPr="00191C1B">
        <w:t>51</w:t>
      </w:r>
      <w:r w:rsidR="00CA695C" w:rsidRPr="00191C1B">
        <w:t>.</w:t>
      </w:r>
      <w:r w:rsidR="00CA695C" w:rsidRPr="00191C1B">
        <w:tab/>
        <w:t>vyzýva orgány Bosny a Hercegoviny, aby urýchlili stíhanie vojnových zločinov v súlade s revidovanou štátnou stratégiou stíhania vojnových zločinov; zdôrazňuje význam posilnenej regionálnej spolupráce prostredníctvom vydávania podozrivých osôb, ako aj spolupráce medzi justičnými orgánmi a výmeny vo všetkých príslušných formálnych aspektoch zameraných na trestné stíhanie; nabáda orgány Bosny a Hercegoviny, aby zosúladili svoje právne predpisy s cieľom zabezpečiť, že všetky obete vojnových zločinov budú mať rovnaký prístup k právam a ochrane;</w:t>
      </w:r>
    </w:p>
    <w:p w14:paraId="5F1DF403" w14:textId="17ECE9AD" w:rsidR="00CA695C" w:rsidRPr="00191C1B" w:rsidRDefault="00EE052F" w:rsidP="00CA695C">
      <w:pPr>
        <w:pStyle w:val="NormalHanging12a"/>
      </w:pPr>
      <w:r w:rsidRPr="00191C1B">
        <w:t>52</w:t>
      </w:r>
      <w:r w:rsidR="00CA695C" w:rsidRPr="00191C1B">
        <w:t>.</w:t>
      </w:r>
      <w:r w:rsidR="00CA695C" w:rsidRPr="00191C1B">
        <w:tab/>
        <w:t>uznáva mimoriadne dôležitú úlohu, ktorú zohráva Medzinárodná komisia pre nezvestné osoby, a to aj zabezpečením inštitucionálnych kapacít, podporou rodín a poskytovaním dôkazov súdom; vyzýva EÚ, aby zabezpečila, že Medzinárodná komisia pre nezvestné osoby bude mať prístup k dostatočným finančným prostriedkom na pokračovanie vo svojej činnosti;</w:t>
      </w:r>
    </w:p>
    <w:p w14:paraId="1B27101A" w14:textId="76CD48C4" w:rsidR="00CA695C" w:rsidRPr="00191C1B" w:rsidRDefault="00EE052F" w:rsidP="00CA695C">
      <w:pPr>
        <w:pStyle w:val="NormalHanging12a"/>
      </w:pPr>
      <w:r w:rsidRPr="00191C1B">
        <w:t>53</w:t>
      </w:r>
      <w:r w:rsidR="00CA695C" w:rsidRPr="00191C1B">
        <w:t>.</w:t>
      </w:r>
      <w:r w:rsidR="00CA695C" w:rsidRPr="00191C1B">
        <w:tab/>
        <w:t>opakuje svoju výzvu na realizáciu dodatočných opatrení a konkrétnych programov, pokiaľ ide o udržateľný návrat utečencov a vnútorne vysídlených osôb, prístup k zdravotnej starostlivosti a zamestnaniu, sociálnu ochranu a vzdelávanie, ako aj plné dodržiavanie všetkých ich práv na odškodnenie nenávratného majetku;</w:t>
      </w:r>
    </w:p>
    <w:p w14:paraId="44A17655" w14:textId="3C6D8CE0" w:rsidR="00CA695C" w:rsidRPr="00191C1B" w:rsidRDefault="00EE052F" w:rsidP="00CA695C">
      <w:pPr>
        <w:pStyle w:val="NormalHanging12a"/>
      </w:pPr>
      <w:r w:rsidRPr="00191C1B">
        <w:t>54</w:t>
      </w:r>
      <w:r w:rsidR="00CA695C" w:rsidRPr="00191C1B">
        <w:t>.</w:t>
      </w:r>
      <w:r w:rsidR="00CA695C" w:rsidRPr="00191C1B">
        <w:tab/>
        <w:t>vyjadruje poľutovanie nad všetkými formami historického revizionizmu, popierania genocídy, iredentizmu, glorifikácie vojnových zločinov a zločincov a spochybňovania faktov alebo nezávislosti a nestrannosti medzinárodných a domácich tribunálov, najmä zo strany politických lídrov;</w:t>
      </w:r>
    </w:p>
    <w:p w14:paraId="01458043" w14:textId="51C24903" w:rsidR="00CA695C" w:rsidRPr="00191C1B" w:rsidRDefault="00EE052F" w:rsidP="00CA695C">
      <w:pPr>
        <w:pStyle w:val="NormalHanging12a"/>
      </w:pPr>
      <w:r w:rsidRPr="00191C1B">
        <w:t>55</w:t>
      </w:r>
      <w:r w:rsidR="00CA695C" w:rsidRPr="00191C1B">
        <w:t>.</w:t>
      </w:r>
      <w:r w:rsidR="00CA695C" w:rsidRPr="00191C1B">
        <w:tab/>
        <w:t xml:space="preserve">je znepokojený prijatím Deklarácie o ochrane národných a politických práv a spoločnej budúcnosti srbského ľudu, ktorá je v rozpore s viacerými aspektmi Daytonskej mierovej dohody a ohrozuje zvrchovanosť, územnú celistvosť a jednotu Bosny a Hercegoviny; konštatuje, že myšlienky konceptu Srpski Svet sú nezlučiteľné so snahou o vstup do EÚ; vyzýva Srbsko, aby sa konštruktívne zaviazalo k stabilite a územnej celistvosti Bosny a Hercegoviny a aktívne podporovalo cestu pristúpenia Bosny a Hercegoviny; </w:t>
      </w:r>
    </w:p>
    <w:p w14:paraId="62563499" w14:textId="2577D78D" w:rsidR="00CA695C" w:rsidRPr="00191C1B" w:rsidRDefault="00EE052F" w:rsidP="00CA695C">
      <w:pPr>
        <w:pStyle w:val="NormalHanging12a"/>
      </w:pPr>
      <w:r w:rsidRPr="00191C1B">
        <w:t>56</w:t>
      </w:r>
      <w:r w:rsidR="00CA695C" w:rsidRPr="00191C1B">
        <w:t>.</w:t>
      </w:r>
      <w:r w:rsidR="00CA695C" w:rsidRPr="00191C1B">
        <w:tab/>
        <w:t xml:space="preserve">zdôrazňuje význam preventívnej diplomacie v Bosne a Hercegovine; vyzýva ESVČ, aby posilnila rozvoj zručností svojich zamestnancov s cieľom zlepšiť porozumenie EÚ, pokiaľ ide o miestny historický, kultúrny a náboženský kontext, ako sa zdôrazňuje v správe o úlohe preventívnej diplomacie, ktorú </w:t>
      </w:r>
      <w:r w:rsidR="00210649" w:rsidRPr="00191C1B">
        <w:t>Európsky p</w:t>
      </w:r>
      <w:r w:rsidR="00CA695C" w:rsidRPr="00191C1B">
        <w:t>arlament prijal v januári 2024;</w:t>
      </w:r>
    </w:p>
    <w:p w14:paraId="202CBC82" w14:textId="0194FF70" w:rsidR="00CA695C" w:rsidRPr="00191C1B" w:rsidRDefault="00EE052F" w:rsidP="00CA695C">
      <w:pPr>
        <w:pStyle w:val="NormalHanging12a"/>
      </w:pPr>
      <w:r w:rsidRPr="00191C1B">
        <w:lastRenderedPageBreak/>
        <w:t>57</w:t>
      </w:r>
      <w:r w:rsidR="00CA695C" w:rsidRPr="00191C1B">
        <w:t>.</w:t>
      </w:r>
      <w:r w:rsidR="00CA695C" w:rsidRPr="00191C1B">
        <w:tab/>
        <w:t>víta rozhodnutie Valného zhromaždenia OSN vyhlásiť 11. júl za Medzinárodný deň reflexie a spomienky na genocídu v Srebrenici v roku 1995; vyzýva orgány, aby zaistili bezpečnosť v pamätnom centre Srebrenica-Potočari; zdôrazňuje, že pamätné centrum muselo byť kvôli bezpečnostným obavám dočasne zatvorené;</w:t>
      </w:r>
    </w:p>
    <w:p w14:paraId="6F488DE2" w14:textId="4C181C8A" w:rsidR="00CA695C" w:rsidRPr="00191C1B" w:rsidRDefault="00EE052F" w:rsidP="00CA695C">
      <w:pPr>
        <w:pStyle w:val="NormalHanging12a"/>
      </w:pPr>
      <w:r w:rsidRPr="00191C1B">
        <w:t>58</w:t>
      </w:r>
      <w:r w:rsidR="00CA695C" w:rsidRPr="00191C1B">
        <w:t>.</w:t>
      </w:r>
      <w:r w:rsidR="00CA695C" w:rsidRPr="00191C1B">
        <w:tab/>
        <w:t>zdôrazňuje, že regionálna spolupráca v rámci spoločného regionálneho trhu je prospešná pre podporu hospodárskeho rastu; vyzýva Bosnu a Hercegovinu, aby urýchlene ratifikovala všetky regionálne dohody o mobilite v rámci berlínskeho procesu a aby prostredníctvom tohto trhu ďalej posilňovala hospodársku spoluprácu v súlade s cieľmi rozširovania EÚ;</w:t>
      </w:r>
    </w:p>
    <w:p w14:paraId="4D77FBF4" w14:textId="77777777" w:rsidR="00CA695C" w:rsidRPr="00191C1B" w:rsidRDefault="00CA695C" w:rsidP="00CA695C">
      <w:pPr>
        <w:pStyle w:val="Normal12a24b"/>
      </w:pPr>
      <w:r w:rsidRPr="00191C1B">
        <w:rPr>
          <w:rStyle w:val="BoldItalic"/>
        </w:rPr>
        <w:t>Sociálno-ekonomické reformy</w:t>
      </w:r>
    </w:p>
    <w:p w14:paraId="0F09AC5D" w14:textId="5EE77D58" w:rsidR="00CA695C" w:rsidRPr="00191C1B" w:rsidRDefault="00EE052F" w:rsidP="00CA695C">
      <w:pPr>
        <w:pStyle w:val="NormalHanging12a"/>
      </w:pPr>
      <w:r w:rsidRPr="00191C1B">
        <w:t>59</w:t>
      </w:r>
      <w:r w:rsidR="00CA695C" w:rsidRPr="00191C1B">
        <w:t>.</w:t>
      </w:r>
      <w:r w:rsidR="00CA695C" w:rsidRPr="00191C1B">
        <w:tab/>
        <w:t xml:space="preserve">víta plán rastu pre západný Balkán, ktorý zahŕňa Nástroj na podporu reforiem a rastu pre západný Balkán a ktorý predpokladá orientačné pridelenie viac ako 1 miliardy EUR pre Bosnu a Hercegovinu; </w:t>
      </w:r>
      <w:r w:rsidR="00683AEB" w:rsidRPr="00191C1B">
        <w:t xml:space="preserve">víta prijatie návrhu programu reforiem Radou ministrov Bosny a Hercegoviny; </w:t>
      </w:r>
      <w:r w:rsidR="00CA695C" w:rsidRPr="00191C1B">
        <w:t xml:space="preserve">vyzýva </w:t>
      </w:r>
      <w:r w:rsidR="00683AEB" w:rsidRPr="00191C1B">
        <w:t xml:space="preserve">príslušné orgány </w:t>
      </w:r>
      <w:r w:rsidR="00CA695C" w:rsidRPr="00191C1B">
        <w:t xml:space="preserve">Bosny a Hercegoviny, aby </w:t>
      </w:r>
      <w:r w:rsidR="00683AEB" w:rsidRPr="00191C1B">
        <w:t xml:space="preserve">zabezpečili rýchle </w:t>
      </w:r>
      <w:r w:rsidR="00CA695C" w:rsidRPr="00191C1B">
        <w:t>prijatie jej programu reforiem s cieľom zabrániť rozdeľovaniu pridelených finančných prostriedkov medzi ostatné krajiny západného Balkánu a vytvoriť spoľahlivý mechanizmus na transparentné, inkluzívne a včasné monitorovanie jeho vykonávania; zdôrazňuje, že treba uprednostniť kľúčové oblasti, ako je verejná správa, právny štát, boj proti korupcii, dekarbonizácia, digitalizácia, konektivita a rozvoj ľudského kapitálu, a zároveň riešiť sociálne výzvy; je presvedčený, že využitie príležitostí plánu rastu by posilnilo hospodárstvo Bosny a Hercegoviny; vyzýva Komisiu, aby preskúmala možnosti spolupráce s ochotnými a odhodlanými regionálnymi orgánmi, pričom sa flexibilnejšie využije nástroj na podporu reforiem a rastu;</w:t>
      </w:r>
    </w:p>
    <w:p w14:paraId="012634C5" w14:textId="71C0702F" w:rsidR="00CA695C" w:rsidRPr="00191C1B" w:rsidRDefault="00EE052F" w:rsidP="00CA695C">
      <w:pPr>
        <w:pStyle w:val="NormalHanging12a"/>
      </w:pPr>
      <w:r w:rsidRPr="00191C1B">
        <w:t>60</w:t>
      </w:r>
      <w:r w:rsidR="00CA695C" w:rsidRPr="00191C1B">
        <w:t>.</w:t>
      </w:r>
      <w:r w:rsidR="00CA695C" w:rsidRPr="00191C1B">
        <w:tab/>
        <w:t>pripomína, že finančné prostriedky EÚ na projekty v entite Republika srbská by mali zostať zmrazené, kým Republika srbská nezvráti úpadok demokracie a nezosúladí sa v plnej miere so SZBP;</w:t>
      </w:r>
    </w:p>
    <w:p w14:paraId="31C319E5" w14:textId="7E9CA565" w:rsidR="00CA695C" w:rsidRPr="00191C1B" w:rsidRDefault="00EE052F" w:rsidP="00CA695C">
      <w:pPr>
        <w:pStyle w:val="NormalHanging12a"/>
      </w:pPr>
      <w:r w:rsidRPr="00191C1B">
        <w:t>61</w:t>
      </w:r>
      <w:r w:rsidR="00CA695C" w:rsidRPr="00191C1B">
        <w:t>.</w:t>
      </w:r>
      <w:r w:rsidR="00CA695C" w:rsidRPr="00191C1B">
        <w:tab/>
        <w:t>nabáda Bosnu a Hercegovinu, aby čo najlepšie využila všetku finančnú podporu EÚ; vyzýva Komisiu aby naďalej poskytovala finančnú a technickú podporu integrácii Bosny a Hercegoviny do EÚ na základe jasne vymedzenej podmienenosti a dôsledného monitorovania výdavkov a výsledkov v súlade s cieľmi EÚ týkajúcimi sa účinného a zodpovedného rozpočtového hospodárenia; domnieva sa, že finančné prostriedky EÚ by mali lepšie podporovať demokratické reformy v krajine; v tejto súvislosti žiada o preprogramovanie príslušného financovania EÚ tak, aby sa viac prostriedkov nasmerovalo na podporu technickej pomoci pri čerpaní fondov, reforiem súdnictva a protikorupčných opatrení; okrem toho vyzýva EÚ a krajiny západného Balkánu, aby vytvorili rámec na plodnú spoluprácu s Európskou prokuratúrou (EPPO) s cieľom zabezpečiť, že EPPO bude môcť účinne vykonávať svoje právomoci v prístupových krajinách; nabáda Bosnu a Hercegovinu, aby urýchlene uzavrela bilaterálne pracovné dohody s EPPO;</w:t>
      </w:r>
    </w:p>
    <w:p w14:paraId="24C5461A" w14:textId="5A820A4D" w:rsidR="00CA695C" w:rsidRPr="00191C1B" w:rsidRDefault="00EE052F" w:rsidP="00CA695C">
      <w:pPr>
        <w:pStyle w:val="NormalHanging12a"/>
      </w:pPr>
      <w:r w:rsidRPr="00191C1B">
        <w:t>62</w:t>
      </w:r>
      <w:r w:rsidR="00CA695C" w:rsidRPr="00191C1B">
        <w:t>.</w:t>
      </w:r>
      <w:r w:rsidR="00CA695C" w:rsidRPr="00191C1B">
        <w:tab/>
        <w:t xml:space="preserve">vyjadruje poľutovanie nad tým, že udržateľnému zlepšeniu a pokroku v tejto oblasti bráni aj štruktúra riadenia a nedostatok celoštátnych stratégií vo všetkých oblastiach a na všetkých úrovniach; požaduje urýchlené vymenovanie koordinátora IPA III a vyzýva na lepšie čerpanie finančných prostriedkov IPA III v Bosne a Hercegovine, a to aj na miestnej a regionálnej úrovni; žiada, aby sa posilnila schopnosť miestnych a regionálnych orgánov vykonávať sociálno-ekonomické reformy a riadiť projekty </w:t>
      </w:r>
      <w:r w:rsidR="00CA695C" w:rsidRPr="00191C1B">
        <w:lastRenderedPageBreak/>
        <w:t>spolufinancované z fondov EÚ s cieľom zvýšiť čerpanie prostriedkov a znížiť regionálne nerovnosti;</w:t>
      </w:r>
    </w:p>
    <w:p w14:paraId="3F1F259B" w14:textId="49D21A7E" w:rsidR="00CA695C" w:rsidRPr="00191C1B" w:rsidRDefault="00EE052F" w:rsidP="00CA695C">
      <w:pPr>
        <w:pStyle w:val="NormalHanging12a"/>
      </w:pPr>
      <w:r w:rsidRPr="00191C1B">
        <w:t>63</w:t>
      </w:r>
      <w:r w:rsidR="00CA695C" w:rsidRPr="00191C1B">
        <w:t>.</w:t>
      </w:r>
      <w:r w:rsidR="00CA695C" w:rsidRPr="00191C1B">
        <w:tab/>
        <w:t>naliehavo vyzýva Bosnu a Hercegovinu, aby sa prednostne zamerala na opatrenia na zlepšenie konkurencieschopnosti a podnikateľského prostredia a zároveň zlepšila hospodársku a sociálnu súdržnosť vrátane pokroku smerom k Európskemu pilieru sociálnych práv, posilnila hospodársku diverzifikáciu, podporila digitálnu a zelenú transformáciu, riešila otázku neformálnej ekonomiky a bojovala proti nezamestnanosti;</w:t>
      </w:r>
    </w:p>
    <w:p w14:paraId="28F27873" w14:textId="1C4F2A8B" w:rsidR="00CA695C" w:rsidRPr="00191C1B" w:rsidRDefault="00EE052F" w:rsidP="00CA695C">
      <w:pPr>
        <w:pStyle w:val="NormalHanging12a"/>
      </w:pPr>
      <w:r w:rsidRPr="00191C1B">
        <w:t>64</w:t>
      </w:r>
      <w:r w:rsidR="00CA695C" w:rsidRPr="00191C1B">
        <w:t>.</w:t>
      </w:r>
      <w:r w:rsidR="00CA695C" w:rsidRPr="00191C1B">
        <w:tab/>
        <w:t>vyjadruje znepokojenie nad mimoriadne negatívnym demografickým vývojom v krajine, ktorý je spôsobený najmä veľkým počtom odchádzajúcich mladých ľudí, a zdôrazňuje, že je dôležité urýchlene prijať ďalšie opatrenia na riešenie tohto problému; žiada, aby sa pozornosť zamerala na mládež ako hnaciu silu integrácie krajiny do EÚ; vyzýva Bosnu a Hercegovinu, aby dokončila a prijala záruku pre mladých ľudí s cieľom zlepšiť prístup mladých ľudí k zamestnaniu, vzdelávaniu, odbornej príprave a učňovskej príprave, riešiť vysokú nezamestnanosť mládeže a nesúlad medzi ponúkanými a požadovanými zručnosťami a podporiť sociálne začlenenie;</w:t>
      </w:r>
    </w:p>
    <w:p w14:paraId="79039A5B" w14:textId="241FD703" w:rsidR="00CA695C" w:rsidRPr="00191C1B" w:rsidRDefault="00EE052F" w:rsidP="00CA695C">
      <w:pPr>
        <w:pStyle w:val="NormalHanging12a"/>
      </w:pPr>
      <w:r w:rsidRPr="00191C1B">
        <w:t>65</w:t>
      </w:r>
      <w:r w:rsidR="00CA695C" w:rsidRPr="00191C1B">
        <w:t>.</w:t>
      </w:r>
      <w:r w:rsidR="00CA695C" w:rsidRPr="00191C1B">
        <w:tab/>
        <w:t>nabáda inštitúcie EÚ, aby v spolupráci s občianskou spoločnosťou a expertmi vypracovali spôsoby, ako zaistiť flexibilitu a prenosnosť zdravotnej a sociálnej ochrany s cieľom zabezpečiť rovnosť a mobilitu v rámci Bosny a Hercegoviny;</w:t>
      </w:r>
    </w:p>
    <w:p w14:paraId="1A45994F" w14:textId="748850A0" w:rsidR="00CA695C" w:rsidRPr="00191C1B" w:rsidRDefault="00EE052F" w:rsidP="00CA695C">
      <w:pPr>
        <w:pStyle w:val="NormalHanging12a"/>
      </w:pPr>
      <w:r w:rsidRPr="00191C1B">
        <w:t>66</w:t>
      </w:r>
      <w:r w:rsidR="00CA695C" w:rsidRPr="00191C1B">
        <w:t>.</w:t>
      </w:r>
      <w:r w:rsidR="00CA695C" w:rsidRPr="00191C1B">
        <w:tab/>
        <w:t>víta výzvy na urýchlenú integráciu všetkých krajín západného Balkánu do jednotného digitálneho trhu EÚ pred skutočným členstvom v EÚ, čo by zásadne prispelo k vytvoreniu bezpečného digitálneho prostredia;</w:t>
      </w:r>
    </w:p>
    <w:p w14:paraId="7B17361A" w14:textId="77777777" w:rsidR="00CA695C" w:rsidRPr="00191C1B" w:rsidRDefault="00CA695C" w:rsidP="00CA695C">
      <w:pPr>
        <w:pStyle w:val="Normal12a24b"/>
      </w:pPr>
      <w:r w:rsidRPr="00191C1B">
        <w:rPr>
          <w:rStyle w:val="BoldItalic"/>
        </w:rPr>
        <w:t>Energetika, životné prostredie, biodiverzita, udržateľný rozvoj a konektivita</w:t>
      </w:r>
    </w:p>
    <w:p w14:paraId="44836B72" w14:textId="2C89EF5B" w:rsidR="00CA695C" w:rsidRPr="00191C1B" w:rsidRDefault="00EE052F" w:rsidP="00CA695C">
      <w:pPr>
        <w:pStyle w:val="NormalHanging12a"/>
      </w:pPr>
      <w:r w:rsidRPr="00191C1B">
        <w:t>67</w:t>
      </w:r>
      <w:r w:rsidR="00CA695C" w:rsidRPr="00191C1B">
        <w:t>.</w:t>
      </w:r>
      <w:r w:rsidR="00CA695C" w:rsidRPr="00191C1B">
        <w:tab/>
        <w:t>nabáda Bosnu a Hercegovinu, aby urýchlila diverzifikáciu zdrojov energie, najmä pokiaľ ide o ukončenie jej závislosti od plynu z Ruska; naliehavo vyzýva Bosnu a Hercegovinu, aby zvýšila energetickú bezpečnosť a efektívnosť posilnením svojich elektrických prenosových a distribučných sietí, prepojením s európskym trhom a prechodom na obnoviteľné zdroje energie, najmä na slnečnú a veternú energiu, a zároveň zabezpečila zmysluplné verejné konzultácie a účinné environmentálne záruky;</w:t>
      </w:r>
    </w:p>
    <w:p w14:paraId="00BDD2C1" w14:textId="42B038D2" w:rsidR="00CA695C" w:rsidRPr="00191C1B" w:rsidRDefault="00EE052F" w:rsidP="00CA695C">
      <w:pPr>
        <w:pStyle w:val="NormalHanging12a"/>
      </w:pPr>
      <w:r w:rsidRPr="00191C1B">
        <w:t>68</w:t>
      </w:r>
      <w:r w:rsidR="00CA695C" w:rsidRPr="00191C1B">
        <w:t>.</w:t>
      </w:r>
      <w:r w:rsidR="00CA695C" w:rsidRPr="00191C1B">
        <w:tab/>
        <w:t>naliehavo vyzýva Bosnu a Hercegovinu, aby prijala svoj dlho odkladaný národný energetický a klimatický plán a vykonávala celoštátne stratégie ochrany životného prostredia, a to aj prostredníctvom právnej ochrany svojich kandidátskych lokalít siete Emerald, zlepšenia primeranosti svojej siete Emerald a zabezpečenia úplného vykonávania smernice o biotopoch</w:t>
      </w:r>
      <w:r w:rsidR="00CA695C" w:rsidRPr="00191C1B">
        <w:rPr>
          <w:rStyle w:val="FootnoteReference"/>
        </w:rPr>
        <w:footnoteReference w:id="10"/>
      </w:r>
      <w:r w:rsidR="00CA695C" w:rsidRPr="00191C1B">
        <w:t>, smernice o vtákoch</w:t>
      </w:r>
      <w:r w:rsidR="00CA695C" w:rsidRPr="00191C1B">
        <w:rPr>
          <w:rStyle w:val="FootnoteReference"/>
        </w:rPr>
        <w:footnoteReference w:id="11"/>
      </w:r>
      <w:r w:rsidR="00CA695C" w:rsidRPr="00191C1B">
        <w:t xml:space="preserve"> a rámcovej smernice o vode</w:t>
      </w:r>
      <w:r w:rsidR="00CA695C" w:rsidRPr="00191C1B">
        <w:rPr>
          <w:rStyle w:val="FootnoteReference"/>
        </w:rPr>
        <w:footnoteReference w:id="12"/>
      </w:r>
      <w:r w:rsidR="00CA695C" w:rsidRPr="00191C1B">
        <w:t xml:space="preserve">, a aby zároveň zlepšila kvalitu a transparentnosť investícií do životného prostredia; opätovne zdôrazňuje potrebu účinnej ochrany a zlepšovania kvality ovzdušia a vody, </w:t>
      </w:r>
      <w:r w:rsidR="00CA695C" w:rsidRPr="00191C1B">
        <w:lastRenderedPageBreak/>
        <w:t>ako aj účinných, primeraných a odrádzajúcich sankcií za porušenie právnych predpisov v oblasti životného prostredia; konštatuje, že pokrok v oblasti ochrany životného prostredia a klímy a zosúlaďovania s normami EÚ zostáva obmedzený, a preto naliehavo vyzýva orgány Bosny a Hercegoviny, aby zabezpečili väčšie zosúladenie s normami a politickými cieľmi EÚ v oblasti ochrany klímy a energetiky v súlade so zelenou agendou z roku 2020 a Parížskou dohodou;</w:t>
      </w:r>
    </w:p>
    <w:p w14:paraId="0D4ADD87" w14:textId="7D80A40E" w:rsidR="00CA695C" w:rsidRPr="00191C1B" w:rsidRDefault="00EE052F" w:rsidP="00CA695C">
      <w:pPr>
        <w:pStyle w:val="NormalHanging12a"/>
      </w:pPr>
      <w:r w:rsidRPr="00191C1B">
        <w:t>69</w:t>
      </w:r>
      <w:r w:rsidR="00CA695C" w:rsidRPr="00191C1B">
        <w:t>.</w:t>
      </w:r>
      <w:r w:rsidR="00CA695C" w:rsidRPr="00191C1B">
        <w:tab/>
        <w:t>vyzýva orgány Bosny a Hercegoviny, aby znížili cezhraničné znečistenie ovzdušia, najmä v prípade ropnej rafinérie Bosanski Brod; pripomína, že Bosna a Hercegovina je signatárskou stranou Dohovoru o hodnotení vplyvu na životné prostredie presahujúceho štátne hranice (Espoo, 1991) a je viazaná povinnosťami, ktoré z neho vyplývajú;</w:t>
      </w:r>
    </w:p>
    <w:p w14:paraId="0C214C5A" w14:textId="4B22B023" w:rsidR="00CA695C" w:rsidRPr="00191C1B" w:rsidRDefault="00EE052F" w:rsidP="00CA695C">
      <w:pPr>
        <w:pStyle w:val="NormalHanging12a"/>
      </w:pPr>
      <w:r w:rsidRPr="00191C1B">
        <w:t>70</w:t>
      </w:r>
      <w:r w:rsidR="00CA695C" w:rsidRPr="00191C1B">
        <w:t>.</w:t>
      </w:r>
      <w:r w:rsidR="00CA695C" w:rsidRPr="00191C1B">
        <w:tab/>
        <w:t>zdôrazňuje potrebu zlepšiť ex ante komplexné strategické environmentálne hodnotenia s významným zapojením miestnych komunít, organizácií občianskej spoločnosti a nezávislých expertov; zdôrazňuje potrebu zvýšiť transparentnosť postupov pre infraštruktúrne projekty v ekologicky citlivých odvetviach; zdôrazňuje dôležitosť väčšieho začleňovania environmentálneho hľadiska do všetkých odvetvových politík;</w:t>
      </w:r>
    </w:p>
    <w:p w14:paraId="747AE289" w14:textId="0CCBFCB8" w:rsidR="00CA695C" w:rsidRPr="00191C1B" w:rsidRDefault="00EE052F" w:rsidP="00CA695C">
      <w:pPr>
        <w:pStyle w:val="NormalHanging12a"/>
      </w:pPr>
      <w:r w:rsidRPr="00191C1B">
        <w:t>71</w:t>
      </w:r>
      <w:r w:rsidR="00CA695C" w:rsidRPr="00191C1B">
        <w:t>.</w:t>
      </w:r>
      <w:r w:rsidR="00CA695C" w:rsidRPr="00191C1B">
        <w:tab/>
        <w:t xml:space="preserve">naliehavo žiada krajinu, aby zaviedla opatrenia na ochranu biodiverzity a ekologickej integrity riek v súlade s Dohovorom z Espoo; </w:t>
      </w:r>
    </w:p>
    <w:p w14:paraId="29518F0E" w14:textId="08AAD5B2" w:rsidR="00CA695C" w:rsidRPr="00191C1B" w:rsidRDefault="00EE052F" w:rsidP="00CA695C">
      <w:pPr>
        <w:pStyle w:val="NormalHanging12a"/>
      </w:pPr>
      <w:r w:rsidRPr="00191C1B">
        <w:t>72</w:t>
      </w:r>
      <w:r w:rsidR="00CA695C" w:rsidRPr="00191C1B">
        <w:t>.</w:t>
      </w:r>
      <w:r w:rsidR="00CA695C" w:rsidRPr="00191C1B">
        <w:tab/>
        <w:t>vyjadruje hlboké znepokojenie nad škodlivým vplyvom banskej činnosti vrátane tej, ktorú vykonávajú zahraničné spoločnosti, na životné prostredie v Bosne a Hercegovine a na zdravie jej občanov; vyzýva všetky banské subjekty pôsobiace v Bosne a Hercegovine, aby v plnej miere dodržiavali vnútroštátne právne predpisy a uprednostňovali ochranu životného prostredia a verejného zdravia;</w:t>
      </w:r>
    </w:p>
    <w:p w14:paraId="38E9CFE6" w14:textId="1CD4BFA5" w:rsidR="00CA695C" w:rsidRPr="00191C1B" w:rsidRDefault="00EE052F" w:rsidP="00CA695C">
      <w:pPr>
        <w:pStyle w:val="NormalHanging12a"/>
      </w:pPr>
      <w:r w:rsidRPr="00191C1B">
        <w:t>73</w:t>
      </w:r>
      <w:r w:rsidR="00CA695C" w:rsidRPr="00191C1B">
        <w:t>.</w:t>
      </w:r>
      <w:r w:rsidR="00CA695C" w:rsidRPr="00191C1B">
        <w:tab/>
        <w:t>zdôrazňuje, že je naliehavo potrebné, aby Federácia Bosny a Hercegoviny prijala spravodlivý a moderný zákon o lesoch založený na odborných znalostiach; ďalej vyzýva na silnejšiu ochranu lesov a riek prostredníctvom lepšieho inšpekčného dohľadu a vytvorenia prísneho právneho rámca v súlade s environmentálnymi a systémovými normami; požaduje zrušenie ustanovenia v príslušnom nariadení Federácie Bosny a Hercegoviny, ktoré umožňuje vypúšťanie odpadových vôd do riek s minimálnym dohľadom, čo predstavuje významnú hrozbu pre verejné zdravie a životné prostredie;</w:t>
      </w:r>
    </w:p>
    <w:p w14:paraId="7CD96CCA" w14:textId="28C8D657" w:rsidR="00CA695C" w:rsidRPr="00191C1B" w:rsidRDefault="00EE052F" w:rsidP="00CA695C">
      <w:pPr>
        <w:pStyle w:val="NormalHanging12a"/>
      </w:pPr>
      <w:r w:rsidRPr="00191C1B">
        <w:t>74</w:t>
      </w:r>
      <w:r w:rsidR="00CA695C" w:rsidRPr="00191C1B">
        <w:t xml:space="preserve">. </w:t>
      </w:r>
      <w:r w:rsidR="00CA695C" w:rsidRPr="00191C1B">
        <w:tab/>
        <w:t>vyzýva Bosnu a Hercegovinu, aby urýchlene dokončila a prijala právne vymedzenie lokality Livanjsko Polje ako chránenej krajinnej oblasti kategórie V a zabezpečila primerané monitorovanie;</w:t>
      </w:r>
    </w:p>
    <w:p w14:paraId="3C2F711A" w14:textId="3BD38054" w:rsidR="00CA695C" w:rsidRPr="00191C1B" w:rsidRDefault="00EE052F" w:rsidP="00CA695C">
      <w:pPr>
        <w:pStyle w:val="NormalHanging12a"/>
      </w:pPr>
      <w:r w:rsidRPr="00191C1B">
        <w:t>75</w:t>
      </w:r>
      <w:r w:rsidR="00CA695C" w:rsidRPr="00191C1B">
        <w:t>.</w:t>
      </w:r>
      <w:r w:rsidR="00CA695C" w:rsidRPr="00191C1B">
        <w:tab/>
        <w:t>vyjadruje solidaritu s Bosnou a Hercegovinou a všetkými obeťami ničivých povodní a zosuvov pôdy, ku ktorým došlo 3. a 4. októbra 2024; vyzýva orgány Federácie Bosny a Hercegoviny, aby zvýšili podporu postihnutým a zabezpečili odstránenie všetkých nedostatkov v oblasti presadzovania práva a správy lesov, ktoré mohli zhoršiť katastrofu;</w:t>
      </w:r>
    </w:p>
    <w:p w14:paraId="60C9EAB2" w14:textId="3D3D9671" w:rsidR="00F36535" w:rsidRPr="00191C1B" w:rsidRDefault="00F36535" w:rsidP="00F36535">
      <w:pPr>
        <w:pStyle w:val="NormalHanging12a"/>
        <w:ind w:left="0" w:firstLine="0"/>
        <w:jc w:val="center"/>
      </w:pPr>
      <w:r w:rsidRPr="00191C1B">
        <w:t>°</w:t>
      </w:r>
    </w:p>
    <w:p w14:paraId="5553E6D2" w14:textId="0ECAF3EA" w:rsidR="00F36535" w:rsidRPr="00191C1B" w:rsidRDefault="00F36535" w:rsidP="00F36535">
      <w:pPr>
        <w:pStyle w:val="NormalHanging12a"/>
        <w:ind w:left="0" w:firstLine="0"/>
        <w:jc w:val="center"/>
      </w:pPr>
      <w:r w:rsidRPr="00191C1B">
        <w:t>°     °</w:t>
      </w:r>
    </w:p>
    <w:p w14:paraId="0FAB70D1" w14:textId="3BEEDD40" w:rsidR="007669E3" w:rsidRPr="00191C1B" w:rsidRDefault="00EE052F" w:rsidP="007669E3">
      <w:pPr>
        <w:pStyle w:val="NormalHanging12a"/>
      </w:pPr>
      <w:r w:rsidRPr="00191C1B">
        <w:t>76</w:t>
      </w:r>
      <w:r w:rsidR="00CA695C" w:rsidRPr="00191C1B">
        <w:t>.</w:t>
      </w:r>
      <w:r w:rsidR="00CA695C" w:rsidRPr="00191C1B">
        <w:tab/>
        <w:t xml:space="preserve">poveruje svoju predsedníčku, aby postúpila toto uznesenie podpredsedníčke Komisie/vysokej predstaviteľke Únie pre zahraničné veci a bezpečnostnú politiku, Rade, Komisii, predsedníctvu, Rade ministrov a Parlamentnému zhromaždeniu Bosny a </w:t>
      </w:r>
      <w:r w:rsidR="00CA695C" w:rsidRPr="00191C1B">
        <w:lastRenderedPageBreak/>
        <w:t>Hercegoviny, vládam a parlamentom Federácie Bosny a Hercegoviny, Republiky srbskej a dištriktu Brčko a Úradu vysokého predstaviteľa.</w:t>
      </w:r>
    </w:p>
    <w:p w14:paraId="36F4065F" w14:textId="4AAA3D30" w:rsidR="00E365E1" w:rsidRPr="00191C1B" w:rsidRDefault="00E365E1" w:rsidP="00181309"/>
    <w:sectPr w:rsidR="00E365E1" w:rsidRPr="00191C1B" w:rsidSect="007669E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CE4A0" w14:textId="77777777" w:rsidR="00181309" w:rsidRPr="007669E3" w:rsidRDefault="00181309">
      <w:r w:rsidRPr="007669E3">
        <w:separator/>
      </w:r>
    </w:p>
  </w:endnote>
  <w:endnote w:type="continuationSeparator" w:id="0">
    <w:p w14:paraId="4B446A9E" w14:textId="77777777" w:rsidR="00181309" w:rsidRPr="007669E3" w:rsidRDefault="00181309">
      <w:r w:rsidRPr="007669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15F2C" w14:textId="77777777" w:rsidR="00181309" w:rsidRPr="007669E3" w:rsidRDefault="00181309">
      <w:r w:rsidRPr="007669E3">
        <w:separator/>
      </w:r>
    </w:p>
  </w:footnote>
  <w:footnote w:type="continuationSeparator" w:id="0">
    <w:p w14:paraId="566478D9" w14:textId="77777777" w:rsidR="00181309" w:rsidRPr="007669E3" w:rsidRDefault="00181309">
      <w:r w:rsidRPr="007669E3">
        <w:continuationSeparator/>
      </w:r>
    </w:p>
  </w:footnote>
  <w:footnote w:id="1">
    <w:p w14:paraId="74A6B721" w14:textId="0D0F8218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>Ú. v. EÚ L 164, 30.6.20</w:t>
      </w:r>
      <w:r w:rsidR="00A83F55">
        <w:rPr>
          <w:sz w:val="24"/>
          <w:lang w:val="sk-SK"/>
        </w:rPr>
        <w:t>15</w:t>
      </w:r>
      <w:r w:rsidRPr="007669E3">
        <w:rPr>
          <w:sz w:val="24"/>
          <w:lang w:val="sk-SK"/>
        </w:rPr>
        <w:t xml:space="preserve">, s. 2, ELI: </w:t>
      </w:r>
      <w:hyperlink r:id="rId1" w:history="1">
        <w:r w:rsidRPr="007669E3">
          <w:rPr>
            <w:rStyle w:val="Hyperlink"/>
            <w:sz w:val="24"/>
            <w:lang w:val="sk-SK"/>
          </w:rPr>
          <w:t>http://data.europa.eu/eli/agree_internation/2015/997/oj</w:t>
        </w:r>
      </w:hyperlink>
      <w:r w:rsidRPr="007669E3">
        <w:rPr>
          <w:sz w:val="24"/>
          <w:lang w:val="sk-SK"/>
        </w:rPr>
        <w:t>.</w:t>
      </w:r>
    </w:p>
  </w:footnote>
  <w:footnote w:id="2">
    <w:p w14:paraId="3ACC749C" w14:textId="15082581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Ú. v. EÚ L 330, 20.9.2021, s. 1, ELI: </w:t>
      </w:r>
      <w:hyperlink r:id="rId2" w:history="1">
        <w:r w:rsidRPr="007669E3">
          <w:rPr>
            <w:rStyle w:val="Hyperlink"/>
            <w:sz w:val="24"/>
            <w:lang w:val="sk-SK"/>
          </w:rPr>
          <w:t>http://data.europa.eu/eli/reg/2021/1529/oj</w:t>
        </w:r>
      </w:hyperlink>
      <w:r w:rsidRPr="007669E3">
        <w:rPr>
          <w:sz w:val="24"/>
          <w:lang w:val="sk-SK"/>
        </w:rPr>
        <w:t>.</w:t>
      </w:r>
    </w:p>
  </w:footnote>
  <w:footnote w:id="3">
    <w:p w14:paraId="50A255D2" w14:textId="578EDCB1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Ú. v. EÚ L, 2024/1449, 24.5.2024, ELI: </w:t>
      </w:r>
      <w:hyperlink r:id="rId3" w:history="1">
        <w:r w:rsidRPr="007669E3">
          <w:rPr>
            <w:rStyle w:val="Hyperlink"/>
            <w:sz w:val="24"/>
            <w:lang w:val="sk-SK"/>
          </w:rPr>
          <w:t>http://data.europa.eu/eli/reg/2024/1449/oj</w:t>
        </w:r>
      </w:hyperlink>
      <w:r w:rsidRPr="007669E3">
        <w:rPr>
          <w:sz w:val="24"/>
          <w:lang w:val="sk-SK"/>
        </w:rPr>
        <w:t>.</w:t>
      </w:r>
    </w:p>
  </w:footnote>
  <w:footnote w:id="4">
    <w:p w14:paraId="7EC32843" w14:textId="2DF73E94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Ú. v. EÚ L 391, 5.11.2021, s. 45, ELI: </w:t>
      </w:r>
      <w:hyperlink r:id="rId4" w:history="1">
        <w:r w:rsidRPr="007669E3">
          <w:rPr>
            <w:rStyle w:val="Hyperlink"/>
            <w:sz w:val="24"/>
            <w:lang w:val="sk-SK"/>
          </w:rPr>
          <w:t>http://data.europa.eu/eli/dec/2021/1923/oj</w:t>
        </w:r>
      </w:hyperlink>
      <w:r w:rsidRPr="007669E3">
        <w:rPr>
          <w:sz w:val="24"/>
          <w:lang w:val="sk-SK"/>
        </w:rPr>
        <w:t>.</w:t>
      </w:r>
    </w:p>
  </w:footnote>
  <w:footnote w:id="5">
    <w:p w14:paraId="1FEC7D6A" w14:textId="0760B7F0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Ú. v. EÚ L 311, 2.12.2022, s. 149, ELI: </w:t>
      </w:r>
      <w:hyperlink r:id="rId5" w:history="1">
        <w:r w:rsidRPr="007669E3">
          <w:rPr>
            <w:rStyle w:val="Hyperlink"/>
            <w:sz w:val="24"/>
            <w:lang w:val="sk-SK"/>
          </w:rPr>
          <w:t>http://data.europa.eu/eli/dec/2022/2353/oj</w:t>
        </w:r>
      </w:hyperlink>
      <w:r w:rsidRPr="007669E3">
        <w:rPr>
          <w:sz w:val="24"/>
          <w:lang w:val="sk-SK"/>
        </w:rPr>
        <w:t>.</w:t>
      </w:r>
    </w:p>
  </w:footnote>
  <w:footnote w:id="6">
    <w:p w14:paraId="4E9414B6" w14:textId="0AECC59E" w:rsidR="00CA695C" w:rsidRPr="00244036" w:rsidRDefault="00CA695C" w:rsidP="007669E3">
      <w:pPr>
        <w:pStyle w:val="FootnoteText"/>
        <w:ind w:left="567" w:hanging="567"/>
        <w:rPr>
          <w:sz w:val="24"/>
          <w:szCs w:val="24"/>
          <w:lang w:val="sk-SK"/>
        </w:rPr>
      </w:pPr>
      <w:r w:rsidRPr="00244036">
        <w:rPr>
          <w:rStyle w:val="FootnoteReference"/>
          <w:sz w:val="24"/>
          <w:szCs w:val="24"/>
          <w:lang w:val="sk-SK"/>
        </w:rPr>
        <w:footnoteRef/>
      </w:r>
      <w:r w:rsidR="007669E3" w:rsidRPr="00244036">
        <w:rPr>
          <w:sz w:val="24"/>
          <w:szCs w:val="24"/>
          <w:lang w:val="sk-SK"/>
        </w:rPr>
        <w:t xml:space="preserve"> </w:t>
      </w:r>
      <w:r w:rsidR="007669E3" w:rsidRPr="00244036">
        <w:rPr>
          <w:sz w:val="24"/>
          <w:szCs w:val="24"/>
          <w:lang w:val="sk-SK"/>
        </w:rPr>
        <w:tab/>
      </w:r>
      <w:r w:rsidR="00754AB8" w:rsidRPr="00191C1B">
        <w:rPr>
          <w:sz w:val="24"/>
          <w:szCs w:val="24"/>
          <w:lang w:val="fi-FI"/>
        </w:rPr>
        <w:t>Ú. v. EÚ C 167, 11.5.2023, s. 105</w:t>
      </w:r>
      <w:r w:rsidRPr="00244036">
        <w:rPr>
          <w:sz w:val="24"/>
          <w:szCs w:val="24"/>
          <w:lang w:val="sk-SK"/>
        </w:rPr>
        <w:t>.</w:t>
      </w:r>
    </w:p>
  </w:footnote>
  <w:footnote w:id="7">
    <w:p w14:paraId="21EB75B7" w14:textId="041466B2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Ú. v. EÚ C, C/2024/5744, 17.10.2024, ELI: </w:t>
      </w:r>
      <w:hyperlink r:id="rId6" w:history="1">
        <w:r w:rsidRPr="007669E3">
          <w:rPr>
            <w:rStyle w:val="Hyperlink"/>
            <w:sz w:val="24"/>
            <w:lang w:val="sk-SK"/>
          </w:rPr>
          <w:t>http://data.europa.eu/eli/C/2024/5744/oj</w:t>
        </w:r>
      </w:hyperlink>
      <w:r w:rsidRPr="007669E3">
        <w:rPr>
          <w:sz w:val="24"/>
          <w:lang w:val="sk-SK"/>
        </w:rPr>
        <w:t>.</w:t>
      </w:r>
    </w:p>
  </w:footnote>
  <w:footnote w:id="8">
    <w:p w14:paraId="610FC106" w14:textId="2F313E65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Nariadenie Európskeho parlamentu a Rady (EÚ) 2022/2065 z 19. októbra 2022 o jednotnom trhu s digitálnymi službami a o zmene smernice 2000/31/ES (akt o digitálnych službách) (Ú. v. EÚ L 277, 27.10.2022, s. 1, ELI: </w:t>
      </w:r>
      <w:hyperlink r:id="rId7" w:history="1">
        <w:r w:rsidRPr="007669E3">
          <w:rPr>
            <w:rStyle w:val="Hyperlink"/>
            <w:sz w:val="24"/>
            <w:lang w:val="sk-SK"/>
          </w:rPr>
          <w:t>http://data.europa.eu/eli/reg/2022/2065/oj</w:t>
        </w:r>
      </w:hyperlink>
      <w:r w:rsidRPr="007669E3">
        <w:rPr>
          <w:sz w:val="24"/>
          <w:lang w:val="sk-SK"/>
        </w:rPr>
        <w:t>).</w:t>
      </w:r>
    </w:p>
  </w:footnote>
  <w:footnote w:id="9">
    <w:p w14:paraId="346CF153" w14:textId="468248CF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Nariadenie Európskeho parlamentu a Rady (EÚ) 2024/1083 z 11. apríla 2024, ktorým sa stanovuje spoločný rámec pre mediálne služby na vnútornom trhu a mení smernica 2010/13/EÚ (Európsky akt o slobode médií) (Ú. v. EÚ L, 2024/1083, 17.4.2024, ELI: </w:t>
      </w:r>
      <w:hyperlink r:id="rId8" w:history="1">
        <w:r w:rsidRPr="007669E3">
          <w:rPr>
            <w:rStyle w:val="Hyperlink"/>
            <w:sz w:val="24"/>
            <w:lang w:val="sk-SK"/>
          </w:rPr>
          <w:t>http://data.europa.eu/eli/reg/2024/1083/oj</w:t>
        </w:r>
      </w:hyperlink>
      <w:r w:rsidRPr="007669E3">
        <w:rPr>
          <w:sz w:val="24"/>
          <w:lang w:val="sk-SK"/>
        </w:rPr>
        <w:t>).</w:t>
      </w:r>
    </w:p>
  </w:footnote>
  <w:footnote w:id="10">
    <w:p w14:paraId="5272D771" w14:textId="43175EF3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Smernica Rady 92/43/EHS z 21. mája 1992 o ochrane prirodzených biotopov a voľne žijúcich živočíchov a rastlín (Ú. v. ES L 206, 22.7.1992, s. 7, ELI: </w:t>
      </w:r>
      <w:hyperlink r:id="rId9" w:history="1">
        <w:r w:rsidRPr="007669E3">
          <w:rPr>
            <w:rStyle w:val="Hyperlink"/>
            <w:sz w:val="24"/>
            <w:lang w:val="sk-SK"/>
          </w:rPr>
          <w:t>http://data.europa.eu/eli/dir/1992/43/oj</w:t>
        </w:r>
      </w:hyperlink>
      <w:r w:rsidRPr="007669E3">
        <w:rPr>
          <w:sz w:val="24"/>
          <w:lang w:val="sk-SK"/>
        </w:rPr>
        <w:t>).</w:t>
      </w:r>
    </w:p>
  </w:footnote>
  <w:footnote w:id="11">
    <w:p w14:paraId="1ABFDF2C" w14:textId="59864CD2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Smernica Európskeho parlamentu a Rady 2009/147/ES z 30. novembra 2009 o ochrane voľne žijúceho vtáctva (Ú. v. EÚ L 20, 26.1.2010, s. 7, ELI: </w:t>
      </w:r>
      <w:hyperlink r:id="rId10" w:history="1">
        <w:r w:rsidRPr="007669E3">
          <w:rPr>
            <w:rStyle w:val="Hyperlink"/>
            <w:sz w:val="24"/>
            <w:lang w:val="sk-SK"/>
          </w:rPr>
          <w:t>http://data.europa.eu/eli/dir/2009/147/oj</w:t>
        </w:r>
      </w:hyperlink>
      <w:r w:rsidRPr="007669E3">
        <w:rPr>
          <w:sz w:val="24"/>
          <w:lang w:val="sk-SK"/>
        </w:rPr>
        <w:t>).</w:t>
      </w:r>
    </w:p>
  </w:footnote>
  <w:footnote w:id="12">
    <w:p w14:paraId="4DE15BA6" w14:textId="377A04E5" w:rsidR="00CA695C" w:rsidRPr="007669E3" w:rsidRDefault="00CA695C" w:rsidP="007669E3">
      <w:pPr>
        <w:pStyle w:val="FootnoteText"/>
        <w:ind w:left="567" w:hanging="567"/>
        <w:rPr>
          <w:sz w:val="24"/>
          <w:lang w:val="sk-SK"/>
        </w:rPr>
      </w:pPr>
      <w:r w:rsidRPr="007669E3">
        <w:rPr>
          <w:rStyle w:val="FootnoteReference"/>
          <w:sz w:val="24"/>
          <w:lang w:val="sk-SK"/>
        </w:rPr>
        <w:footnoteRef/>
      </w:r>
      <w:r w:rsidR="007669E3" w:rsidRPr="007669E3">
        <w:rPr>
          <w:sz w:val="24"/>
          <w:lang w:val="sk-SK"/>
        </w:rPr>
        <w:t xml:space="preserve"> </w:t>
      </w:r>
      <w:r w:rsidR="007669E3" w:rsidRPr="007669E3">
        <w:rPr>
          <w:sz w:val="24"/>
          <w:lang w:val="sk-SK"/>
        </w:rPr>
        <w:tab/>
      </w:r>
      <w:r w:rsidRPr="007669E3">
        <w:rPr>
          <w:sz w:val="24"/>
          <w:lang w:val="sk-SK"/>
        </w:rPr>
        <w:t xml:space="preserve">Smernica Európskeho parlamentu a Rady 2000/60/ES z 23. októbra 2000, ktorou sa stanovuje rámec pôsobnosti pre opatrenia Spoločenstva v oblasti vodného hospodárstva (Ú. v. ES L 327, 22.12.2000, s. 1, ELI: </w:t>
      </w:r>
      <w:hyperlink r:id="rId11" w:history="1">
        <w:r w:rsidRPr="007669E3">
          <w:rPr>
            <w:rStyle w:val="Hyperlink"/>
            <w:sz w:val="24"/>
            <w:lang w:val="sk-SK"/>
          </w:rPr>
          <w:t>http://data.europa.eu/eli/dir/2000/60/oj</w:t>
        </w:r>
      </w:hyperlink>
      <w:r w:rsidRPr="007669E3">
        <w:rPr>
          <w:sz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9487977">
    <w:abstractNumId w:val="9"/>
  </w:num>
  <w:num w:numId="2" w16cid:durableId="371929117">
    <w:abstractNumId w:val="9"/>
  </w:num>
  <w:num w:numId="3" w16cid:durableId="463735042">
    <w:abstractNumId w:val="7"/>
  </w:num>
  <w:num w:numId="4" w16cid:durableId="717357271">
    <w:abstractNumId w:val="7"/>
  </w:num>
  <w:num w:numId="5" w16cid:durableId="995307350">
    <w:abstractNumId w:val="6"/>
  </w:num>
  <w:num w:numId="6" w16cid:durableId="280577732">
    <w:abstractNumId w:val="6"/>
  </w:num>
  <w:num w:numId="7" w16cid:durableId="34476006">
    <w:abstractNumId w:val="5"/>
  </w:num>
  <w:num w:numId="8" w16cid:durableId="2135823578">
    <w:abstractNumId w:val="5"/>
  </w:num>
  <w:num w:numId="9" w16cid:durableId="2100364007">
    <w:abstractNumId w:val="4"/>
  </w:num>
  <w:num w:numId="10" w16cid:durableId="1103111230">
    <w:abstractNumId w:val="4"/>
  </w:num>
  <w:num w:numId="11" w16cid:durableId="989211233">
    <w:abstractNumId w:val="8"/>
  </w:num>
  <w:num w:numId="12" w16cid:durableId="325212493">
    <w:abstractNumId w:val="8"/>
  </w:num>
  <w:num w:numId="13" w16cid:durableId="1772627523">
    <w:abstractNumId w:val="3"/>
  </w:num>
  <w:num w:numId="14" w16cid:durableId="856692773">
    <w:abstractNumId w:val="3"/>
  </w:num>
  <w:num w:numId="15" w16cid:durableId="1516573897">
    <w:abstractNumId w:val="2"/>
  </w:num>
  <w:num w:numId="16" w16cid:durableId="2007046851">
    <w:abstractNumId w:val="2"/>
  </w:num>
  <w:num w:numId="17" w16cid:durableId="1659650815">
    <w:abstractNumId w:val="1"/>
  </w:num>
  <w:num w:numId="18" w16cid:durableId="2085956205">
    <w:abstractNumId w:val="1"/>
  </w:num>
  <w:num w:numId="19" w16cid:durableId="1729718295">
    <w:abstractNumId w:val="0"/>
  </w:num>
  <w:num w:numId="20" w16cid:durableId="379134171">
    <w:abstractNumId w:val="0"/>
  </w:num>
  <w:num w:numId="21" w16cid:durableId="1204295944">
    <w:abstractNumId w:val="9"/>
  </w:num>
  <w:num w:numId="22" w16cid:durableId="712197672">
    <w:abstractNumId w:val="7"/>
  </w:num>
  <w:num w:numId="23" w16cid:durableId="855925698">
    <w:abstractNumId w:val="6"/>
  </w:num>
  <w:num w:numId="24" w16cid:durableId="1848593120">
    <w:abstractNumId w:val="5"/>
  </w:num>
  <w:num w:numId="25" w16cid:durableId="1880048826">
    <w:abstractNumId w:val="4"/>
  </w:num>
  <w:num w:numId="26" w16cid:durableId="752162860">
    <w:abstractNumId w:val="8"/>
  </w:num>
  <w:num w:numId="27" w16cid:durableId="319428330">
    <w:abstractNumId w:val="3"/>
  </w:num>
  <w:num w:numId="28" w16cid:durableId="1488326705">
    <w:abstractNumId w:val="2"/>
  </w:num>
  <w:num w:numId="29" w16cid:durableId="2055351157">
    <w:abstractNumId w:val="1"/>
  </w:num>
  <w:num w:numId="30" w16cid:durableId="547690685">
    <w:abstractNumId w:val="0"/>
  </w:num>
  <w:num w:numId="31" w16cid:durableId="1844008555">
    <w:abstractNumId w:val="9"/>
  </w:num>
  <w:num w:numId="32" w16cid:durableId="233784691">
    <w:abstractNumId w:val="7"/>
  </w:num>
  <w:num w:numId="33" w16cid:durableId="733359109">
    <w:abstractNumId w:val="6"/>
  </w:num>
  <w:num w:numId="34" w16cid:durableId="304512035">
    <w:abstractNumId w:val="5"/>
  </w:num>
  <w:num w:numId="35" w16cid:durableId="1246840322">
    <w:abstractNumId w:val="4"/>
  </w:num>
  <w:num w:numId="36" w16cid:durableId="201871525">
    <w:abstractNumId w:val="8"/>
  </w:num>
  <w:num w:numId="37" w16cid:durableId="1651903547">
    <w:abstractNumId w:val="3"/>
  </w:num>
  <w:num w:numId="38" w16cid:durableId="730929299">
    <w:abstractNumId w:val="2"/>
  </w:num>
  <w:num w:numId="39" w16cid:durableId="1531719280">
    <w:abstractNumId w:val="1"/>
  </w:num>
  <w:num w:numId="40" w16cid:durableId="1333025746">
    <w:abstractNumId w:val="0"/>
  </w:num>
  <w:num w:numId="41" w16cid:durableId="1920868462">
    <w:abstractNumId w:val="10"/>
  </w:num>
  <w:num w:numId="42" w16cid:durableId="1646663001">
    <w:abstractNumId w:val="10"/>
  </w:num>
  <w:num w:numId="43" w16cid:durableId="1845245065">
    <w:abstractNumId w:val="10"/>
  </w:num>
  <w:num w:numId="44" w16cid:durableId="207871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8/2025"/>
    <w:docVar w:name="dvlangue" w:val="SK"/>
    <w:docVar w:name="dvnumam" w:val="0"/>
    <w:docVar w:name="dvpe" w:val="769.995"/>
    <w:docVar w:name="dvrapporteur" w:val="Spravodajca: "/>
    <w:docVar w:name="dvtitre" w:val="Uznesenie Európskeho parlamentu z xx. júla 2025 o správach Komisie o Bosne a Hercegovine za roky 2023 a 2024(2025/2018(INI))"/>
  </w:docVars>
  <w:rsids>
    <w:rsidRoot w:val="00181309"/>
    <w:rsid w:val="00002272"/>
    <w:rsid w:val="00064002"/>
    <w:rsid w:val="000677B9"/>
    <w:rsid w:val="000831BA"/>
    <w:rsid w:val="000A42CC"/>
    <w:rsid w:val="000E7DD9"/>
    <w:rsid w:val="0010095E"/>
    <w:rsid w:val="00125B37"/>
    <w:rsid w:val="00181309"/>
    <w:rsid w:val="00187494"/>
    <w:rsid w:val="00191C1B"/>
    <w:rsid w:val="001F32AE"/>
    <w:rsid w:val="00210649"/>
    <w:rsid w:val="00244036"/>
    <w:rsid w:val="002767FF"/>
    <w:rsid w:val="002B18FE"/>
    <w:rsid w:val="002B5493"/>
    <w:rsid w:val="002B6E8C"/>
    <w:rsid w:val="0032208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4C07"/>
    <w:rsid w:val="006631B6"/>
    <w:rsid w:val="00680577"/>
    <w:rsid w:val="00683AEB"/>
    <w:rsid w:val="006F74FA"/>
    <w:rsid w:val="00731ADD"/>
    <w:rsid w:val="00734777"/>
    <w:rsid w:val="00747932"/>
    <w:rsid w:val="00751A4A"/>
    <w:rsid w:val="00754AB8"/>
    <w:rsid w:val="00756632"/>
    <w:rsid w:val="00762C74"/>
    <w:rsid w:val="007669E3"/>
    <w:rsid w:val="00786EC0"/>
    <w:rsid w:val="007D1690"/>
    <w:rsid w:val="007D3F8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A1687D"/>
    <w:rsid w:val="00A43E52"/>
    <w:rsid w:val="00A4678D"/>
    <w:rsid w:val="00A778C7"/>
    <w:rsid w:val="00A83F55"/>
    <w:rsid w:val="00AB441E"/>
    <w:rsid w:val="00AB6293"/>
    <w:rsid w:val="00AE0928"/>
    <w:rsid w:val="00AF3B82"/>
    <w:rsid w:val="00B12E95"/>
    <w:rsid w:val="00B22876"/>
    <w:rsid w:val="00B558F0"/>
    <w:rsid w:val="00B76C8F"/>
    <w:rsid w:val="00BD48FE"/>
    <w:rsid w:val="00BD7BD8"/>
    <w:rsid w:val="00BE6ADC"/>
    <w:rsid w:val="00C05BFE"/>
    <w:rsid w:val="00C23CD4"/>
    <w:rsid w:val="00C61C0C"/>
    <w:rsid w:val="00C941CB"/>
    <w:rsid w:val="00CA695C"/>
    <w:rsid w:val="00CC2357"/>
    <w:rsid w:val="00CC52EA"/>
    <w:rsid w:val="00CF071A"/>
    <w:rsid w:val="00D058B8"/>
    <w:rsid w:val="00D56C11"/>
    <w:rsid w:val="00D834A0"/>
    <w:rsid w:val="00D872DF"/>
    <w:rsid w:val="00D91E21"/>
    <w:rsid w:val="00DA7FCD"/>
    <w:rsid w:val="00E365E1"/>
    <w:rsid w:val="00E716F0"/>
    <w:rsid w:val="00E820A4"/>
    <w:rsid w:val="00EB006A"/>
    <w:rsid w:val="00EB4772"/>
    <w:rsid w:val="00ED169E"/>
    <w:rsid w:val="00ED4235"/>
    <w:rsid w:val="00EE052F"/>
    <w:rsid w:val="00F04346"/>
    <w:rsid w:val="00F075DC"/>
    <w:rsid w:val="00F149E9"/>
    <w:rsid w:val="00F36535"/>
    <w:rsid w:val="00F5134D"/>
    <w:rsid w:val="00F74202"/>
    <w:rsid w:val="00F85001"/>
    <w:rsid w:val="00F87713"/>
    <w:rsid w:val="00FB4360"/>
    <w:rsid w:val="00FC100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2DB11"/>
  <w15:chartTrackingRefBased/>
  <w15:docId w15:val="{68D259E3-2B7D-48FA-98C2-BFFAEB21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695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CA695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CA695C"/>
    <w:pPr>
      <w:spacing w:after="240"/>
      <w:jc w:val="center"/>
    </w:pPr>
  </w:style>
  <w:style w:type="character" w:customStyle="1" w:styleId="BoldItalic">
    <w:name w:val="BoldItalic"/>
    <w:uiPriority w:val="1"/>
    <w:rsid w:val="00CA695C"/>
    <w:rPr>
      <w:b/>
      <w:i/>
      <w:u w:val="none"/>
    </w:rPr>
  </w:style>
  <w:style w:type="character" w:customStyle="1" w:styleId="Italic">
    <w:name w:val="Italic"/>
    <w:uiPriority w:val="1"/>
    <w:rsid w:val="00CA695C"/>
    <w:rPr>
      <w:i/>
    </w:rPr>
  </w:style>
  <w:style w:type="paragraph" w:customStyle="1" w:styleId="Normal12a24b">
    <w:name w:val="Normal12a24b"/>
    <w:basedOn w:val="Normal"/>
    <w:rsid w:val="00CA695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CA695C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A695C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F3653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083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5/997/oj" TargetMode="External"/><Relationship Id="rId6" Type="http://schemas.openxmlformats.org/officeDocument/2006/relationships/hyperlink" Target="http://data.europa.eu/eli/C/2024/5744/oj" TargetMode="External"/><Relationship Id="rId11" Type="http://schemas.openxmlformats.org/officeDocument/2006/relationships/hyperlink" Target="http://data.europa.eu/eli/dir/2000/60/oj" TargetMode="External"/><Relationship Id="rId5" Type="http://schemas.openxmlformats.org/officeDocument/2006/relationships/hyperlink" Target="http://data.europa.eu/eli/dec/2022/2353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dec/2021/1923/oj" TargetMode="External"/><Relationship Id="rId9" Type="http://schemas.openxmlformats.org/officeDocument/2006/relationships/hyperlink" Target="http://data.europa.eu/eli/dir/1992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7207</Words>
  <Characters>45140</Characters>
  <Application>Microsoft Office Word</Application>
  <DocSecurity>0</DocSecurity>
  <Lines>376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SEMEDO Teresa</cp:lastModifiedBy>
  <cp:revision>3</cp:revision>
  <cp:lastPrinted>2004-11-19T15:42:00Z</cp:lastPrinted>
  <dcterms:created xsi:type="dcterms:W3CDTF">2025-08-11T07:22:00Z</dcterms:created>
  <dcterms:modified xsi:type="dcterms:W3CDTF">2026-02-17T08:26:00Z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A10-0108/2025</vt:lpwstr>
  </property>
  <property fmtid="{D5CDD505-2E9C-101B-9397-08002B2CF9AE}" pid="4" name="&lt;Type&gt;">
    <vt:lpwstr>RR</vt:lpwstr>
  </property>
</Properties>
</file>