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6275" w14:paraId="02C099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5428E9" w14:textId="77777777" w:rsidR="00751A4A" w:rsidRPr="00C46275" w:rsidRDefault="008914CA" w:rsidP="0010095E">
            <w:pPr>
              <w:pStyle w:val="EPName"/>
            </w:pPr>
            <w:r w:rsidRPr="00C46275">
              <w:t>Parlamento Europeu</w:t>
            </w:r>
          </w:p>
          <w:p w14:paraId="4EB224B2" w14:textId="77777777" w:rsidR="00751A4A" w:rsidRPr="00C462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6275">
              <w:t>2024</w:t>
            </w:r>
            <w:r w:rsidR="00817416" w:rsidRPr="00C46275">
              <w:t>-202</w:t>
            </w:r>
            <w:r w:rsidRPr="00C46275">
              <w:t>9</w:t>
            </w:r>
          </w:p>
        </w:tc>
        <w:tc>
          <w:tcPr>
            <w:tcW w:w="2268" w:type="dxa"/>
            <w:shd w:val="clear" w:color="auto" w:fill="auto"/>
          </w:tcPr>
          <w:p w14:paraId="2336A765" w14:textId="77777777" w:rsidR="00751A4A" w:rsidRPr="00C46275" w:rsidRDefault="00187494" w:rsidP="0010095E">
            <w:pPr>
              <w:pStyle w:val="EPLogo"/>
            </w:pPr>
            <w:r w:rsidRPr="00C46275">
              <w:rPr>
                <w:noProof/>
                <w:lang w:val="en-GB"/>
              </w:rPr>
              <w:drawing>
                <wp:inline distT="0" distB="0" distL="0" distR="0" wp14:anchorId="44FD9A52" wp14:editId="5016120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C5B6A7" w14:textId="77777777" w:rsidR="00D058B8" w:rsidRPr="00C46275" w:rsidRDefault="00D058B8" w:rsidP="004C5D52">
      <w:pPr>
        <w:pStyle w:val="LineTop"/>
      </w:pPr>
    </w:p>
    <w:p w14:paraId="08FCE76F" w14:textId="77777777" w:rsidR="00680577" w:rsidRPr="00C46275" w:rsidRDefault="008914CA" w:rsidP="00680577">
      <w:pPr>
        <w:pStyle w:val="EPBodyTA1"/>
      </w:pPr>
      <w:r w:rsidRPr="00C46275">
        <w:t>TEXTOS APROVADOS</w:t>
      </w:r>
    </w:p>
    <w:p w14:paraId="694751BB" w14:textId="77777777" w:rsidR="00D058B8" w:rsidRPr="00C46275" w:rsidRDefault="00D058B8" w:rsidP="00D058B8">
      <w:pPr>
        <w:pStyle w:val="LineBottom"/>
      </w:pPr>
    </w:p>
    <w:p w14:paraId="70176CEA" w14:textId="06F19F59" w:rsidR="008914CA" w:rsidRPr="00C46275" w:rsidRDefault="008914CA" w:rsidP="008914CA">
      <w:pPr>
        <w:pStyle w:val="ATHeading1"/>
      </w:pPr>
      <w:bookmarkStart w:id="0" w:name="TANumber"/>
      <w:r w:rsidRPr="00C46275">
        <w:t>P10_TA(2025)0</w:t>
      </w:r>
      <w:bookmarkEnd w:id="0"/>
      <w:r w:rsidR="00D562F6">
        <w:t>157</w:t>
      </w:r>
      <w:bookmarkStart w:id="1" w:name="_GoBack"/>
      <w:bookmarkEnd w:id="1"/>
    </w:p>
    <w:p w14:paraId="4DBA421F" w14:textId="77777777" w:rsidR="008914CA" w:rsidRPr="00C46275" w:rsidRDefault="008914CA" w:rsidP="008914CA">
      <w:pPr>
        <w:pStyle w:val="ATHeading2"/>
      </w:pPr>
      <w:bookmarkStart w:id="2" w:name="title"/>
      <w:r w:rsidRPr="00C46275">
        <w:t>Relatórios de 2023 e 2024 relativos à Macedónia do Norte</w:t>
      </w:r>
      <w:bookmarkEnd w:id="2"/>
    </w:p>
    <w:p w14:paraId="7D877580" w14:textId="77777777" w:rsidR="008914CA" w:rsidRPr="00C46275" w:rsidRDefault="008914CA" w:rsidP="008914CA">
      <w:pPr>
        <w:rPr>
          <w:i/>
          <w:vanish/>
        </w:rPr>
      </w:pPr>
      <w:r w:rsidRPr="00C46275">
        <w:rPr>
          <w:i/>
        </w:rPr>
        <w:fldChar w:fldCharType="begin"/>
      </w:r>
      <w:r w:rsidRPr="00C46275">
        <w:rPr>
          <w:i/>
        </w:rPr>
        <w:instrText xml:space="preserve"> TC"(</w:instrText>
      </w:r>
      <w:bookmarkStart w:id="3" w:name="DocNumber"/>
      <w:r w:rsidRPr="00C46275">
        <w:rPr>
          <w:i/>
        </w:rPr>
        <w:instrText>A10-0118/2025</w:instrText>
      </w:r>
      <w:bookmarkEnd w:id="3"/>
      <w:r w:rsidRPr="00C46275">
        <w:rPr>
          <w:i/>
        </w:rPr>
        <w:instrText xml:space="preserve"> - Relator: Thomas Waitz)"\l3 \n&gt; \* MERGEFORMAT </w:instrText>
      </w:r>
      <w:r w:rsidRPr="00C46275">
        <w:rPr>
          <w:i/>
        </w:rPr>
        <w:fldChar w:fldCharType="end"/>
      </w:r>
    </w:p>
    <w:p w14:paraId="50B3B253" w14:textId="77777777" w:rsidR="008914CA" w:rsidRPr="00C46275" w:rsidRDefault="008914CA" w:rsidP="008914CA">
      <w:pPr>
        <w:rPr>
          <w:vanish/>
        </w:rPr>
      </w:pPr>
      <w:bookmarkStart w:id="4" w:name="Commission"/>
      <w:r w:rsidRPr="00C46275">
        <w:rPr>
          <w:vanish/>
        </w:rPr>
        <w:t>Comissão dos Assuntos Externos</w:t>
      </w:r>
      <w:bookmarkEnd w:id="4"/>
    </w:p>
    <w:p w14:paraId="18CCF9B0" w14:textId="77777777" w:rsidR="008914CA" w:rsidRPr="00C46275" w:rsidRDefault="008914CA" w:rsidP="008914CA">
      <w:pPr>
        <w:rPr>
          <w:vanish/>
        </w:rPr>
      </w:pPr>
      <w:bookmarkStart w:id="5" w:name="PE"/>
      <w:r w:rsidRPr="00C46275">
        <w:rPr>
          <w:vanish/>
        </w:rPr>
        <w:t>PE769.915</w:t>
      </w:r>
      <w:bookmarkEnd w:id="5"/>
    </w:p>
    <w:p w14:paraId="0A939F1F" w14:textId="3A5580F4" w:rsidR="008914CA" w:rsidRPr="00C46275" w:rsidRDefault="008914CA" w:rsidP="008914CA">
      <w:pPr>
        <w:pStyle w:val="ATHeading3"/>
      </w:pPr>
      <w:bookmarkStart w:id="6" w:name="Sujet"/>
      <w:r w:rsidRPr="00C46275">
        <w:t xml:space="preserve">Resolução do Parlamento Europeu, de </w:t>
      </w:r>
      <w:r w:rsidR="00CA46AF" w:rsidRPr="00C46275">
        <w:t xml:space="preserve">9 </w:t>
      </w:r>
      <w:r w:rsidRPr="00C46275">
        <w:t xml:space="preserve">de </w:t>
      </w:r>
      <w:r w:rsidR="00CA46AF" w:rsidRPr="00C46275">
        <w:t xml:space="preserve">julho </w:t>
      </w:r>
      <w:r w:rsidRPr="00C46275">
        <w:t>de 2025,</w:t>
      </w:r>
      <w:r w:rsidR="00CA46AF" w:rsidRPr="00C46275">
        <w:t xml:space="preserve"> sobre os relatórios de 2023 e </w:t>
      </w:r>
      <w:r w:rsidRPr="00C46275">
        <w:t>2024 da Comissão relativos à Macedónia do Norte</w:t>
      </w:r>
      <w:bookmarkEnd w:id="6"/>
      <w:r w:rsidRPr="00C46275">
        <w:t xml:space="preserve"> </w:t>
      </w:r>
      <w:bookmarkStart w:id="7" w:name="References"/>
      <w:r w:rsidRPr="00C46275">
        <w:t>(2025/2021(INI))</w:t>
      </w:r>
      <w:bookmarkEnd w:id="7"/>
    </w:p>
    <w:p w14:paraId="5C4C14FE" w14:textId="77777777" w:rsidR="00106994" w:rsidRPr="00C46275" w:rsidRDefault="00106994" w:rsidP="00106994">
      <w:pPr>
        <w:pStyle w:val="EPComma"/>
      </w:pPr>
      <w:r w:rsidRPr="00C46275">
        <w:rPr>
          <w:rStyle w:val="Italic"/>
        </w:rPr>
        <w:t>O Parlamento Europeu</w:t>
      </w:r>
      <w:r w:rsidRPr="00C46275">
        <w:t>,</w:t>
      </w:r>
    </w:p>
    <w:p w14:paraId="6DCE3EF8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o Acordo de Estabilização e de Associação entre as Comunidades Europeias e os seus Estados</w:t>
      </w:r>
      <w:r w:rsidRPr="00C46275">
        <w:noBreakHyphen/>
        <w:t>Membros, por um lado, e a República da Macedónia do Norte, por outro</w:t>
      </w:r>
      <w:r w:rsidRPr="00C46275">
        <w:rPr>
          <w:rStyle w:val="FootnoteReference"/>
        </w:rPr>
        <w:footnoteReference w:id="1"/>
      </w:r>
      <w:r w:rsidRPr="00C46275">
        <w:t>,</w:t>
      </w:r>
    </w:p>
    <w:p w14:paraId="1C52A31C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o pedido de adesão à União Europeia apresentado pela República da Macedónia do Norte em 22 de março de 2004,</w:t>
      </w:r>
    </w:p>
    <w:p w14:paraId="29483C1F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a Decisão do Conselho Europeu, de 16 de dezembro de 2005, de conceder à Macedónia do Norte o estatuto de país candidato à adesão à União Europeia,</w:t>
      </w:r>
    </w:p>
    <w:p w14:paraId="533727A9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as conclusões do Conselho Europeu de 19 e 20 de junho de 2003, incluindo o seu anexo, intitulado «A Agenda de Salónica para os Balcãs Ocidentais: A Caminho da Integração Europeia»,</w:t>
      </w:r>
    </w:p>
    <w:p w14:paraId="05F9534B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o Regulamento (UE) 2021/1529 do Parlamento Europeu e do Conselho, de 15 de setembro de 2021, que cria o Instrumento de Assistência de Pré</w:t>
      </w:r>
      <w:r w:rsidRPr="00C46275">
        <w:noBreakHyphen/>
        <w:t>Adesão (IPA III)</w:t>
      </w:r>
      <w:r w:rsidRPr="00C46275">
        <w:rPr>
          <w:rStyle w:val="FootnoteReference"/>
        </w:rPr>
        <w:footnoteReference w:id="2"/>
      </w:r>
      <w:r w:rsidRPr="00C46275">
        <w:t>,</w:t>
      </w:r>
    </w:p>
    <w:p w14:paraId="48FD1001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o Regulamento (UE) 2024/1449 do Parlamento Europeu e do Conselho, de 14 de maio de 2024, que cria o Mecanismo para as Reformas e o Crescimento nos Balcãs Ocidentais</w:t>
      </w:r>
      <w:r w:rsidRPr="00C46275">
        <w:rPr>
          <w:rStyle w:val="FootnoteReference"/>
        </w:rPr>
        <w:footnoteReference w:id="3"/>
      </w:r>
      <w:r w:rsidRPr="00C46275">
        <w:t>,</w:t>
      </w:r>
    </w:p>
    <w:p w14:paraId="2F5BD333" w14:textId="71088570" w:rsidR="00106994" w:rsidRPr="00C46275" w:rsidRDefault="00106994" w:rsidP="00106994">
      <w:pPr>
        <w:pStyle w:val="NormalHanging12a"/>
      </w:pPr>
      <w:r w:rsidRPr="00C46275">
        <w:lastRenderedPageBreak/>
        <w:t>–</w:t>
      </w:r>
      <w:r w:rsidRPr="00C46275">
        <w:tab/>
        <w:t xml:space="preserve">Tendo em conta a Comunicação da Comissão, de 5 de fevereiro de 2020, intitulada «Reforçar o processo de adesão </w:t>
      </w:r>
      <w:r w:rsidR="00CA46AF" w:rsidRPr="00C46275">
        <w:t xml:space="preserve">– </w:t>
      </w:r>
      <w:r w:rsidRPr="00C46275">
        <w:t>Uma perspetiva credível de adesão à UE para os Balcãs Ocidentais» (COM(2020)0057),</w:t>
      </w:r>
    </w:p>
    <w:p w14:paraId="70C22763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a Comunicação da Comissão, de 8 de novembro de 2023, intitulada «Comunicação de 2023 sobre a política de alargamento da UE» (COM(2023)0690), acompanhada do documento de trabalho dos serviços da Comissão intitulado «Relatório de 2023 relativo à Macedónia do Norte» (SWD(2023)0693),</w:t>
      </w:r>
    </w:p>
    <w:p w14:paraId="636DF554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a Comunicação da Comissão, de 8 de novembro de 2023, intitulada «Novo plano de crescimento para os Balcãs Ocidentais» (COM(2023)0691),</w:t>
      </w:r>
    </w:p>
    <w:p w14:paraId="0C6974CE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a Comunicação da Comissão, de 20 de março de 2024, sobre reformas e revisões das políticas antes do alargamento (COM(2024)0146),</w:t>
      </w:r>
    </w:p>
    <w:p w14:paraId="44B2BBC8" w14:textId="6EF41C49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 xml:space="preserve">Tendo em conta a Comunicação da Comissão, de 24 de julho de 2024, intitulada «Relatório de 2024 sobre o Estado de direito» (COM(2024)0800), acompanhada do documento de trabalho dos serviços da Comissão intitulado «Relatório de 2024 sobre o Estado de direito </w:t>
      </w:r>
      <w:r w:rsidR="00CA46AF" w:rsidRPr="00C46275">
        <w:t xml:space="preserve">– </w:t>
      </w:r>
      <w:r w:rsidRPr="00C46275">
        <w:t>Capítulo relativo à Macedónia do Norte» (SWD(2024)0830),</w:t>
      </w:r>
    </w:p>
    <w:p w14:paraId="17DAC34C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a Comunicação da Comissão, de 30 de outubro de 2024, intitulada «Comunicação de 2024 sobre a política de alargamento da UE» (COM(2024)0690), acompanhada do documento de trabalho dos serviços da Comissão intitulado «Relatório de 2024 relativo à Macedónia do Norte» (SWD(2024)0693),</w:t>
      </w:r>
    </w:p>
    <w:p w14:paraId="3E82F3B5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o programa de reformas da Macedónia do Norte, aprovado pela Comissão, em 23 de outubro de 2024, ao abrigo do Mecanismo para as Reformas e o Crescimento,</w:t>
      </w:r>
    </w:p>
    <w:p w14:paraId="40CC29F7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as declarações das Cimeiras UE</w:t>
      </w:r>
      <w:r w:rsidRPr="00C46275">
        <w:noBreakHyphen/>
        <w:t>Balcãs Ocidentais, de 13 de dezembro de 2023 e de 18 de dezembro de 2024, em Bruxelas, bem como as declarações das Cimeiras UE</w:t>
      </w:r>
      <w:r w:rsidRPr="00C46275">
        <w:noBreakHyphen/>
        <w:t>Balcãs Ocidentais realizadas em Sófia, Zagrebe e Brdo pri Kranju em 2018, 2020 e 2021, respetivamente, bem como a Declaração sobre o Mercado Comum Regional e a Declaração sobre a Agenda Verde para os Balcãs Ocidentais acordadas em 10 de novembro de 2020 na Cimeira de Sófia no âmbito do Processo de Berlim,</w:t>
      </w:r>
    </w:p>
    <w:p w14:paraId="7372BFF2" w14:textId="25EE0D70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 xml:space="preserve">Tendo em conta as conclusões do Conselho, de 18 de julho de 2022, sobre o Alargamento </w:t>
      </w:r>
      <w:r w:rsidR="00256526" w:rsidRPr="00C46275">
        <w:t xml:space="preserve">– </w:t>
      </w:r>
      <w:r w:rsidRPr="00C46275">
        <w:t>Macedónia do Norte e Albânia e as conclusões do Conselho, de 17 de dezembro de 2024, sobre o alargamento,</w:t>
      </w:r>
    </w:p>
    <w:p w14:paraId="143A913E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o relatório final da missão de observação eleitoral do Gabinete das Instituições Democráticas e dos Direitos Humanos (ODIHR) da Organização para a Segurança e a Cooperação na Europa (OSCE), de 23 de setembro de 2024, sobre as eleições presidenciais de 24 de abril de 2024 e as eleiçõ</w:t>
      </w:r>
      <w:r w:rsidR="00CA46AF" w:rsidRPr="00C46275">
        <w:t>es legislativas de 8 de maio de </w:t>
      </w:r>
      <w:r w:rsidRPr="00C46275">
        <w:t>2024 na Macedónia do Norte,</w:t>
      </w:r>
    </w:p>
    <w:p w14:paraId="25E2A169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o Processo de Berlim, iniciado em 28 de agosto de 2014,</w:t>
      </w:r>
    </w:p>
    <w:p w14:paraId="0257013B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 xml:space="preserve">Tendo em conta o Tratado de Amizade, Boa Vizinhança e Cooperação entre a Bulgária e a Macedónia do Norte, assinado em 1 de agosto de </w:t>
      </w:r>
      <w:r w:rsidR="00CA46AF" w:rsidRPr="00C46275">
        <w:t>2017 e ratificado em janeiro de </w:t>
      </w:r>
      <w:r w:rsidRPr="00C46275">
        <w:t>2018,</w:t>
      </w:r>
    </w:p>
    <w:p w14:paraId="5ED6DDDE" w14:textId="77777777" w:rsidR="00106994" w:rsidRPr="00C46275" w:rsidRDefault="00106994" w:rsidP="00106994">
      <w:pPr>
        <w:pStyle w:val="NormalHanging12a"/>
      </w:pPr>
      <w:r w:rsidRPr="00C46275">
        <w:lastRenderedPageBreak/>
        <w:t>–</w:t>
      </w:r>
      <w:r w:rsidRPr="00C46275">
        <w:tab/>
        <w:t>Tendo em conta o Acordo Final sobre a resolução de diferendos descrito nas resoluções 817 (1993) e 845 (1993) do Conselho de Segurança das Nações Unidas, a resolução do Acordo Provisório de 1995 e a criação de uma parceria estratégica entre a Grécia e a Macedónia do Norte, também designado «Acordo de Prespa», acordado em 17 de junho de 2018,</w:t>
      </w:r>
    </w:p>
    <w:p w14:paraId="740A78A5" w14:textId="13EB2D4E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o documento de trabalho conjunto dos serviços da Comissão intitulado «Objetivos e indicadores para enquadrar a execução do Terceiro Plano de Ação em matéria de Igualdade de Género (2021</w:t>
      </w:r>
      <w:r w:rsidRPr="00C46275">
        <w:noBreakHyphen/>
        <w:t xml:space="preserve">25)» (SWD(2020)0284) que acompanha a comunicação conjunta da Comissão e do Alto Representante da União para os Negócios Estrangeiros e a Política de Segurança, de 25 de novembro de 2020, intitulada «Terceiro Plano de Ação da UE em matéria de Igualdade de Género (GAP) </w:t>
      </w:r>
      <w:r w:rsidR="00CA46AF" w:rsidRPr="00C46275">
        <w:t xml:space="preserve">– </w:t>
      </w:r>
      <w:r w:rsidRPr="00C46275">
        <w:t>Uma Agenda Ambiciosa para a Igualdade de Género e o Empoderamento das Mulheres na Ação Externa da UE» (JOIN(2020)0017), bem como o plano de execução a nível nacional para a Macedónia do Norte,</w:t>
      </w:r>
    </w:p>
    <w:p w14:paraId="50C35178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o relatório da Comissão Europeia contra o Racismo e a Intolerância (CERI) de 2023 sobre a Macedónia do Norte, adotado em 29 de junho de 2023 e publicado em 20 de setembro de 2023,</w:t>
      </w:r>
    </w:p>
    <w:p w14:paraId="7019486D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a declaração e as recomendações conjuntas adotadas na 23.ª reunião da Comissão Parlamentar Mista UE</w:t>
      </w:r>
      <w:r w:rsidRPr="00C46275">
        <w:noBreakHyphen/>
        <w:t>Macedónia do Norte, realizada em 27 e 28 de fevereiro de 2025, em Escópia,</w:t>
      </w:r>
    </w:p>
    <w:p w14:paraId="14FC63A7" w14:textId="77777777" w:rsidR="00106994" w:rsidRPr="00C46275" w:rsidRDefault="00106994" w:rsidP="00106994">
      <w:pPr>
        <w:pStyle w:val="NormalHanging12a"/>
        <w:rPr>
          <w:bCs/>
          <w:iCs/>
        </w:rPr>
      </w:pPr>
      <w:r w:rsidRPr="00C46275">
        <w:t>–</w:t>
      </w:r>
      <w:r w:rsidRPr="00C46275">
        <w:tab/>
        <w:t>Tendo em conta as suas anteriores resoluções sobre a Macedónia do Norte, em especial a sua Resolução, de 24 de outubro de 2019, sobre a abertura das negociações de adesão com a Macedónia do Norte e a Albânia</w:t>
      </w:r>
      <w:r w:rsidRPr="00C46275">
        <w:rPr>
          <w:rStyle w:val="FootnoteReference"/>
          <w:bCs/>
          <w:iCs/>
        </w:rPr>
        <w:footnoteReference w:id="4"/>
      </w:r>
      <w:r w:rsidRPr="00C46275">
        <w:t>,</w:t>
      </w:r>
    </w:p>
    <w:p w14:paraId="3187C06E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o artigo 55.º do seu Regimento,</w:t>
      </w:r>
    </w:p>
    <w:p w14:paraId="3FEE0FBB" w14:textId="77777777" w:rsidR="00106994" w:rsidRPr="00C46275" w:rsidRDefault="00106994" w:rsidP="00106994">
      <w:pPr>
        <w:pStyle w:val="NormalHanging12a"/>
      </w:pPr>
      <w:r w:rsidRPr="00C46275">
        <w:t>–</w:t>
      </w:r>
      <w:r w:rsidRPr="00C46275">
        <w:tab/>
        <w:t>Tendo em conta o relatório da Comissão dos Assuntos Externos (A10</w:t>
      </w:r>
      <w:r w:rsidRPr="00C46275">
        <w:noBreakHyphen/>
        <w:t>0118/2025),</w:t>
      </w:r>
    </w:p>
    <w:p w14:paraId="2ADE559F" w14:textId="77777777" w:rsidR="00106994" w:rsidRPr="00C46275" w:rsidRDefault="00106994" w:rsidP="00106994">
      <w:pPr>
        <w:pStyle w:val="NormalHanging12a"/>
      </w:pPr>
      <w:r w:rsidRPr="00C46275">
        <w:t>A.</w:t>
      </w:r>
      <w:r w:rsidRPr="00C46275">
        <w:tab/>
        <w:t>Considerando que a Macedónia do Norte tem estatuto de país candidato à adesão à UE desde 2005 e que, em dezembro de 2023, concluiu com êxito o exame analítico do acervo;</w:t>
      </w:r>
    </w:p>
    <w:p w14:paraId="2E8782B0" w14:textId="77777777" w:rsidR="00106994" w:rsidRPr="00C46275" w:rsidRDefault="00106994" w:rsidP="0010699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46275">
        <w:t>B.</w:t>
      </w:r>
      <w:r w:rsidRPr="00C46275">
        <w:tab/>
        <w:t>Considerando que as aspirações dos cidadãos da Macedónia do Norte a se tornarem parte da UE têm estado na origem de progressos em matéria de democracia e de reformas socioeconómicas, ao passo que, por diversos motivos, o processo de adesão à UE continua lamentavelmente a sofrer atrasos;</w:t>
      </w:r>
    </w:p>
    <w:p w14:paraId="1FAD702F" w14:textId="77777777" w:rsidR="00106994" w:rsidRPr="00C46275" w:rsidRDefault="00106994" w:rsidP="00106994">
      <w:pPr>
        <w:pStyle w:val="NormalHanging12a"/>
        <w:rPr>
          <w:bCs/>
          <w:iCs/>
        </w:rPr>
      </w:pPr>
      <w:r w:rsidRPr="00C46275">
        <w:t>C.</w:t>
      </w:r>
      <w:r w:rsidRPr="00C46275">
        <w:tab/>
        <w:t>Considerando que a UE mobilizou cerca de 210 milhões de EUR em empréstimos de assistência macrofinanceira desde 2020, com o objetivo de estabilizar a economia macedónia, apoiar a sua recuperação da pandemia de COVID</w:t>
      </w:r>
      <w:r w:rsidRPr="00C46275">
        <w:noBreakHyphen/>
        <w:t>19 e acelerar os seus progressos em matéria de reformas;</w:t>
      </w:r>
    </w:p>
    <w:p w14:paraId="5BB5712C" w14:textId="6C08E1A9" w:rsidR="00106994" w:rsidRPr="00C46275" w:rsidRDefault="00106994" w:rsidP="00106994">
      <w:pPr>
        <w:pStyle w:val="NormalHanging12a"/>
        <w:rPr>
          <w:bCs/>
          <w:iCs/>
        </w:rPr>
      </w:pPr>
      <w:r w:rsidRPr="00C46275">
        <w:t>D.</w:t>
      </w:r>
      <w:r w:rsidRPr="00C46275">
        <w:tab/>
        <w:t>Considerando que a Macedónia do Norte é um parceiro que, na grande maioria dos casos, está alinhado com a política externa e de segurança comum da UE e que tem desempenhado um papel construtivo na região</w:t>
      </w:r>
      <w:r w:rsidR="00D84EA6" w:rsidRPr="00C46275">
        <w:t>; considerando que</w:t>
      </w:r>
      <w:r w:rsidRPr="00C46275">
        <w:t xml:space="preserve"> a recente abstenção da Macedónia do Norte na votação da Resolução ES</w:t>
      </w:r>
      <w:r w:rsidRPr="00C46275">
        <w:noBreakHyphen/>
        <w:t xml:space="preserve">11/7 da Assembleia Geral das Nações </w:t>
      </w:r>
      <w:r w:rsidRPr="00C46275">
        <w:lastRenderedPageBreak/>
        <w:t>Unidas, de 24 de fevereiro de 2025, sobre a Ucrânia e o seu copatrocínio de uma resolução alternativa apresentada pelos Estados Unidos indicam uma mudança inesperada e lamentável do seu posicionamento em matéria de política externa;</w:t>
      </w:r>
    </w:p>
    <w:p w14:paraId="5AC3845E" w14:textId="77777777" w:rsidR="00106994" w:rsidRPr="00C46275" w:rsidRDefault="00106994" w:rsidP="00106994">
      <w:pPr>
        <w:pStyle w:val="NormalHanging12a"/>
      </w:pPr>
      <w:r w:rsidRPr="00C46275">
        <w:t>E.</w:t>
      </w:r>
      <w:r w:rsidRPr="00C46275">
        <w:tab/>
        <w:t>Considerando que a Macedónia do Norte participa em operações da UE de gestão militar de crises, nomeadamente a EUFOR Althea na Bósnia</w:t>
      </w:r>
      <w:r w:rsidRPr="00C46275">
        <w:noBreakHyphen/>
        <w:t>Herzegovina;</w:t>
      </w:r>
    </w:p>
    <w:p w14:paraId="19B9ECC2" w14:textId="77777777" w:rsidR="00106994" w:rsidRPr="00C46275" w:rsidRDefault="00106994" w:rsidP="00106994">
      <w:pPr>
        <w:pStyle w:val="NormalHanging12a"/>
      </w:pPr>
      <w:r w:rsidRPr="00C46275">
        <w:t>F.</w:t>
      </w:r>
      <w:r w:rsidRPr="00C46275">
        <w:tab/>
        <w:t>Considerando que o Conselho adotou novas conclusões, em julho de 2022, as quais significam que se afigura necessário que a Macedónia do Norte adote as reformas constitucionais ainda pendentes, em conformidade com os seus compromissos, para que a fase de abertura das negociações de adesão fique concluída imediatamente;</w:t>
      </w:r>
    </w:p>
    <w:p w14:paraId="0CBC8374" w14:textId="77777777" w:rsidR="00106994" w:rsidRPr="00C46275" w:rsidRDefault="00106994" w:rsidP="00106994">
      <w:pPr>
        <w:pStyle w:val="NormalHanging12a"/>
      </w:pPr>
      <w:r w:rsidRPr="00C46275">
        <w:t>G.</w:t>
      </w:r>
      <w:r w:rsidRPr="00C46275">
        <w:tab/>
        <w:t>Considerando que as mudanças geopolíticas, a guerra na Ucrânia, a desinformação e a disseminação de informação incorreta têm um forte impacto em todos os países europeus, tanto a nível político como económico;</w:t>
      </w:r>
    </w:p>
    <w:p w14:paraId="370BBCBA" w14:textId="636449C8" w:rsidR="00106994" w:rsidRPr="00C46275" w:rsidRDefault="00106994" w:rsidP="00106994">
      <w:pPr>
        <w:pStyle w:val="NormalHanging12a"/>
      </w:pPr>
      <w:r w:rsidRPr="00C46275">
        <w:t>H.</w:t>
      </w:r>
      <w:r w:rsidRPr="00C46275">
        <w:tab/>
        <w:t>Considerando que a Macedónia do Norte continua a ser alvo de operações de influência estrangeira mal</w:t>
      </w:r>
      <w:r w:rsidRPr="00C46275">
        <w:noBreakHyphen/>
        <w:t>intencionada, designadamente esforços para fraturar o tecido social do país e utilizar o sentimento anti</w:t>
      </w:r>
      <w:r w:rsidRPr="00C46275">
        <w:noBreakHyphen/>
        <w:t>UE como arma, nomeadamente através de órgãos de imprensa sensacionalista e de comunicação social de língua sérvia, que funcionam como amplificadores regionais da propaganda do Kremlin e gozam de uma influência considerável</w:t>
      </w:r>
      <w:r w:rsidR="00D84EA6" w:rsidRPr="00C46275">
        <w:t>; considerando que</w:t>
      </w:r>
      <w:r w:rsidRPr="00C46275">
        <w:t xml:space="preserve"> a Macedónia do Norte expulsou 13 diplomatas russos entre 2018 e 2023 por atividades incompatíveis com o seu estatuto diplomático, que indiciavam uma presença de redes de influência dissimulada</w:t>
      </w:r>
      <w:r w:rsidR="00D84EA6" w:rsidRPr="00C46275">
        <w:t>; considerando que</w:t>
      </w:r>
      <w:r w:rsidRPr="00C46275">
        <w:t xml:space="preserve"> a China procurou alargar a sua influência através do controlo da informação, da diplomacia através de investimentos e de cláusulas coercivas nos acordos de empréstimos relativos a infraestruturas;</w:t>
      </w:r>
    </w:p>
    <w:p w14:paraId="5853FF44" w14:textId="77777777" w:rsidR="00106994" w:rsidRPr="00C46275" w:rsidRDefault="00106994" w:rsidP="00106994">
      <w:pPr>
        <w:pStyle w:val="NormalHanging12a"/>
      </w:pPr>
      <w:r w:rsidRPr="00C46275">
        <w:t>I.</w:t>
      </w:r>
      <w:r w:rsidRPr="00C46275">
        <w:tab/>
        <w:t>Considerando que as autoridades da Macedónia do Norte propuseram soluções para uma revisão constitucional que não cumpriam as condições previstas nas conclusões do Conselho de julho de 2022;</w:t>
      </w:r>
    </w:p>
    <w:p w14:paraId="2974A96C" w14:textId="77777777" w:rsidR="00106994" w:rsidRPr="00C46275" w:rsidRDefault="00106994" w:rsidP="00106994">
      <w:pPr>
        <w:pStyle w:val="NormalHanging12a"/>
      </w:pPr>
      <w:r w:rsidRPr="00C46275">
        <w:t>J.</w:t>
      </w:r>
      <w:r w:rsidRPr="00C46275">
        <w:tab/>
        <w:t>Considerando que se espera que qualquer país candidato respeite os valores democráticos, o Estado de direito e os direitos humanos e respeite o direito da União;</w:t>
      </w:r>
    </w:p>
    <w:p w14:paraId="7B946647" w14:textId="77777777" w:rsidR="00106994" w:rsidRPr="00C46275" w:rsidRDefault="00106994" w:rsidP="00106994">
      <w:pPr>
        <w:pStyle w:val="NormalHanging12a"/>
      </w:pPr>
      <w:r w:rsidRPr="00C46275">
        <w:t>K.</w:t>
      </w:r>
      <w:r w:rsidRPr="00C46275">
        <w:tab/>
        <w:t>Considerando que o Conselho não pôs inequivocamente de parte a adoção de novas condições para o início das negociações de adesão;</w:t>
      </w:r>
    </w:p>
    <w:p w14:paraId="2534FC51" w14:textId="77777777" w:rsidR="00106994" w:rsidRPr="00C46275" w:rsidRDefault="00106994" w:rsidP="00106994">
      <w:pPr>
        <w:pStyle w:val="NormalHanging12a"/>
      </w:pPr>
      <w:r w:rsidRPr="00C46275">
        <w:t>1.</w:t>
      </w:r>
      <w:r w:rsidRPr="00C46275">
        <w:tab/>
        <w:t>Reitera o seu pleno apoio ao compromisso permanente e reiterado da Macedónia do Norte de aderir à UE e às mudanças transformadoras necessárias para satisfazer os critérios de adesão; enaltece o empenho do país na integração europeia e incentiva a prossecução dos esforços para fazer avançar as reformas alinhadas com a UE, apesar dos desafios e das adversidades que puseram à prova a paciência e a confiança da sociedade macedónia;</w:t>
      </w:r>
    </w:p>
    <w:p w14:paraId="7CC0649F" w14:textId="63A6E4D4" w:rsidR="00106994" w:rsidRPr="00C46275" w:rsidRDefault="00106994" w:rsidP="00106994">
      <w:pPr>
        <w:pStyle w:val="NormalHanging12a"/>
      </w:pPr>
      <w:r w:rsidRPr="00C46275">
        <w:t>2.</w:t>
      </w:r>
      <w:r w:rsidRPr="00C46275">
        <w:tab/>
        <w:t>Sublinha que a adesão à UE continua a depender da vontade política de cumprir os critérios e honrar os compromissos assumidos, tanto na realização das reformas necessárias como na adoção das alterações constitucionais necessárias;</w:t>
      </w:r>
    </w:p>
    <w:p w14:paraId="7BE1269D" w14:textId="14A57807" w:rsidR="00106994" w:rsidRPr="00C46275" w:rsidRDefault="00106994" w:rsidP="00106994">
      <w:pPr>
        <w:pStyle w:val="NormalHanging12a"/>
      </w:pPr>
      <w:r w:rsidRPr="00C46275">
        <w:t>3.</w:t>
      </w:r>
      <w:r w:rsidRPr="00C46275">
        <w:tab/>
        <w:t xml:space="preserve">Recorda a necessidade de manter a dinâmica e a credibilidade do processo de integração na UE; observa que a Macedónia do Norte continua a demonstrar o seu empenho na integração na UE e no alinhamento com as políticas da UE; solicita o rápido avanço das </w:t>
      </w:r>
      <w:r w:rsidRPr="00C46275">
        <w:lastRenderedPageBreak/>
        <w:t>negociações de adesão, sem deixar de realçar a importância da aprovação das alterações constitucionais; insta o Conselho Europeu a demonstrar de forma pública e inequívoca que o Conselho tenciona tomar uma decisão positiva rápida e incondicionalmente para entrar na fase seguinte das negociações de adesão com a Macedónia do Norte, após o cumprimento das condições previstas nas suas conclusões de 18 de julho de 2022; incentiva todos os partidos políticos da Macedónia do Norte a encetarem um diálogo construtivo para chegarem ao consenso necessário relativamente às referidas alterações, que reforçariam o caráter multiétnico do país e acelerariam os seus progressos na via de adesão à UE; considera que o reforço das ligações entre as múltiplas etnias é essencial para melhorar a coesão social e assegurar uma governação mais eficaz; insta os Estados</w:t>
      </w:r>
      <w:r w:rsidRPr="00C46275">
        <w:noBreakHyphen/>
        <w:t>Membros, o Conselho e a Comissão a garantirem a previsibilidade e a credibilidade do processo de adesão, tendo igualmente em vista a manutenção do apoio popular à adesão nos países do alargamento;</w:t>
      </w:r>
    </w:p>
    <w:p w14:paraId="079342CF" w14:textId="77777777" w:rsidR="00106994" w:rsidRPr="00C46275" w:rsidRDefault="00106994" w:rsidP="00106994">
      <w:pPr>
        <w:pStyle w:val="NormalHanging12a"/>
      </w:pPr>
      <w:r w:rsidRPr="00C46275">
        <w:t>4.</w:t>
      </w:r>
      <w:r w:rsidRPr="00C46275">
        <w:tab/>
        <w:t>Saúda a conclusão bem</w:t>
      </w:r>
      <w:r w:rsidRPr="00C46275">
        <w:noBreakHyphen/>
        <w:t>sucedida do exame analítico do acervo relativo à Macedónia do Norte, no final de 2023; incentiva a Macedónia do Norte a adotar as alterações constitucionais que o país se comprometeu a realizar e a aplicar, conforme exigido pelo Conselho, para que o processo de negociação da adesão possa prosseguir;</w:t>
      </w:r>
    </w:p>
    <w:p w14:paraId="3776B6B9" w14:textId="77777777" w:rsidR="00106994" w:rsidRPr="00C46275" w:rsidRDefault="00106994" w:rsidP="00106994">
      <w:pPr>
        <w:pStyle w:val="NormalHanging12a"/>
      </w:pPr>
      <w:r w:rsidRPr="00C46275">
        <w:t>5.</w:t>
      </w:r>
      <w:r w:rsidRPr="00C46275">
        <w:tab/>
        <w:t>Enaltece o empenho do povo macedónio na integração na UE, bem como o apoio que continua a manifestar a este projeto volvidas duas décadas após o início do processo; insta a Comissão a envidar todos os esforços para ajudar as autoridades da Macedónia do Norte a cumprir as medidas necessárias antes de entrar na próxima fase de negociação, bem como ao longo do processo de negociação, a contribuir para satisfazer as expectativas dos cidadãos e do país e a explorar todas as medidas para uma integração gradual nas estruturas da UE, aumentando assim a confiança na UE e nos seus valores democráticos;</w:t>
      </w:r>
    </w:p>
    <w:p w14:paraId="604CA189" w14:textId="77777777" w:rsidR="00106994" w:rsidRPr="00C46275" w:rsidRDefault="00106994" w:rsidP="00106994">
      <w:pPr>
        <w:pStyle w:val="NormalHanging12a"/>
      </w:pPr>
      <w:r w:rsidRPr="00C46275">
        <w:t>6.</w:t>
      </w:r>
      <w:r w:rsidRPr="00C46275">
        <w:tab/>
        <w:t>Recorda que o processo de adesão não deve ser utilizado para resolver litígios bilaterais, obstruir um progresso baseado no mérito na via europeia ou sobrepor</w:t>
      </w:r>
      <w:r w:rsidRPr="00C46275">
        <w:noBreakHyphen/>
        <w:t>se aos interesses estratégicos mais amplos da União, devendo antes os referidos litígios ser abordados no âmbito de um diálogo aberto e de uma cooperação genuína; sublinha que as negociações de adesão devem seguir uma via clara, orientada por critérios objetivos e exclusivamente assente no mérito e no cumprimento dos critérios de adesão (critérios de Copenhaga), que exigem reformas profundas em domínios fundamentais, bem como a existência de instituições estáveis que garantam a democracia, o Estado de direito, os direitos humanos e o respeito e a proteção das minorias;</w:t>
      </w:r>
    </w:p>
    <w:p w14:paraId="76DDE5CC" w14:textId="51362FDE" w:rsidR="00106994" w:rsidRPr="00C46275" w:rsidRDefault="00106994" w:rsidP="00106994">
      <w:pPr>
        <w:pStyle w:val="NormalHanging12a"/>
      </w:pPr>
      <w:r w:rsidRPr="00C46275">
        <w:t>7.</w:t>
      </w:r>
      <w:r w:rsidRPr="00C46275">
        <w:tab/>
      </w:r>
      <w:r w:rsidR="0060061E" w:rsidRPr="00C46275">
        <w:t xml:space="preserve">Reafirma </w:t>
      </w:r>
      <w:r w:rsidRPr="00C46275">
        <w:t>que o respeito da identidade linguística, cultural e nacional é um aspeto fundamental do processo de adesão à UE e uma pedra angular das sociedades democráticas, que será reiterado com a entrada na família das nações europeias;</w:t>
      </w:r>
    </w:p>
    <w:p w14:paraId="39C5CBEE" w14:textId="77777777" w:rsidR="00106994" w:rsidRPr="00C46275" w:rsidRDefault="00106994" w:rsidP="00106994">
      <w:pPr>
        <w:pStyle w:val="NormalHanging12a"/>
      </w:pPr>
      <w:r w:rsidRPr="00C46275">
        <w:t>8.</w:t>
      </w:r>
      <w:r w:rsidRPr="00C46275">
        <w:tab/>
        <w:t>Reitera os seus apelos ao reforço da capacidade de atuação da UE através da reforma do seu processo de tomada de decisões, nomeadamente mediante a introdução da votação por maioria qualificada nas etapas intermédias do processo de adesão, em particular o início das negociações e a abertura e o encerramento de áreas e capítulos específicos de negociação;</w:t>
      </w:r>
    </w:p>
    <w:p w14:paraId="742D3702" w14:textId="77777777" w:rsidR="00106994" w:rsidRPr="00C46275" w:rsidRDefault="00106994" w:rsidP="00106994">
      <w:pPr>
        <w:pStyle w:val="NormalHanging12a"/>
      </w:pPr>
      <w:r w:rsidRPr="00C46275">
        <w:t>9.</w:t>
      </w:r>
      <w:r w:rsidRPr="00C46275">
        <w:tab/>
        <w:t xml:space="preserve">Saúda o novo Mecanismo para as Reformas e o Crescimento nos Balcãs Ocidentais, que disponibilizará à Macedónia do Norte um montante de 750 milhões de EUR sob a forma de subvenções e empréstimos, quando este país preencher as condições estabelecidas no </w:t>
      </w:r>
      <w:r w:rsidRPr="00C46275">
        <w:lastRenderedPageBreak/>
        <w:t>seu programa de reformas; neste contexto, acolhe favoravelmente o programa de reformas excelente e ambicioso, que estabelece metas e objetivos claros e transparentes, e insta as autoridades a centrarem</w:t>
      </w:r>
      <w:r w:rsidRPr="00C46275">
        <w:noBreakHyphen/>
        <w:t>se na execução rigorosa do mesmo; destaca a necessidade de centrar a atenção no incentivo às reformas e no reforço da estabilidade económica, bem como na administração pública, na governação, no Estado de direito e no combate à corrupção, na descarbonização e na transição ecológica, na digitalização, na conectividade e no desenvolvimento do capital humano, abordando simultaneamente os desafios sociais;</w:t>
      </w:r>
    </w:p>
    <w:p w14:paraId="05A447DC" w14:textId="77777777" w:rsidR="00106994" w:rsidRPr="00C46275" w:rsidRDefault="00106994" w:rsidP="00106994">
      <w:pPr>
        <w:pStyle w:val="NormalHanging12a"/>
      </w:pPr>
      <w:r w:rsidRPr="00C46275">
        <w:t>10.</w:t>
      </w:r>
      <w:r w:rsidRPr="00C46275">
        <w:tab/>
        <w:t>Regista os fundos que a Macedónia do Norte está a receber de diferentes Estados</w:t>
      </w:r>
      <w:r w:rsidRPr="00C46275">
        <w:noBreakHyphen/>
        <w:t>Membros e a boa cooperação entre si; adverte, contudo, para o reforço das alianças com regimes não liberais;</w:t>
      </w:r>
    </w:p>
    <w:p w14:paraId="0A65676A" w14:textId="77777777" w:rsidR="00106994" w:rsidRPr="00C46275" w:rsidRDefault="00106994" w:rsidP="00106994">
      <w:pPr>
        <w:pStyle w:val="NormalHanging12a"/>
      </w:pPr>
      <w:r w:rsidRPr="00C46275">
        <w:t>11.</w:t>
      </w:r>
      <w:r w:rsidRPr="00C46275">
        <w:tab/>
        <w:t>Felicita a Macedónia do Norte pelo seu empenho contínuo no processo de integração na UE e lamenta os atrasos no processo de adesão; regista com agrado a estabilidade para garantir as relações interétnicas e incentiva a que se continuem a envidar esforços nesse sentido, bem como a aplicação do Acordo</w:t>
      </w:r>
      <w:r w:rsidRPr="00C46275">
        <w:noBreakHyphen/>
        <w:t>Quadro de Ocrida;</w:t>
      </w:r>
    </w:p>
    <w:p w14:paraId="6F3D1297" w14:textId="77777777" w:rsidR="00106994" w:rsidRPr="00C46275" w:rsidRDefault="00106994" w:rsidP="00106994">
      <w:pPr>
        <w:pStyle w:val="NormalHanging12a"/>
      </w:pPr>
      <w:r w:rsidRPr="00C46275">
        <w:t>12.</w:t>
      </w:r>
      <w:r w:rsidRPr="00C46275">
        <w:tab/>
        <w:t>Incentiva a Macedónia do Norte a alcançar resultados concretos no cumprimento das expectativas da UE no âmbito do quadro de negociação e das conclusões do Conselho de julho de 2022, designadamente as alterações constitucionais pertinentes, em consonância com os compromissos assumidos pelo país;</w:t>
      </w:r>
    </w:p>
    <w:p w14:paraId="14FF16D5" w14:textId="77777777" w:rsidR="00106994" w:rsidRPr="00C46275" w:rsidRDefault="00106994" w:rsidP="00106994">
      <w:pPr>
        <w:pStyle w:val="NormalHanging12a"/>
      </w:pPr>
      <w:r w:rsidRPr="00C46275">
        <w:t>13.</w:t>
      </w:r>
      <w:r w:rsidRPr="00C46275">
        <w:tab/>
        <w:t>Insta a Macedónia do Norte a redobrar esforços no sentido de consolidar o Estado de direito e a independência judicial, designadamente nas nomeações judiciais e no funcionamento do Conselho da Magistratura, combater a corrupção, reformar a administração pública e lograr melhorias em matéria de transparência e concentração da propriedade dos meios de comunicação social; insta a uma aplicação mais vasta de medidas sistémicas que assegurem a transparência e a eficiência da governação;</w:t>
      </w:r>
    </w:p>
    <w:p w14:paraId="191B931E" w14:textId="26D73CF4" w:rsidR="00106994" w:rsidRPr="00C46275" w:rsidRDefault="00106994" w:rsidP="00106994">
      <w:pPr>
        <w:pStyle w:val="NormalHanging12a"/>
      </w:pPr>
      <w:r w:rsidRPr="00C46275">
        <w:t>14.</w:t>
      </w:r>
      <w:r w:rsidRPr="00C46275">
        <w:tab/>
        <w:t>Manifesta a sua profunda tristeza e solidariedade na sequência do trágico incêndio ocorrido num clube noturno em Kočani, que provocou a morte de mais de 50 jovens e ferimentos em mais de 150, e apresenta as suas condolências às vítimas e às suas famílias; enaltece o rápido acionamento do Mecanismo de Proteção Civil da União e a ajuda prestada pelos Estados</w:t>
      </w:r>
      <w:r w:rsidRPr="00C46275">
        <w:noBreakHyphen/>
        <w:t>Membros para salvar o máximo de vidas possível; louva os países vizinhos e da UE, em particular a Grécia e a Bulgária, pelo apoio imediato e solidariedade que demonstraram e pelo tratamento médico que prestaram às vítimas;</w:t>
      </w:r>
    </w:p>
    <w:p w14:paraId="51E7A00B" w14:textId="77777777" w:rsidR="00106994" w:rsidRPr="00C46275" w:rsidRDefault="00106994" w:rsidP="00106994">
      <w:pPr>
        <w:pStyle w:val="Normal12a24b"/>
      </w:pPr>
      <w:r w:rsidRPr="00C46275">
        <w:rPr>
          <w:rStyle w:val="BoldItalic"/>
        </w:rPr>
        <w:t>Funcionamento das instituições democráticas</w:t>
      </w:r>
    </w:p>
    <w:p w14:paraId="3DF39E0A" w14:textId="2A4A264C" w:rsidR="00106994" w:rsidRPr="00C46275" w:rsidRDefault="00106994" w:rsidP="00106994">
      <w:pPr>
        <w:pStyle w:val="NormalHanging12a"/>
      </w:pPr>
      <w:r w:rsidRPr="00C46275">
        <w:t>15.</w:t>
      </w:r>
      <w:r w:rsidRPr="00C46275">
        <w:tab/>
        <w:t>Observa que, embora as instituições democráticas da Macedónia do Norte funcionem de modo satisfatório, a polarização política continua a entravar seriamente a realização das reformas necessárias; insta os partidos políticos representados no Parlamento do país a trabalharem em conjunto para alcançar um acordo sobre as referidas reformas;</w:t>
      </w:r>
    </w:p>
    <w:p w14:paraId="4602A985" w14:textId="77777777" w:rsidR="00106994" w:rsidRPr="00C46275" w:rsidRDefault="00106994" w:rsidP="00106994">
      <w:pPr>
        <w:pStyle w:val="NormalHanging12a"/>
      </w:pPr>
      <w:r w:rsidRPr="00C46275">
        <w:t>16.</w:t>
      </w:r>
      <w:r w:rsidRPr="00C46275">
        <w:tab/>
        <w:t>Congratula</w:t>
      </w:r>
      <w:r w:rsidRPr="00C46275">
        <w:noBreakHyphen/>
        <w:t xml:space="preserve">se com a adoção, pela Assembleia da República da Macedónia do Norte (Sobranie), de um novo regulamento interno para o qual o Parlamento Europeu contribuiu no âmbito do Diálogo Jean Monnet; realça, no entanto, que a persistente polarização política continua a atrasar a realização de reformas e nomeações importantes; salienta que a colaboração interpartidária e um clima político mais </w:t>
      </w:r>
      <w:r w:rsidRPr="00C46275">
        <w:lastRenderedPageBreak/>
        <w:t>favorável continuam a ser vitais para acelerar a execução das reformas relacionadas com a UE e consolidar as instituições democráticas;</w:t>
      </w:r>
    </w:p>
    <w:p w14:paraId="6F2E1C85" w14:textId="77777777" w:rsidR="00106994" w:rsidRPr="00C46275" w:rsidRDefault="00106994" w:rsidP="00106994">
      <w:pPr>
        <w:pStyle w:val="NormalHanging12a"/>
      </w:pPr>
      <w:r w:rsidRPr="00C46275">
        <w:t>17.</w:t>
      </w:r>
      <w:r w:rsidRPr="00C46275">
        <w:tab/>
        <w:t>Observa com preocupação que cerca de metade de todas as leis adotadas pela Sobranie em 2023 foram aprovadas mediante procedimentos abreviados; insta a Sobranie a melhorar a sua programação legislativa, coordenação e qualidade através de procedimentos de consulta adequados e do controlo parlamentar, tendo particularmente em conta as conclusões do Diálogo Jean Monnet e a evitar procedimentos acelerados;</w:t>
      </w:r>
    </w:p>
    <w:p w14:paraId="570905EA" w14:textId="77777777" w:rsidR="00106994" w:rsidRPr="00C46275" w:rsidRDefault="00106994" w:rsidP="00106994">
      <w:pPr>
        <w:pStyle w:val="NormalHanging12a"/>
      </w:pPr>
      <w:r w:rsidRPr="00C46275">
        <w:t>18.</w:t>
      </w:r>
      <w:r w:rsidRPr="00C46275">
        <w:tab/>
        <w:t>Salienta que, apesar de as eleições legislativas e presidenciais de 2024 terem sido competitivas e democráticas e não obstante as alterações ao código eleitoral já introduzidas, continua a verificar</w:t>
      </w:r>
      <w:r w:rsidRPr="00C46275">
        <w:noBreakHyphen/>
        <w:t>se a necessidade de uma reforma eleitoral abrangente; apela com veemência para que sejam aplicadas as recomendações pendentes formuladas pelo ODIHR da OSCE e pela Comissão de Veneza mediante uma revisão inclusiva do código eleitoral, frisando simultaneamente a importância de isolar futuros processos eleitorais de ingerências estrangeiras mal</w:t>
      </w:r>
      <w:r w:rsidRPr="00C46275">
        <w:noBreakHyphen/>
        <w:t>intencionadas e da manipulação da informação, nomeadamente através da adoção de normas sólidas em matéria de cibersegurança e transparência das campanhas em linha;</w:t>
      </w:r>
    </w:p>
    <w:p w14:paraId="1034B58E" w14:textId="77777777" w:rsidR="00106994" w:rsidRPr="00C46275" w:rsidRDefault="00106994" w:rsidP="00106994">
      <w:pPr>
        <w:pStyle w:val="NormalHanging12a"/>
      </w:pPr>
      <w:r w:rsidRPr="00C46275">
        <w:t>19.</w:t>
      </w:r>
      <w:r w:rsidRPr="00C46275">
        <w:tab/>
        <w:t>Solicita uma melhoria da regulamentação aplicável ao financiamento dos partidos políticos e das campanhas eleitorais, designadamente a tomada de medidas para aumentar a transparência relativa aos fundos e às despesas dos partidos políticos; solicita que se proceda a uma revisão das normas em matéria de publicidade estatal nos meios de comunicação social comerciais e na propaganda política paga; salienta a necessidade de mecanismos de supervisão eficazes para garantir a integridade do financiamento dos partidos e de garantir aos partidos políticos e aos candidatos independentes um acesso equitativo e adequado aos meios de comunicação social;</w:t>
      </w:r>
    </w:p>
    <w:p w14:paraId="5125D05E" w14:textId="77777777" w:rsidR="00106994" w:rsidRPr="00C46275" w:rsidRDefault="00106994" w:rsidP="00106994">
      <w:pPr>
        <w:pStyle w:val="NormalHanging12a"/>
      </w:pPr>
      <w:r w:rsidRPr="00C46275">
        <w:t>20.</w:t>
      </w:r>
      <w:r w:rsidRPr="00C46275">
        <w:tab/>
        <w:t>Solicita que a administração pública seja objeto de uma modernização contínua com base no mérito, dando resposta aos problemas sistémicos relacionados com a politização, reforçando a transparência dos processos de recrutamento e reformando a autonomia local, a fim de prestar melhores serviços sociais aos cidadãos e elaborar estratégias específicas de desenvolvimento local e regional; insta as autoridades a envidar maiores esforços e a adotar e aplicar a legislação necessária de modo a melhorar a confiança do público na administração e a promover um serviço público resiliente e capacitado, que possa responder eficazmente aos desafios contemporâneos e satisfazer as necessidades da comunidade; saúda a estratégia de administração pública para 2023</w:t>
      </w:r>
      <w:r w:rsidRPr="00C46275">
        <w:noBreakHyphen/>
        <w:t>2030 e o respetivo plano de ação para 2023</w:t>
      </w:r>
      <w:r w:rsidRPr="00C46275">
        <w:noBreakHyphen/>
        <w:t>2026, adotados em julho de 2023; reconhece que ambos abrangem todos os domínios de reforma pertinentes e estabelecem uma base de referência, metas e objetivos claros, identificando assim os desafios políticos cruciais; lamenta, no entanto, que a taxa de execução continue a ser limitada;</w:t>
      </w:r>
    </w:p>
    <w:p w14:paraId="32B78070" w14:textId="77777777" w:rsidR="00106994" w:rsidRPr="00C46275" w:rsidRDefault="00106994" w:rsidP="00106994">
      <w:pPr>
        <w:pStyle w:val="NormalHanging12a"/>
      </w:pPr>
      <w:r w:rsidRPr="00C46275">
        <w:t>21.</w:t>
      </w:r>
      <w:r w:rsidRPr="00C46275">
        <w:tab/>
        <w:t>Solicita a adoção de novas medidas para assegurar que as instituições públicas sejam chamadas a prestar contas de forma sistémica através da realização de consultas, significativas e públicas, das partes interessadas, nomeadamente no que respeita à execução do programa de reformas, e para fornecer informações sobre as consultas realizadas; saúda a lei relativa aos procedimentos administrativos gerais, que prevê uma simplificação, mas recomenda vivamente que a sua aplicação seja sistemática em toda a administração;</w:t>
      </w:r>
    </w:p>
    <w:p w14:paraId="44C71DCE" w14:textId="77777777" w:rsidR="00106994" w:rsidRPr="00C46275" w:rsidRDefault="00106994" w:rsidP="00106994">
      <w:pPr>
        <w:pStyle w:val="NormalHanging12a"/>
      </w:pPr>
      <w:r w:rsidRPr="00C46275">
        <w:lastRenderedPageBreak/>
        <w:t>22.</w:t>
      </w:r>
      <w:r w:rsidRPr="00C46275">
        <w:tab/>
        <w:t>Solicita às autoridades da Macedónia do Norte que se abstenham de proceder a despedimentos e nomeações opacos e politizados no âmbito do provimento de cargos em organismos e agências independentes e que assegurem o financiamento adequado das instituições e a aplicação coerente de decisões e recomendações; lamenta a constante falta de progressos no reforço dos poderes do Gabinete do Provedor de Justiça Europeu;</w:t>
      </w:r>
    </w:p>
    <w:p w14:paraId="25CF4EDD" w14:textId="77777777" w:rsidR="00106994" w:rsidRPr="00C46275" w:rsidRDefault="00106994" w:rsidP="00106994">
      <w:pPr>
        <w:pStyle w:val="Normal12a24b"/>
      </w:pPr>
      <w:r w:rsidRPr="00C46275">
        <w:rPr>
          <w:rStyle w:val="BoldItalic"/>
        </w:rPr>
        <w:t>Meios de comunicação social e sociedade civil</w:t>
      </w:r>
    </w:p>
    <w:p w14:paraId="1D1144C3" w14:textId="77777777" w:rsidR="00106994" w:rsidRPr="00C46275" w:rsidRDefault="00106994" w:rsidP="00106994">
      <w:pPr>
        <w:pStyle w:val="NormalHanging12a"/>
      </w:pPr>
      <w:r w:rsidRPr="00C46275">
        <w:t>23.</w:t>
      </w:r>
      <w:r w:rsidRPr="00C46275">
        <w:tab/>
        <w:t>Saúda os progressos constantes alcançados pela Macedónia do Norte na garantia da liberdade dos meios de comunicação social; recorda, contudo, a necessidade de continuar as reformas, para assegurar um panorama de comunicação social independente e resiliente, nomeadamente a reforma do quadro jurídico que rege os meios de comunicação social em linha e fora de linha, a fim de garantir que estejam em plena sintonia com o Regulamento Liberdade dos Meios de Comunicação Social</w:t>
      </w:r>
      <w:r w:rsidRPr="00C46275">
        <w:rPr>
          <w:vertAlign w:val="superscript"/>
        </w:rPr>
        <w:footnoteReference w:id="5"/>
      </w:r>
      <w:r w:rsidRPr="00C46275">
        <w:t>, dando resposta aos desafios persistentes quanto à transparência da propriedade dos meios de comunicação social, à divulgação nos meios de comunicação social digitais e à concentração dos meios de comunicação social; destaca a necessidade de uma reforma dos meios de comunicação social que dê prioridade a medidas anticoncentração, a fim de salvaguardar a integridade jornalística; frisa a necessidade urgente de combater a influência estrangeira mal</w:t>
      </w:r>
      <w:r w:rsidRPr="00C46275">
        <w:noBreakHyphen/>
        <w:t xml:space="preserve">intencionada no panorama da comunicação social, designadamente a desinformação propagada por intervenientes ligados à Rússia e à China; </w:t>
      </w:r>
    </w:p>
    <w:p w14:paraId="3A87A377" w14:textId="77777777" w:rsidR="00106994" w:rsidRPr="00C46275" w:rsidRDefault="00106994" w:rsidP="00106994">
      <w:pPr>
        <w:pStyle w:val="NormalHanging12a"/>
      </w:pPr>
      <w:r w:rsidRPr="00C46275">
        <w:t>24.</w:t>
      </w:r>
      <w:r w:rsidRPr="00C46275">
        <w:tab/>
        <w:t>Insta as autoridades a adotar um quadro jurídico que proteja eficazmente os jornalistas, os defensores dos direitos humanos, os ativistas ambientais e outras partes interessadas de ações judiciais estratégicas contra a participação pública (SLAPP) e a aplicar as disposições incluídas na Diretiva relativa a ações judiciais estratégicas contra a participação pública</w:t>
      </w:r>
      <w:r w:rsidRPr="00C46275">
        <w:rPr>
          <w:rStyle w:val="FootnoteReference"/>
        </w:rPr>
        <w:footnoteReference w:id="6"/>
      </w:r>
      <w:r w:rsidRPr="00C46275">
        <w:t>;</w:t>
      </w:r>
    </w:p>
    <w:p w14:paraId="0096CFAC" w14:textId="77777777" w:rsidR="00106994" w:rsidRPr="00C46275" w:rsidRDefault="00106994" w:rsidP="00106994">
      <w:pPr>
        <w:pStyle w:val="NormalHanging12a"/>
      </w:pPr>
      <w:r w:rsidRPr="00C46275">
        <w:t>25.</w:t>
      </w:r>
      <w:r w:rsidRPr="00C46275">
        <w:tab/>
        <w:t xml:space="preserve">Insta as autoridades a garantir uma total transparência e um acesso sem restrições dos cidadãos à informação; </w:t>
      </w:r>
    </w:p>
    <w:p w14:paraId="34A998E1" w14:textId="77777777" w:rsidR="00106994" w:rsidRPr="00C46275" w:rsidRDefault="00106994" w:rsidP="00106994">
      <w:pPr>
        <w:pStyle w:val="NormalHanging12a"/>
      </w:pPr>
      <w:r w:rsidRPr="00C46275">
        <w:t>26.</w:t>
      </w:r>
      <w:r w:rsidRPr="00C46275">
        <w:tab/>
        <w:t xml:space="preserve">Observa com preocupação a reintrodução da propaganda governamental nos meios de comunicação social comerciais na Macedónia do Norte; salienta o risco acrescido desta medida, que expõe o mercado dos meios de comunicação social a perturbações e influências políticas indevidas, pondo assim em risco a independência e o pluralismo dos meios de comunicação social; reitera os seus apelos no sentido da realização de uma reforma abrangente das normas que regem o financiamento do Estado e a propaganda dos partidos políticos nos meios de comunicação social, assinalando a falta de </w:t>
      </w:r>
      <w:r w:rsidRPr="00C46275">
        <w:lastRenderedPageBreak/>
        <w:t>transparência, a utilização indevida constante de fundos estatais para fins de propaganda política e o risco persistente de perda da independência dos meios de comunicação social, devido a mecanismos de financiamento opacos; insta veementemente a que estas reformas sejam adotadas e executadas antes das eleições locais previstas para o outono de 2025;</w:t>
      </w:r>
    </w:p>
    <w:p w14:paraId="695ACDB3" w14:textId="77777777" w:rsidR="00106994" w:rsidRPr="00C46275" w:rsidRDefault="00106994" w:rsidP="00106994">
      <w:pPr>
        <w:pStyle w:val="NormalHanging12a"/>
      </w:pPr>
      <w:r w:rsidRPr="00C46275">
        <w:t>27.</w:t>
      </w:r>
      <w:r w:rsidRPr="00C46275">
        <w:tab/>
        <w:t>Frisa a necessidade de reforçar a independência e a capacidade da entidade reguladora dos meios de comunicação social, do serviço público de radiodifusão e da entidade reguladora das comunicações eletrónicas;</w:t>
      </w:r>
    </w:p>
    <w:p w14:paraId="5B9228D3" w14:textId="77777777" w:rsidR="00106994" w:rsidRPr="00C46275" w:rsidRDefault="00106994" w:rsidP="00106994">
      <w:pPr>
        <w:pStyle w:val="NormalHanging12a"/>
      </w:pPr>
      <w:r w:rsidRPr="00C46275">
        <w:t>28.</w:t>
      </w:r>
      <w:r w:rsidRPr="00C46275">
        <w:tab/>
        <w:t>Apoia a realização de ações que visem reforçar a independência editorial e financeira, a imparcialidade e o profissionalismo dos organismos de radiodifusão de serviço público e das entidades reguladoras dos meios de comunicação social, registando simultaneamente o atraso persistente na designação dos principais órgãos de supervisão, assim como a necessidade de esforços de modernização abrangentes; solicita a definição de normas mais rigorosas em matéria de transparência e propriedade para expor as influências dissimuladas, nomeadamente em conteúdos mediáticos patrocinados por estrangeiros, e a criação de mecanismos para identificar e desmantelar redes estrangeiras coordenadas de desinformação;</w:t>
      </w:r>
    </w:p>
    <w:p w14:paraId="11351241" w14:textId="77777777" w:rsidR="00106994" w:rsidRPr="00C46275" w:rsidRDefault="00106994" w:rsidP="00106994">
      <w:pPr>
        <w:pStyle w:val="NormalHanging12a"/>
      </w:pPr>
      <w:r w:rsidRPr="00C46275">
        <w:t>29.</w:t>
      </w:r>
      <w:r w:rsidRPr="00C46275">
        <w:tab/>
        <w:t xml:space="preserve">Observa que determinadas entidades diplomáticas chinesas financiaram conteúdos pagos e artigos de opinião em órgãos de comunicação social macedónios sem se identificarem claramente; recorda que uma análise de 2023 concluiu que intervenientes com ligações ao Estado russo utilizaram meios de comunicação social sérvios subordinados para divulgar propaganda hostil à OTAN e afirmar que a UE está a pressionar a Macedónia do Norte a «abandonar a sua identidade»; </w:t>
      </w:r>
    </w:p>
    <w:p w14:paraId="3C09F4CC" w14:textId="77777777" w:rsidR="00106994" w:rsidRPr="00C46275" w:rsidRDefault="00106994" w:rsidP="00106994">
      <w:pPr>
        <w:pStyle w:val="NormalHanging12a"/>
      </w:pPr>
      <w:r w:rsidRPr="00C46275">
        <w:t>30.</w:t>
      </w:r>
      <w:r w:rsidRPr="00C46275">
        <w:tab/>
        <w:t>Manifesta preocupação com as ameaças e os ataques constantes dirigidos a jornalistas e profissionais da comunicação social independentes, incluindo atos de humilhação misógina em linha dirigidos a mulheres jornalistas, que visam maioritariamente jornalistas que cobrem os temas do Estado de direito, da corrupção e da justiça; saúda a atribuição da tarefa de acompanhar os referidos ataques a jornalistas e supervisionar a criação de mecanismos de denúncia de ciberintimidação a um procurador específico; preconiza a adoção de medidas mais firmes para proteger os profissionais da comunicação social de ameaças físicas e não físicas, assédio e uso de linguagem inadequada por personalidades oficiais;</w:t>
      </w:r>
    </w:p>
    <w:p w14:paraId="6500FDE4" w14:textId="77777777" w:rsidR="00106994" w:rsidRPr="00C46275" w:rsidRDefault="00106994" w:rsidP="00106994">
      <w:pPr>
        <w:pStyle w:val="NormalHanging12a"/>
      </w:pPr>
      <w:r w:rsidRPr="00C46275">
        <w:t>31.</w:t>
      </w:r>
      <w:r w:rsidRPr="00C46275">
        <w:tab/>
        <w:t>Incentiva a Macedónia do Norte a prosseguir os esforços para combater o discurso de ódio sob todas as suas formas e a visar todos os grupos, a prevenir e investigar exaustivamente todos os casos de discurso de ódio, crimes de ódio e intimidação, a levar a tribunal sistematicamente os ataques relacionados com estes casos, de modo a obter condenações e garantir a segurança dos seus alvos, nomeadamente jornalistas, pessoas pertencentes a minorias, comunidades como a búlgara e outros grupos vulneráveis;</w:t>
      </w:r>
    </w:p>
    <w:p w14:paraId="7218EE1D" w14:textId="77777777" w:rsidR="00106994" w:rsidRPr="00C46275" w:rsidRDefault="00106994" w:rsidP="00106994">
      <w:pPr>
        <w:pStyle w:val="NormalHanging12a"/>
      </w:pPr>
      <w:r w:rsidRPr="00C46275">
        <w:t>32.</w:t>
      </w:r>
      <w:r w:rsidRPr="00C46275">
        <w:tab/>
        <w:t xml:space="preserve">Manifesta a sua preocupação com o aumento do discurso de ódio e as crescentes ameaças de desinformação nos meios de comunicação social em linha, sobre os quais a Agência Nacional para os Serviços Mediáticos de Áudio e Audiovisuais não tem competências de regulação; solicita o reforço das medidas de apoio ao jornalismo de investigação, das capacidades de verificação de factos e da literacia mediática, bem como a melhoria do quadro jurídico e da capacidade interinstitucional, a fim de </w:t>
      </w:r>
      <w:r w:rsidRPr="00C46275">
        <w:lastRenderedPageBreak/>
        <w:t>combater o discurso de ódio, a desinformação e a ingerência estrangeira; expressa a sua preocupação com as campanhas generalizadas de desinformação que põem em causa os valores democráticos e o objetivo do país de aderir à UE; a este respeito, pede o apoio das instituições da UE para ajudar o país a atenuar estes efeitos nocivos; congratula</w:t>
      </w:r>
      <w:r w:rsidRPr="00C46275">
        <w:noBreakHyphen/>
        <w:t>se com as iniciativas da sociedade civil que promovem a verificação de factos, a literacia digital nas escolas e o combate à propagação do discurso de ódio e observa que cerca de 50 % dos cidadãos da Macedónia do Norte adotaram relatos falsos sobre acontecimentos internacionais, em particular no que diz respeito à guerra na Ucrânia, o que realça a necessidade urgente de aumentar a resiliência da sociedade contra a manipulação mal</w:t>
      </w:r>
      <w:r w:rsidRPr="00C46275">
        <w:noBreakHyphen/>
        <w:t>intencionada da informação;</w:t>
      </w:r>
    </w:p>
    <w:p w14:paraId="4173CA04" w14:textId="77777777" w:rsidR="00106994" w:rsidRPr="00C46275" w:rsidRDefault="00106994" w:rsidP="00106994">
      <w:pPr>
        <w:pStyle w:val="NormalHanging12a"/>
      </w:pPr>
      <w:r w:rsidRPr="00C46275">
        <w:t>33.</w:t>
      </w:r>
      <w:r w:rsidRPr="00C46275">
        <w:tab/>
        <w:t>Sublinha que a sociedade civil é fundamental para promover a democracia e o pluralismo e para fomentar a boa governação e o progresso social; congratula</w:t>
      </w:r>
      <w:r w:rsidRPr="00C46275">
        <w:noBreakHyphen/>
        <w:t>se com o dinamismo e a construtividade da sociedade civil do país, que desempenha um papel de importância fulcral e muito positivo no processo de reforma, e recorda que são necessários mais esforços para assegurar consultas inclusivas, oportunas e significativas e a transparência, bem como mecanismos formais de cooperação; neste cenário, congratula</w:t>
      </w:r>
      <w:r w:rsidRPr="00C46275">
        <w:noBreakHyphen/>
        <w:t>se com o início recente do processo de restabelecimento do Conselho de Cooperação com o setor da sociedade civil e o seu desenvolvimento e solicita um reforço da cooperação entre o governo e a sociedade civil, sobretudo a fim de atenuar as consequências para a sociedade civil do recente «congelamento» dos fundos da Agência dos Estados Unidos para o Desenvolvimento Internacional (USAID); observa que, embora as organizações da sociedade civil atuem num ambiente que, de um modo geral, lhes é propício, convém implementar quadros jurídicos e financeiros que assegurem o aumento do seu financiamento público e que os mecanismos de financiamento públicos sejam transparentes; manifesta a sua preocupação com os relatos de aumentos das declarações hostis à sociedade civil e incentiva o Ministério da Administração Interna a colaborar com organizações da sociedade civil, a fim de elaborar um protocolo de segurança para os defensores dos direitos humanos, de molde a garantir a sua proteção contra ameaças de intervenientes não estatais; apela veementemente a uma maior promoção do papel da sociedade civil, assegurando a sua inclusão contínua e significativa no processo de tomada de decisões e consultando a Comissão de Veneza antes da adoção, no futuro, de legislação relativa a organizações não governamentais (ONG);</w:t>
      </w:r>
    </w:p>
    <w:p w14:paraId="1219E27C" w14:textId="77777777" w:rsidR="00106994" w:rsidRPr="00C46275" w:rsidRDefault="00106994" w:rsidP="00106994">
      <w:pPr>
        <w:pStyle w:val="NormalHanging12a"/>
        <w:rPr>
          <w:b/>
          <w:bCs/>
          <w:i/>
        </w:rPr>
      </w:pPr>
      <w:r w:rsidRPr="00C46275">
        <w:rPr>
          <w:b/>
          <w:i/>
        </w:rPr>
        <w:t>Direitos fundamentais</w:t>
      </w:r>
    </w:p>
    <w:p w14:paraId="06125929" w14:textId="79ABFA49" w:rsidR="00106994" w:rsidRPr="00C46275" w:rsidRDefault="00106994" w:rsidP="00106994">
      <w:pPr>
        <w:pStyle w:val="NormalHanging12a"/>
      </w:pPr>
      <w:r w:rsidRPr="00C46275">
        <w:t>34.</w:t>
      </w:r>
      <w:r w:rsidRPr="00C46275">
        <w:tab/>
        <w:t>Elogia a Macedónia do Norte pela ratificação da maioria dos instrumentos internacionais em matéria de direitos humanos; manifesta</w:t>
      </w:r>
      <w:r w:rsidRPr="00C46275">
        <w:noBreakHyphen/>
        <w:t>se, no entanto, preocupado com o nível de execução, a falta de progressos em matéria de igualdade de género, a ascensão dos movimentos antigénero e o aumento da sua influência, que afetam negativamente os processos legislativos e de elaboração de políticas; exorta o Governo a aplicar plenamente a Convenção de Istambul; insta as autoridades a adotar a nova Lei relativa à Igualdade de Género e a reforçar as estruturas governamentais formais destinadas a promover a igualdade de género e a melhorar o estatuto e os direitos das mulheres a todos os níveis, bem como a assegurar a aplicação efetiva da Estratégia para a Igualdade de Género e do Plano de Ação Nacional, nomeadamente assegurando um financiamento adequado, promovendo a coordenação interinstitucional e alinhando as políticas nacionais com o acervo da UE;</w:t>
      </w:r>
    </w:p>
    <w:p w14:paraId="08F33085" w14:textId="55ADCA10" w:rsidR="00106994" w:rsidRPr="00C46275" w:rsidRDefault="00106994" w:rsidP="00106994">
      <w:pPr>
        <w:pStyle w:val="NormalHanging12a"/>
      </w:pPr>
      <w:r w:rsidRPr="00C46275">
        <w:lastRenderedPageBreak/>
        <w:t>35.</w:t>
      </w:r>
      <w:r w:rsidRPr="00C46275">
        <w:tab/>
        <w:t>Insta as autoridades a assegurarem a execução plena e efetiva do quadro jurídico em vigor para a proteção das vítimas de violência baseada no género e de violência doméstica, afetando recursos orçamentais suficientes à prevenção e melhorando o acesso aos serviços de assistência, os mecanismos de proteção e a aplicação dos direitos sociais e económicos garantidos por lei aos sobreviventes; regista, neste contexto, a adoção, em 2023, da Lei relativa ao Pagamento de Indemnizações Monetárias às Vítimas de Crimes Violentos, que incorpora as normas da Convenção de Istambul, a fim de proteger melhor as vítimas de violência baseada no género; incentiva igualmente as autoridades a envidarem maiores esforços para reduzir e atenuar a violência baseada no género e a violência doméstica, a aumentar a capacidade e os recursos do pessoal das estruturas de acolhimento, bem como o número de agentes da autoridade, juízes, pessoal médico e assistentes sociais com formação adequada e sensibilidade para as questões de género;</w:t>
      </w:r>
    </w:p>
    <w:p w14:paraId="749921C0" w14:textId="072DB849" w:rsidR="00106994" w:rsidRPr="00C46275" w:rsidRDefault="00106994" w:rsidP="00106994">
      <w:pPr>
        <w:pStyle w:val="NormalHanging12a"/>
      </w:pPr>
      <w:r w:rsidRPr="00C46275">
        <w:t>36.</w:t>
      </w:r>
      <w:r w:rsidRPr="00C46275">
        <w:tab/>
        <w:t>Observa com preocupação a terrível situação das mulheres jovens nas prisões, designadamente a das raparigas com idades entre os 14 e os 16 anos, que carecem de formação escolar e profissional e estão frequentemente sobremedicadas, com cuidados de saúde insuficientes; insta as autoridades da Macedónia do Norte a tomar medidas urgentes para melhorar as condições de detenção de todos os reclusos, reduzir a corrupção e pôr termo a tratamentos desumanos, bem como a promover a liberdade condicional e a reinserção social dos ex</w:t>
      </w:r>
      <w:r w:rsidRPr="00C46275">
        <w:noBreakHyphen/>
        <w:t>reclusos;</w:t>
      </w:r>
    </w:p>
    <w:p w14:paraId="31B0AEDF" w14:textId="00036E4A" w:rsidR="00106994" w:rsidRPr="00C46275" w:rsidRDefault="00106994" w:rsidP="00106994">
      <w:pPr>
        <w:pStyle w:val="NormalHanging12a"/>
      </w:pPr>
      <w:r w:rsidRPr="00C46275">
        <w:t>37.</w:t>
      </w:r>
      <w:r w:rsidRPr="00C46275">
        <w:tab/>
        <w:t>Exorta a Macedónia do Norte a aplicar plenamente as recomendações previstas no relatório de 2023 da CERI sobre a Macedónia do Norte, a fim de abordar eficazmente as violações dos direitos humanos identificadas;</w:t>
      </w:r>
    </w:p>
    <w:p w14:paraId="62317F0C" w14:textId="77777777" w:rsidR="00106994" w:rsidRPr="00C46275" w:rsidRDefault="00106994" w:rsidP="00106994">
      <w:pPr>
        <w:pStyle w:val="NormalHanging12a"/>
      </w:pPr>
      <w:r w:rsidRPr="00C46275">
        <w:t>38.</w:t>
      </w:r>
      <w:r w:rsidRPr="00C46275">
        <w:tab/>
        <w:t>Saúda o facto de as relações interétnicas permanecerem estáveis e de o Acordo</w:t>
      </w:r>
      <w:r w:rsidRPr="00C46275">
        <w:noBreakHyphen/>
        <w:t>Quadro de Ocrida continuar a ser aplicado; elogia os esforços da Macedónia do Norte no sentido de reforçar a proteção dos direitos das minorias, promovendo simultaneamente um maior apoio financeiro; solicita que sejam disponibilizados fundos e pessoal suficientes às instituições que protegem os direitos das comunidades não maioritárias; insta os representantes políticos das comunidades minoritárias a evitarem a promoção de narrativas étnicas fraturantes que preconizam políticas que causaram guerras e sofrimento profundo no passado recente da região; exorta a Macedónia do Norte a aplicar plenamente as recomendações do Comité Consultivo da Convenção</w:t>
      </w:r>
      <w:r w:rsidRPr="00C46275">
        <w:noBreakHyphen/>
        <w:t>Quadro para a Proteção das Minorias Nacionais no que diz respeito à Estratégia «Uma Sociedade para Todos e Interculturalismo»; insta a Macedónia do Norte a disponibilizar fundos e pessoal suficientes à Agência de Execução Linguística e à Agência para a Realização dos Direitos Comunitários; lamenta que a Macedónia do Norte não tenha ratificado a Carta Europeia das Línguas Regionais ou Minoritárias; aguarda a decisão final sobre a impugnação da lei relativa à utilização das línguas, que poderá ter impacto nas relações interétnicas;</w:t>
      </w:r>
    </w:p>
    <w:p w14:paraId="1FE3C7A1" w14:textId="77777777" w:rsidR="00106994" w:rsidRPr="00C46275" w:rsidRDefault="00106994" w:rsidP="00106994">
      <w:pPr>
        <w:pStyle w:val="NormalHanging12a"/>
      </w:pPr>
      <w:r w:rsidRPr="00C46275">
        <w:t>39.</w:t>
      </w:r>
      <w:r w:rsidRPr="00C46275">
        <w:tab/>
        <w:t>Saúda os progressos realizados pelo país no alinhamento do seu quadro legislativo e institucional aplicável aos direitos da criança com o acervo da UE e com as normas internacionais em matéria de direitos humanos; regista os progressos realizados na execução da estratégia de desinstitucionalização e congratula</w:t>
      </w:r>
      <w:r w:rsidRPr="00C46275">
        <w:noBreakHyphen/>
        <w:t>se com a recolocação bem</w:t>
      </w:r>
      <w:r w:rsidRPr="00C46275">
        <w:noBreakHyphen/>
        <w:t xml:space="preserve">sucedida de crianças institucionalizadas em famílias de acolhimento ou pequenos lares de acolhimento; porém, regista com preocupação os constantes casos de violência e discriminação infantil, nomeadamente contra crianças ciganas; insta, por conseguinte, o país a criar um organismo nacional responsável pela coordenação de todas as políticas </w:t>
      </w:r>
      <w:r w:rsidRPr="00C46275">
        <w:lastRenderedPageBreak/>
        <w:t>relativas à aplicação da Convenção das Nações Unidas sobre os Direitos da Criança e dos seus protocolos facultativos;</w:t>
      </w:r>
    </w:p>
    <w:p w14:paraId="006E1DEB" w14:textId="77777777" w:rsidR="00106994" w:rsidRPr="00C46275" w:rsidRDefault="00106994" w:rsidP="00106994">
      <w:pPr>
        <w:pStyle w:val="NormalHanging12a"/>
      </w:pPr>
      <w:r w:rsidRPr="00C46275">
        <w:t>40.</w:t>
      </w:r>
      <w:r w:rsidRPr="00C46275">
        <w:tab/>
        <w:t xml:space="preserve">Incentiva a Macedónia do Norte a tomar medidas significativas no sentido de reconhecer e incorporar as minorias e as comunidades nacionais na sua Constituição, promover a inclusividade, proteger a diversidade, combater a discriminação e reforçar a coesão social, em consonância com os valores e os princípios democráticos europeus; insta a Macedónia do Norte a garantir a plena igualdade de direitos e oportunidades a todas as comunidades étnicas do país; </w:t>
      </w:r>
    </w:p>
    <w:p w14:paraId="1B7E7D37" w14:textId="77777777" w:rsidR="00106994" w:rsidRPr="00C46275" w:rsidRDefault="00106994" w:rsidP="00106994">
      <w:pPr>
        <w:pStyle w:val="NormalHanging12a"/>
      </w:pPr>
      <w:r w:rsidRPr="00C46275">
        <w:t>41.</w:t>
      </w:r>
      <w:r w:rsidRPr="00C46275">
        <w:tab/>
        <w:t>Observa que as pessoas com deficiência continuam a enfrentar obstáculos significativos, uma vez que a legislação do país ainda não foi alinhada com a Convenção das Nações Unidas sobre os Direitos das Pessoas com Deficiência; acolhe favoravelmente a estratégia nacional para os direitos das pessoas com deficiência no período de 2023</w:t>
      </w:r>
      <w:r w:rsidRPr="00C46275">
        <w:noBreakHyphen/>
        <w:t xml:space="preserve">2030 e insta veementemente à sua correta aplicação, nomeadamente no que toca a assegurar um número suficiente de assistentes educativos, tendo em vista a inclusão efetiva e harmoniosa das crianças com deficiência no processo educativo; </w:t>
      </w:r>
    </w:p>
    <w:p w14:paraId="5E966D56" w14:textId="77777777" w:rsidR="00106994" w:rsidRPr="00C46275" w:rsidRDefault="00106994" w:rsidP="00106994">
      <w:pPr>
        <w:pStyle w:val="NormalHanging12a"/>
      </w:pPr>
      <w:r w:rsidRPr="00C46275">
        <w:t>42.</w:t>
      </w:r>
      <w:r w:rsidRPr="00C46275">
        <w:tab/>
        <w:t>Congratula</w:t>
      </w:r>
      <w:r w:rsidRPr="00C46275">
        <w:noBreakHyphen/>
        <w:t xml:space="preserve">se com a primeira decisão judicial que incidiu sobre o discurso de ódio contra a comunidade LGBTIQ+, sem, no entanto, deixar de apelar com veemência à instauração sistemática de ações penais contra todos os casos de discurso de ódio, crimes de ódio e intimidação, bem como à inclusão do discurso de ódio no código penal e às instituições estatais responsáveis para que mantenham estatísticas adequadas sobre os casos de discurso de ódio e crimes de ódio; </w:t>
      </w:r>
    </w:p>
    <w:p w14:paraId="4BED7716" w14:textId="77777777" w:rsidR="00106994" w:rsidRPr="00C46275" w:rsidRDefault="00106994" w:rsidP="00106994">
      <w:pPr>
        <w:pStyle w:val="NormalHanging12a"/>
      </w:pPr>
      <w:r w:rsidRPr="00C46275">
        <w:t>43.</w:t>
      </w:r>
      <w:r w:rsidRPr="00C46275">
        <w:tab/>
        <w:t>Regista com preocupação o discurso de ódio generalizado nas redes sociais, em particular contra os ciganos, as pessoas LGBTIQ+ e outros grupos marginalizados; insta todos os intervenientes políticos a alterar a Lei do Registo Civil e a assegurar um reconhecimento jurídico rápido e sem restrições do género com base na autodeterminação, a defender os direitos humanos, a garantir a dignidade e a estabelecer um processo jurídico claro e acessível, em conformidade com as normas internacionais; recomenda que a nova Lei relativa ao Ensino Básico mantenha proteções explícitas contra a discriminação com base do género, na orientação sexual e na identidade de género, assegurando o alinhamento com os compromissos nacionais e internacionais; incentiva a Assembleia da Macedónia do Norte a (re)instituir rapidamente um grupo interparlamentar LGBTIQ+ ativo para apoiar e promover os direitos das pessoas LGBTIQ+;</w:t>
      </w:r>
    </w:p>
    <w:p w14:paraId="6FFE6C4B" w14:textId="1EAAAEFA" w:rsidR="00106994" w:rsidRPr="00C46275" w:rsidRDefault="00106994" w:rsidP="00106994">
      <w:pPr>
        <w:pStyle w:val="NormalHanging12a"/>
      </w:pPr>
      <w:r w:rsidRPr="00C46275">
        <w:t>44.</w:t>
      </w:r>
      <w:r w:rsidRPr="00C46275">
        <w:tab/>
        <w:t>Insta a Macedónia do Norte a reforçar a gestão da migração, a melhorar o alinhamento com o acervo da UE e a dar resposta aos desafios persistentes na gestão da migração regular e irregular, sem deixar de defender os direitos humanos fundamentais; regista com agrado o reforço da cooperação em matéria de gestão de fronteiras e o reforço da capacidade do país para gerir os fluxos migratórios e combater a introdução clandestina de migrantes, o tráfico de seres humanos e outras formas de criminalidade organizada; defende o desenvolvimento contínuo dos procedimentos de asilo e das políticas de integração, bem como da melhoria das condições de acolhimento, em consonância com os quadros da UE em matéria de migração; salienta a importância da cooperação regional na gestão da migração e solicita um maior apoio da UE em termos de recursos, assistência técnica e reforço de capacidades, a fim de abordar eficazmente os desafios da migração;</w:t>
      </w:r>
    </w:p>
    <w:p w14:paraId="0E8D6944" w14:textId="77777777" w:rsidR="00106994" w:rsidRPr="00C46275" w:rsidRDefault="00106994" w:rsidP="00106994">
      <w:pPr>
        <w:pStyle w:val="NormalHanging12a"/>
      </w:pPr>
      <w:r w:rsidRPr="00C46275">
        <w:lastRenderedPageBreak/>
        <w:t>45.</w:t>
      </w:r>
      <w:r w:rsidRPr="00C46275">
        <w:tab/>
        <w:t>Exorta a Macedónia do Norte a intensificar os seus esforços na luta contra o tráfico de seres humanos, nomeadamente através de um maior alinhamento do código penal com o acervo da UE e a sua legislação em matéria de droga;</w:t>
      </w:r>
    </w:p>
    <w:p w14:paraId="620C1E75" w14:textId="77777777" w:rsidR="00106994" w:rsidRPr="00C46275" w:rsidRDefault="00106994" w:rsidP="00106994">
      <w:pPr>
        <w:pStyle w:val="Normal12a24b"/>
      </w:pPr>
      <w:r w:rsidRPr="00C46275">
        <w:rPr>
          <w:rStyle w:val="BoldItalic"/>
        </w:rPr>
        <w:t>Estado de direito</w:t>
      </w:r>
    </w:p>
    <w:p w14:paraId="05F956A8" w14:textId="1507791A" w:rsidR="00106994" w:rsidRPr="00C46275" w:rsidRDefault="00106994" w:rsidP="00106994">
      <w:pPr>
        <w:pStyle w:val="NormalHanging12a"/>
      </w:pPr>
      <w:r w:rsidRPr="00C46275">
        <w:t>46.</w:t>
      </w:r>
      <w:r w:rsidRPr="00C46275">
        <w:tab/>
        <w:t>Observa com grande preocupação que o historial do país em matéria de luta contra a corrupção piorou, nomeadamente a corrupção a alto nível, conforme igualmente revelado pela sua descida no Índice de Perceção da Corrupção da Transparência Internacional, em particular devido às alterações do código penal, que enfraqueceram o quadro jurídico e levaram a que muitos processos em curso fossem encerrados; reitera que este declínio sublinha a necessidade premente de reformas exaustivas; insta veementemente a um reforço do quadro de combate à corrupção e à garantia de uma responsabilização efetiva, especialmente nos casos de corrupção a alto nível, através de investigações, ações penais e condenações adequadas; preconiza uma revisão das recentes alterações do código penal relacionadas com as normas de condenação e o prazo de prescrição, a fim de assegurar que as ações penais contra a corrupção, especialmente nos casos complexos e de alto nível, não sejam afetadas negativamente;</w:t>
      </w:r>
    </w:p>
    <w:p w14:paraId="497E30F0" w14:textId="5ABD984C" w:rsidR="00106994" w:rsidRPr="00C46275" w:rsidRDefault="00106994" w:rsidP="00106994">
      <w:pPr>
        <w:pStyle w:val="NormalHanging12a"/>
      </w:pPr>
      <w:r w:rsidRPr="00C46275">
        <w:t>47.</w:t>
      </w:r>
      <w:r w:rsidRPr="00C46275">
        <w:tab/>
        <w:t>Recorda que são necessários recursos financeiros e humanos suficientes para assegurar uma aplicação eficaz e coerente dos mecanismos de dissuasão, prevenção, deteção, investigação e sanção dos titulares de cargos públicos, através de medidas de vasto alcance que abranjam os conflitos de interesses, o lobismo, os códigos deontológicos e a proteção dos denunciantes;</w:t>
      </w:r>
    </w:p>
    <w:p w14:paraId="09285317" w14:textId="77777777" w:rsidR="00106994" w:rsidRPr="00C46275" w:rsidRDefault="00106994" w:rsidP="00106994">
      <w:pPr>
        <w:pStyle w:val="NormalHanging12a"/>
      </w:pPr>
      <w:r w:rsidRPr="00C46275">
        <w:t>48.</w:t>
      </w:r>
      <w:r w:rsidRPr="00C46275">
        <w:tab/>
        <w:t>Observa que o nível percecionado de confiança no sistema judicial continua a ser muito reduzido e que são necessários mais esforços para evitar a influência e intimidação indevidas; sublinha a falta de progressos na execução das estratégias de 2020 relativas à gestão dos recursos humanos nos tribunais e no Ministério Público; exorta vivamente a que seja abordada a grave escassez de juízes e procuradores, que afeta a qualidade e a eficiência da justiça; solicita o reforço da independência e da transparência dos órgãos judiciais e a atribuição dos fundos necessários ao seu funcionamento eficaz;</w:t>
      </w:r>
    </w:p>
    <w:p w14:paraId="6B083C0C" w14:textId="77777777" w:rsidR="00106994" w:rsidRPr="00C46275" w:rsidRDefault="00106994" w:rsidP="00106994">
      <w:pPr>
        <w:pStyle w:val="NormalHanging12a"/>
      </w:pPr>
      <w:r w:rsidRPr="00C46275">
        <w:t>49.</w:t>
      </w:r>
      <w:r w:rsidRPr="00C46275">
        <w:tab/>
        <w:t>Pede um reforço do Conselho da Magistratura e do Conselho do Ministério Público e a atribuição dos fundos necessários, assegurando simultaneamente a sua independência; insta veementemente os intervenientes políticos a deixar de interferir nas instituições judiciais;</w:t>
      </w:r>
    </w:p>
    <w:p w14:paraId="35F47605" w14:textId="77777777" w:rsidR="00106994" w:rsidRPr="00C46275" w:rsidRDefault="00106994" w:rsidP="00106994">
      <w:pPr>
        <w:pStyle w:val="NormalHanging12a"/>
      </w:pPr>
      <w:r w:rsidRPr="00C46275">
        <w:t>50.</w:t>
      </w:r>
      <w:r w:rsidRPr="00C46275">
        <w:tab/>
        <w:t xml:space="preserve">Assinala com preocupação a ausência de progressos em matéria de prevenção da corrupção e combate à mesma e os problemas que continuam a caracterizar as investigações financeiras; realça a forma como a corrupção continua a afetar gravemente domínios de intervenção cruciais; solicita um reforço significativo da cooperação entre as agências responsáveis pela luta contra a criminalidade organizada e a criminalidade financeira, bem como da sua capacidade operacional, nomeadamente garantindo os recursos financeiros necessários; incentiva o país a melhorar a luta contra a criminalidade organizada, a criminalidade económica e a cibercriminalidade, através de uma parceria reforçada com a Europol, o Centro Europeu da Cibercriminalidade e a Eurojust; insta a Macedónia do Norte a envidar maiores esforços para combater o branqueamento de capitais; </w:t>
      </w:r>
    </w:p>
    <w:p w14:paraId="7E6079C0" w14:textId="77777777" w:rsidR="00106994" w:rsidRPr="00C46275" w:rsidRDefault="00106994" w:rsidP="00106994">
      <w:pPr>
        <w:pStyle w:val="NormalHanging12a"/>
      </w:pPr>
      <w:r w:rsidRPr="00C46275">
        <w:lastRenderedPageBreak/>
        <w:t>51.</w:t>
      </w:r>
      <w:r w:rsidRPr="00C46275">
        <w:tab/>
        <w:t>Solicita que sejam tomadas todas as medidas necessárias para combater eficazmente a criminalidade organizada; insta as autoridades a melhorar a coordenação, por intermédio do Centro Nacional de Coordenação para a Luta contra a Criminalidade Organizada, e a afetar as verbas e o pessoal necessários ao Gabinete do Procurador</w:t>
      </w:r>
      <w:r w:rsidRPr="00C46275">
        <w:noBreakHyphen/>
        <w:t xml:space="preserve">Geral Adjunto para a Criminalidade Organizada e a Corrupção; frisa a necessidade de prestar especial atenção e recursos à descoberta de sistemas de branqueamento de capitais; </w:t>
      </w:r>
    </w:p>
    <w:p w14:paraId="562BB615" w14:textId="77777777" w:rsidR="00106994" w:rsidRPr="00C46275" w:rsidRDefault="00106994" w:rsidP="00106994">
      <w:pPr>
        <w:pStyle w:val="NormalHanging12a"/>
      </w:pPr>
      <w:r w:rsidRPr="00C46275">
        <w:t>52.</w:t>
      </w:r>
      <w:r w:rsidRPr="00C46275">
        <w:tab/>
        <w:t xml:space="preserve">Regista com preocupação o alinhamento parcial da Macedónia do Norte com o acervo da UE em matéria de luta contra a criminalidade organizada; reitera o seu apelo para um maior alinhamento com o acervo da UE e a realização de investigações financeiras sistemáticas, intensificando o congelamento, o confisco, a gestão e a eliminação de bens adquiridos ilegalmente; </w:t>
      </w:r>
    </w:p>
    <w:p w14:paraId="65F51CDE" w14:textId="77777777" w:rsidR="00106994" w:rsidRPr="00C46275" w:rsidRDefault="00106994" w:rsidP="00106994">
      <w:pPr>
        <w:pStyle w:val="NormalHanging12a"/>
      </w:pPr>
      <w:r w:rsidRPr="00C46275">
        <w:t>53.</w:t>
      </w:r>
      <w:r w:rsidRPr="00C46275">
        <w:tab/>
        <w:t>Solicita que se proceda a uma investigação exaustiva e transparente do incêndio no clube noturno em Kočani, em 16 de março de 2025, a fim de levar a tribunal as pessoas responsáveis, e que se atualize e aplique exaustivamente a legislação, a fim de evitar tragédias semelhantes, garantir uma melhor segurança pública e uma melhor observância regulamentar para proteger os cidadãos;</w:t>
      </w:r>
    </w:p>
    <w:p w14:paraId="0761574E" w14:textId="3688867F" w:rsidR="00106994" w:rsidRPr="00C46275" w:rsidRDefault="00106994" w:rsidP="00106994">
      <w:pPr>
        <w:pStyle w:val="NormalHanging12a"/>
      </w:pPr>
      <w:r w:rsidRPr="00C46275">
        <w:t>54.</w:t>
      </w:r>
      <w:r w:rsidRPr="00C46275">
        <w:tab/>
        <w:t>Apela para a rápida execução das reformas em curso nos setores da segurança e da informação e o aumento da independência dos organismos de segurança e de informação mediante a criação de quadros regulamentares adequados, reforçando simultaneamente os mecanismos de supervisão democrática; observa com preocupação que a Agência Nacional de Segurança continua sediada nas instalações do Ministério da Administração Interna, o que põe em causa o seu estatuto de organismo independente da administração pública;</w:t>
      </w:r>
    </w:p>
    <w:p w14:paraId="3C5EF8F8" w14:textId="77777777" w:rsidR="00106994" w:rsidRPr="00C46275" w:rsidRDefault="00106994" w:rsidP="00106994">
      <w:pPr>
        <w:pStyle w:val="NormalHanging12a"/>
      </w:pPr>
      <w:r w:rsidRPr="00C46275">
        <w:t>55.</w:t>
      </w:r>
      <w:r w:rsidRPr="00C46275">
        <w:tab/>
        <w:t>Saúda a firme determinação da Macedónia do Norte para combater as ameaças híbridas; congratula</w:t>
      </w:r>
      <w:r w:rsidRPr="00C46275">
        <w:noBreakHyphen/>
        <w:t>se com a iniciativa do Governo de criar um quadro estratégico nacional para combater a desinformação, bem como com a adoção da estratégia nacional de cibersegurança 2025</w:t>
      </w:r>
      <w:r w:rsidRPr="00C46275">
        <w:noBreakHyphen/>
        <w:t>2028; solicita que sejam envidados esforços suplementares para reforçar a resiliência à ingerência estrangeira e à manipulação da informação; sublinha a necessidade de elaborar uma estratégia nacional para reforçar a resiliência à desinformação enquanto ameaça à segurança do Estado, designadamente mediante um reforço das medidas de cibersegurança, da comunicação estratégica, da educação e da literacia mediática; solicita a plena operacionalização dos mecanismos da UE, designadamente o Sistema de Alerta Rápido, que permitem a deteção em tempo real de influência estrangeira mal</w:t>
      </w:r>
      <w:r w:rsidRPr="00C46275">
        <w:noBreakHyphen/>
        <w:t>intencionada durante os principais processos democráticos, incluindo os atos eleitorais;</w:t>
      </w:r>
    </w:p>
    <w:p w14:paraId="22820D53" w14:textId="714C055E" w:rsidR="00106994" w:rsidRPr="00C46275" w:rsidRDefault="00106994" w:rsidP="00106994">
      <w:pPr>
        <w:pStyle w:val="NormalHanging12a"/>
      </w:pPr>
      <w:r w:rsidRPr="00C46275">
        <w:t>56.</w:t>
      </w:r>
      <w:r w:rsidRPr="00C46275">
        <w:tab/>
        <w:t xml:space="preserve">Manifesta a sua profunda preocupação com o facto de a Macedónia do Norte e outros países dos Balcãs Ocidentais candidatos à adesão à UE estarem a ser particularmente afetados por ingerências estrangeiras e por campanhas de desinformação, que incluem ameaças híbridas, corrupção estratégica, fluxos financeiros opacos e práticas de investimento coercivas, provenientes sobretudo da Rússia e da China; está alarmado com o papel </w:t>
      </w:r>
      <w:r w:rsidR="00DD267A" w:rsidRPr="00C46275">
        <w:t xml:space="preserve">dos governos húngaro </w:t>
      </w:r>
      <w:r w:rsidRPr="00C46275">
        <w:t xml:space="preserve">e </w:t>
      </w:r>
      <w:r w:rsidR="00DD267A" w:rsidRPr="00C46275">
        <w:t>sérvio</w:t>
      </w:r>
      <w:r w:rsidRPr="00C46275">
        <w:t xml:space="preserve"> na promoção dos objetivos geopolíticos da China e da Rússia; assinala, neste contexto, o risco de dependência da China devido a acordos de empréstimo assimétricos, bem como o recente empréstimo </w:t>
      </w:r>
      <w:r w:rsidR="0060061E" w:rsidRPr="00C46275">
        <w:t xml:space="preserve"> do banco húngaro Eximbank</w:t>
      </w:r>
      <w:r w:rsidRPr="00C46275">
        <w:t>, que parece ter origem na China;</w:t>
      </w:r>
    </w:p>
    <w:p w14:paraId="7245EAB6" w14:textId="77777777" w:rsidR="00106994" w:rsidRPr="00C46275" w:rsidRDefault="00106994" w:rsidP="00106994">
      <w:pPr>
        <w:pStyle w:val="Normal12a24b"/>
        <w:rPr>
          <w:rStyle w:val="BoldItalic"/>
        </w:rPr>
      </w:pPr>
      <w:r w:rsidRPr="00C46275">
        <w:rPr>
          <w:rStyle w:val="BoldItalic"/>
        </w:rPr>
        <w:lastRenderedPageBreak/>
        <w:t>Reformas socioeconómicas</w:t>
      </w:r>
    </w:p>
    <w:p w14:paraId="7F4A45D8" w14:textId="0C76D512" w:rsidR="00106994" w:rsidRPr="00C46275" w:rsidRDefault="00106994" w:rsidP="00106994">
      <w:pPr>
        <w:pStyle w:val="NormalHanging12a"/>
      </w:pPr>
      <w:r w:rsidRPr="00C46275">
        <w:t>57.</w:t>
      </w:r>
      <w:r w:rsidRPr="00C46275">
        <w:tab/>
        <w:t>Recomenda que a Macedónia do Norte continue a tomar medidas que visem melhorar o clima de negócios e as infraestruturas empresariais, reforçar a educação e as infraestruturas digitais e aperfeiçoar os sistemas de proteção social e a sua articulação com as iniciativas de emprego; congratula</w:t>
      </w:r>
      <w:r w:rsidRPr="00C46275">
        <w:noBreakHyphen/>
        <w:t>se com a inclusão de reformas relacionadas com o capital humano no programa de reformas do plano de crescimento e insta a Macedónia do Norte a dedicar os esforços adequados à execução destas reformas, a fim de alcançar resultados sustentáveis no desenvolvimento do capital humano para as crianças e os jovens, enquanto alicerce de sociedades resilientes e de um crescimento sustentável;</w:t>
      </w:r>
    </w:p>
    <w:p w14:paraId="5F6667E0" w14:textId="77777777" w:rsidR="00106994" w:rsidRPr="00C46275" w:rsidRDefault="00106994" w:rsidP="00106994">
      <w:pPr>
        <w:pStyle w:val="NormalHanging12a"/>
      </w:pPr>
      <w:r w:rsidRPr="00C46275">
        <w:t>58.</w:t>
      </w:r>
      <w:r w:rsidRPr="00C46275">
        <w:tab/>
        <w:t>Saúda a adoção do programa de reformas e do programa de trabalho plurianual no âmbito do Mecanismo para as Reformas e o Crescimento na Macedónia do Norte, que prestarão apoio às pequenas e médias empresas, reduzirão a burocracia e digitalizarão o sistema público, e congratula</w:t>
      </w:r>
      <w:r w:rsidRPr="00C46275">
        <w:noBreakHyphen/>
        <w:t>se com as medidas previstas no programa de reformas no que diz respeito à implantação das infraestruturas digitais e à nova Lei das Comunicações Eletrónicas, que alinha a legislação nacional com o acervo pertinente da UE, acompanhando a transição digital em curso à escala mundial;</w:t>
      </w:r>
    </w:p>
    <w:p w14:paraId="76ABF8AE" w14:textId="45D8D8FF" w:rsidR="00106994" w:rsidRPr="00C46275" w:rsidRDefault="00106994" w:rsidP="00106994">
      <w:pPr>
        <w:pStyle w:val="NormalHanging12a"/>
      </w:pPr>
      <w:r w:rsidRPr="00C46275">
        <w:t>59.</w:t>
      </w:r>
      <w:r w:rsidRPr="00C46275">
        <w:tab/>
        <w:t>Exorta à definição de estratégias de ativação do mercado de trabalho para os jovens, os desempregados de longa duração e os trabalhadores pouco qualificados, bem como para as mulheres, as pessoas com deficiência e os ciganos, solicitando uma avaliação adequada destas medidas; regista a melhoria a longo prazo das taxas de desemprego, embora observe que tal deva ser acompanhado de um aumento dos salários reais, da melhoria das condições de trabalho e da proteção dos direitos dos trabalhadores, nomeadamente os direitos sindicais; solicita que a lei relativa à resolução pacífica de conflitos laborais seja plenamente aplicada;</w:t>
      </w:r>
    </w:p>
    <w:p w14:paraId="3E70122A" w14:textId="77777777" w:rsidR="00106994" w:rsidRPr="00C46275" w:rsidRDefault="00106994" w:rsidP="00106994">
      <w:pPr>
        <w:pStyle w:val="NormalHanging12a"/>
      </w:pPr>
      <w:r w:rsidRPr="00C46275">
        <w:t>60.</w:t>
      </w:r>
      <w:r w:rsidRPr="00C46275">
        <w:tab/>
        <w:t>Incentiva a Macedónia do Norte a fazer progressos no sentido da sua transformação digital, especialmente na melhoria das competências digitais de todos os cidadãos e na disponibilização de acesso em linha aos serviços públicos; reconhece os desafios demográficos enfrentados pela Macedónia do Norte, nomeadamente o decréscimo da população, a emigração de jovens trabalhadores e o envelhecimento da população ativa, e destaca a necessidade de combater a fuga de cérebros, sobretudo nos domínios da medicina, da tecnologia e da educação; preconiza que sejam aplicadas políticas específicas para inverter a fuga de cérebros, promover políticas sociais favoráveis à família e atrair a migração de regresso; insta à cooperação com a UE nas estratégias de resiliência demográfica, designadamente no respeitante aos incentivos ao mercado de trabalho, às medidas de apoio à habitação para as famílias jovens e ao investimento na educação e no desenvolvimento de competências para dar resposta às necessidades do mercado de trabalho no futuro; exorta a um maior apoio à inovação e à competitividade;</w:t>
      </w:r>
    </w:p>
    <w:p w14:paraId="6C759EE9" w14:textId="2B099717" w:rsidR="00106994" w:rsidRPr="00C46275" w:rsidRDefault="00106994" w:rsidP="00106994">
      <w:pPr>
        <w:pStyle w:val="NormalHanging12a"/>
      </w:pPr>
      <w:r w:rsidRPr="00C46275">
        <w:t>61.</w:t>
      </w:r>
      <w:r w:rsidRPr="00C46275">
        <w:tab/>
        <w:t>Saúda os efeitos positivos da Garantia para a Juventude na redução do desemprego jovem; insta a Macedónia do Norte a intensificar os seus esforços para reduzir a taxa de desemprego dos jovens com idades entre os 15 e os 24 anos, que se mantém elevada, atingindo os 29,3 %; frisa a necessidade de resolver os desafios sociais, assegurar políticas de emprego de qualidade, promover a coesão social ascendente e a convergência no sentido das normas da UE e apoiar os progressos dos princípios do Pilar Europeu dos Direitos Sociais;</w:t>
      </w:r>
    </w:p>
    <w:p w14:paraId="775E3FAF" w14:textId="29F608C6" w:rsidR="00106994" w:rsidRPr="00C46275" w:rsidRDefault="00106994" w:rsidP="00106994">
      <w:pPr>
        <w:pStyle w:val="NormalHanging12a"/>
      </w:pPr>
      <w:r w:rsidRPr="00C46275">
        <w:lastRenderedPageBreak/>
        <w:t>62.</w:t>
      </w:r>
      <w:r w:rsidRPr="00C46275">
        <w:tab/>
        <w:t>Saúda os esforços para alterar a legislação laboral; apela para o pleno alinhamento da Lei relativa às Relações Laborais com as diretivas da UE, a fim de garantir efetivamente o direito à igualdade salarial, assegurar a transparência salarial e reforçar a proteção contra a discriminação com base na gravidez e na maternidade; insiste na necessidade de reforçar as competências e capacidades da Inspeção Nacional do Trabalho para assegurar uma proteção eficaz dos direitos dos trabalhadores, nomeadamente salvaguardas contra a discriminação laboral;</w:t>
      </w:r>
    </w:p>
    <w:p w14:paraId="75BE2444" w14:textId="77777777" w:rsidR="00106994" w:rsidRPr="00C46275" w:rsidRDefault="00106994" w:rsidP="00106994">
      <w:pPr>
        <w:pStyle w:val="NormalHanging12a"/>
      </w:pPr>
      <w:r w:rsidRPr="00C46275">
        <w:t>63.</w:t>
      </w:r>
      <w:r w:rsidRPr="00C46275">
        <w:tab/>
        <w:t>Felicita a Macedónia do Norte pela sua adesão ao Espaço Único de Pagamentos em Euros (SEPA), reconhecendo que se trata de um passo importante no sentido de uma maior integração financeira com o mercado europeu e da facilitação de transações transfronteiriças mais rápidas e eficientes; insta a Macedónia do Norte a introduzir reformas estruturais para reforçar a economia e garantir a sustentabilidade da dívida do país;</w:t>
      </w:r>
    </w:p>
    <w:p w14:paraId="1A82431C" w14:textId="77777777" w:rsidR="00106994" w:rsidRPr="00C46275" w:rsidRDefault="00106994" w:rsidP="00106994">
      <w:pPr>
        <w:pStyle w:val="NormalHanging12a"/>
      </w:pPr>
      <w:r w:rsidRPr="00C46275">
        <w:t>64.</w:t>
      </w:r>
      <w:r w:rsidRPr="00C46275">
        <w:tab/>
        <w:t>Congratula</w:t>
      </w:r>
      <w:r w:rsidRPr="00C46275">
        <w:noBreakHyphen/>
        <w:t>se com os apelos à rápida integração de todos os países dos Balcãs Ocidentais no mercado único digital da UE assim que possível, o que beneficiaria decisivamente a criação de um ambiente seguro do ponto de vista digital;</w:t>
      </w:r>
    </w:p>
    <w:p w14:paraId="12554D23" w14:textId="77777777" w:rsidR="00106994" w:rsidRPr="00C46275" w:rsidRDefault="00106994" w:rsidP="00106994">
      <w:pPr>
        <w:pStyle w:val="NormalHanging12a"/>
      </w:pPr>
      <w:r w:rsidRPr="00C46275">
        <w:t>65.</w:t>
      </w:r>
      <w:r w:rsidRPr="00C46275">
        <w:tab/>
        <w:t xml:space="preserve">Insta as autoridades a aplicar plenamente as disposições jurídicas em vigor para garantir o acesso aos serviços de cuidados de saúde primários, com especial atenção à saúde sexual e reprodutiva das mulheres, das mães e das crianças, e a eliminar os obstáculos relacionados com fatores geográficos, financeiros ou outras dificuldades; solicita a adoção de medidas específicas para apoiar os grupos vulneráveis de mulheres no acesso aos cuidados de saúde, nomeadamente as ciganas, as mulheres que vivem em zonas rurais e as que vivem em situação de pobreza; </w:t>
      </w:r>
    </w:p>
    <w:p w14:paraId="6D7CE186" w14:textId="77777777" w:rsidR="00106994" w:rsidRPr="00C46275" w:rsidRDefault="00106994" w:rsidP="00106994">
      <w:pPr>
        <w:pStyle w:val="NormalHanging12a"/>
      </w:pPr>
      <w:r w:rsidRPr="00C46275">
        <w:t>66.</w:t>
      </w:r>
      <w:r w:rsidRPr="00C46275">
        <w:tab/>
        <w:t>Acolhe com agrado os progressos alcançados na execução da Estratégia para a Inclusão dos Ciganos para 2022</w:t>
      </w:r>
      <w:r w:rsidRPr="00C46275">
        <w:noBreakHyphen/>
        <w:t>2030; lamenta, no entanto, que a estratégia careça de uma abordagem clara em matéria de participação, emancipação e reforço de capacidades; insta as autoridades a aplicarem os respetivos planos de ação, assegurando um acompanhamento adequado e uma participação significativa e transparente das organizações da sociedade civil, nomeadamente da comunidade cigana;</w:t>
      </w:r>
    </w:p>
    <w:p w14:paraId="6AE4B927" w14:textId="77777777" w:rsidR="00106994" w:rsidRPr="00C46275" w:rsidRDefault="00106994" w:rsidP="00106994">
      <w:pPr>
        <w:pStyle w:val="Normal12a24b"/>
      </w:pPr>
      <w:r w:rsidRPr="00C46275">
        <w:rPr>
          <w:rStyle w:val="BoldItalic"/>
        </w:rPr>
        <w:t>Ambiente, biodiversidade, energia e transportes</w:t>
      </w:r>
    </w:p>
    <w:p w14:paraId="63A00786" w14:textId="77777777" w:rsidR="00106994" w:rsidRPr="00C46275" w:rsidRDefault="00106994" w:rsidP="00106994">
      <w:pPr>
        <w:pStyle w:val="NormalHanging12a"/>
      </w:pPr>
      <w:bookmarkStart w:id="8" w:name="_m73k7j82ilb9"/>
      <w:bookmarkEnd w:id="8"/>
      <w:r w:rsidRPr="00C46275">
        <w:t>67.</w:t>
      </w:r>
      <w:r w:rsidRPr="00C46275">
        <w:tab/>
        <w:t>Saúda a adoção da Lei da Energia em 2025 e destaca a sua importância para garantir um aprovisionamento energético seguro e de elevada qualidade, bem como a criação de um setor da energia eficiente, competitivo e sustentável do ponto de vista financeiro; incentiva as autoridades a prosseguirem nesta via ambiciosa e recorda que ainda são necessários maiores esforços para cumprir na íntegra as metas em matéria de eficiência energética, energias renováveis, segurança do aprovisionamento e redução das emissões; insta as autoridades do país a alinharem a sua legislação em matéria de ambiente e alterações climáticas pelo acervo da UE e a velarem pela sua aplicação; assinala com preocupação a falta de progressos na ação climática e a adoção pendente de legislação fundamental; salienta a necessidade de integrar a igualdade de género e a inclusão social no planeamento da ação climática, para que as mulheres, os agregados familiares com baixos rendimentos e as comunidades marginalizadas sejam ativamente consultados e beneficiem equitativamente da transição;</w:t>
      </w:r>
    </w:p>
    <w:p w14:paraId="0D4D9159" w14:textId="5EBB6F57" w:rsidR="00106994" w:rsidRPr="00C46275" w:rsidRDefault="00106994" w:rsidP="00106994">
      <w:pPr>
        <w:pStyle w:val="NormalHanging12a"/>
      </w:pPr>
      <w:r w:rsidRPr="00C46275">
        <w:lastRenderedPageBreak/>
        <w:t>68.</w:t>
      </w:r>
      <w:r w:rsidRPr="00C46275">
        <w:tab/>
        <w:t>Regista com agrado a manutenção do apoio financeiro e técnico do Banco Europeu de Investimento na Macedónia do Norte, nomeadamente a projetos de infraestruturas estratégicas, como o</w:t>
      </w:r>
      <w:r w:rsidR="00607EC0" w:rsidRPr="00C46275">
        <w:t>s</w:t>
      </w:r>
      <w:r w:rsidRPr="00C46275">
        <w:t xml:space="preserve"> corredor</w:t>
      </w:r>
      <w:r w:rsidR="00607EC0" w:rsidRPr="00C46275">
        <w:t>es</w:t>
      </w:r>
      <w:r w:rsidRPr="00C46275">
        <w:t xml:space="preserve"> ferroviário</w:t>
      </w:r>
      <w:r w:rsidR="00607EC0" w:rsidRPr="00C46275">
        <w:t>s</w:t>
      </w:r>
      <w:r w:rsidRPr="00C46275">
        <w:t> VIII</w:t>
      </w:r>
      <w:r w:rsidR="00607EC0" w:rsidRPr="00C46275">
        <w:t xml:space="preserve"> e X</w:t>
      </w:r>
      <w:r w:rsidRPr="00C46275">
        <w:t>, a estação de tratamento de águas residuais de Escópia e o desenvolvimento de infraestruturas municipais de abastecimento de água; solicita uma transição inclusiva e justa que proteja as pessoas socialmente vulneráveis, através da mobilização de financiamento público e privado para a transição ecológica, da plena operacionalização de mecanismos de financiamento específicos e tirando partido do apoio da UE e internacional; salienta a necessidade de resolver os problemas da falta de pessoal especializado e da capacidade institucional e administrativa deficiente, que comprometem o controlo da qualidade e a realização adequada de avaliações de impacto ambiental;</w:t>
      </w:r>
    </w:p>
    <w:p w14:paraId="73CDCBDC" w14:textId="57AB4D85" w:rsidR="00106994" w:rsidRPr="00C46275" w:rsidRDefault="00106994" w:rsidP="00106994">
      <w:pPr>
        <w:pStyle w:val="NormalHanging12a"/>
      </w:pPr>
      <w:r w:rsidRPr="00C46275">
        <w:t>69.</w:t>
      </w:r>
      <w:r w:rsidRPr="00C46275">
        <w:tab/>
        <w:t>Observa com preocupação que a qualidade do ar e da água e a gestão das águas residuais continuam a ser questões especialmente problemáticas para o país; insta o Governo central e as autoridades locais a intensificarem os seus esforços para melhorar a qualidade do ar e reduzir a poluição potencialmente mortal; recorda que a situação é particularmente alarmante em Escópia, cidade que tem figurado sistematicamente entre as mais poluídas da Europa;</w:t>
      </w:r>
    </w:p>
    <w:p w14:paraId="3912B088" w14:textId="77777777" w:rsidR="00106994" w:rsidRPr="00C46275" w:rsidRDefault="00106994" w:rsidP="00106994">
      <w:pPr>
        <w:pStyle w:val="NormalHanging12a"/>
      </w:pPr>
      <w:r w:rsidRPr="00C46275">
        <w:t>70.</w:t>
      </w:r>
      <w:r w:rsidRPr="00C46275">
        <w:tab/>
        <w:t>Reconhece o grande potencial da Macedónia do Norte enquanto plataforma regional na utilização de fontes de energia renováveis; insta a Macedónia do Norte a alinhar plenamente a sua avaliação de impacto ambiental com o acervo da UE, centrando</w:t>
      </w:r>
      <w:r w:rsidRPr="00C46275">
        <w:noBreakHyphen/>
        <w:t>se particularmente no direito derivado aplicável aos pequenos projetos hidroelétricos;</w:t>
      </w:r>
    </w:p>
    <w:p w14:paraId="1D0B23C1" w14:textId="77777777" w:rsidR="00106994" w:rsidRPr="00C46275" w:rsidRDefault="00106994" w:rsidP="00106994">
      <w:pPr>
        <w:pStyle w:val="NormalHanging12a"/>
      </w:pPr>
      <w:r w:rsidRPr="00C46275">
        <w:t>71.</w:t>
      </w:r>
      <w:r w:rsidRPr="00C46275">
        <w:tab/>
        <w:t>Salienta a necessidade urgente de dar prioridade à proteção ambiental; insta veementemente as autoridades a adotar a legislação necessária e a intensificar as medidas em matéria de biodiversidade, água, ar, ação climática e gestão regional dos resíduos, nomeadamente através de avaliações de impacto exaustivas, de uma ação penal rigorosa contra a criminalidade ambiental e de consultas públicas adequadas, que permitam uma participação significativa e transparente das comunidades locais, ONG e instituições científicas;</w:t>
      </w:r>
    </w:p>
    <w:p w14:paraId="4F676E7E" w14:textId="61C9DD40" w:rsidR="00106994" w:rsidRPr="00C46275" w:rsidRDefault="00106994" w:rsidP="00106994">
      <w:pPr>
        <w:pStyle w:val="NormalHanging12a"/>
      </w:pPr>
      <w:r w:rsidRPr="00C46275">
        <w:t>72.</w:t>
      </w:r>
      <w:r w:rsidRPr="00C46275">
        <w:tab/>
        <w:t xml:space="preserve">Insta a Macedónia do Norte a estabelecer proteções jurídicas para os sítios </w:t>
      </w:r>
      <w:r w:rsidRPr="00C46275">
        <w:rPr>
          <w:i/>
          <w:iCs/>
        </w:rPr>
        <w:t>Emerald</w:t>
      </w:r>
      <w:r w:rsidRPr="00C46275">
        <w:t xml:space="preserve"> designados ao abrigo da Convenção relativa à Conservação da Vida Selvagem e dos </w:t>
      </w:r>
      <w:r w:rsidRPr="00C46275">
        <w:rPr>
          <w:i/>
          <w:iCs/>
        </w:rPr>
        <w:t>Habitats</w:t>
      </w:r>
      <w:r w:rsidRPr="00C46275">
        <w:t xml:space="preserve"> Naturais da Europa (Convenção de Berna), a fim de garantir a sua proteção contra projetos nocivos para o ambiente; incentiva o país a ampliar as suas zonas protegidas, com vista a cumprir as metas estabelecidas no âmbito do Quadro Mundial para a Biodiversidade de Kunming</w:t>
      </w:r>
      <w:r w:rsidRPr="00C46275">
        <w:noBreakHyphen/>
        <w:t xml:space="preserve">Montreal; reitera a necessidade urgente de adotar a Lei relativa à Reclassificação do Parque Nacional de Mavrovo, a fim de assegurar a prossecução e conclusão dos seus esforços essenciais de conservação; incentiva a Macedónia do Norte a incluir Jablanica na sua lista de zonas protegidas, assegurando assim a conservação de </w:t>
      </w:r>
      <w:r w:rsidRPr="00C46275">
        <w:rPr>
          <w:i/>
          <w:iCs/>
        </w:rPr>
        <w:t>habitats</w:t>
      </w:r>
      <w:r w:rsidRPr="00C46275">
        <w:t xml:space="preserve"> que são essenciais para a sobrevivência das espécies;</w:t>
      </w:r>
    </w:p>
    <w:p w14:paraId="4E06A746" w14:textId="77777777" w:rsidR="00106994" w:rsidRPr="00C46275" w:rsidRDefault="00106994" w:rsidP="00106994">
      <w:pPr>
        <w:pStyle w:val="NormalHanging12a"/>
      </w:pPr>
      <w:r w:rsidRPr="00C46275">
        <w:t>73.</w:t>
      </w:r>
      <w:r w:rsidRPr="00C46275">
        <w:tab/>
        <w:t xml:space="preserve">Incentiva as autoridades da Macedónia do Norte a executarem estratégias mais rigorosas de proteção e gestão dos </w:t>
      </w:r>
      <w:r w:rsidRPr="00C46275">
        <w:rPr>
          <w:i/>
          <w:iCs/>
        </w:rPr>
        <w:t>habitats</w:t>
      </w:r>
      <w:r w:rsidRPr="00C46275">
        <w:t xml:space="preserve"> de espécies ameaçadas e das próprias espécies, em especial o lince dos Balcãs, designadamente uma fiscalização rigorosa dos crimes contra a vida selvagem, mais especificamente o abate ilegal e a caça furtiva, a fim de proteger a biodiversidade;</w:t>
      </w:r>
    </w:p>
    <w:p w14:paraId="704BF78D" w14:textId="77777777" w:rsidR="00106994" w:rsidRPr="00C46275" w:rsidRDefault="00106994" w:rsidP="00106994">
      <w:pPr>
        <w:pStyle w:val="NormalHanging12a"/>
      </w:pPr>
      <w:r w:rsidRPr="00C46275">
        <w:t>74.</w:t>
      </w:r>
      <w:r w:rsidRPr="00C46275">
        <w:tab/>
        <w:t xml:space="preserve">Saúda a cooperação permanente da Macedónia do Norte com o Kosovo e a Albânia no que diz respeito ao parque nacional transfronteiriço das montanhas Sharr; incentiva a </w:t>
      </w:r>
      <w:r w:rsidRPr="00C46275">
        <w:lastRenderedPageBreak/>
        <w:t>Macedónia do Norte a intensificar e acelerar os esforços de colaboração com os países vizinhos para designar zonas protegidas transfronteiriças e estabelecer planos de gestão transfronteiriços coerentes;</w:t>
      </w:r>
    </w:p>
    <w:p w14:paraId="2D64D53C" w14:textId="1839DCB5" w:rsidR="00106994" w:rsidRPr="00C46275" w:rsidRDefault="00106994" w:rsidP="00106994">
      <w:pPr>
        <w:pStyle w:val="NormalHanging12a"/>
      </w:pPr>
      <w:r w:rsidRPr="00C46275">
        <w:t>75.</w:t>
      </w:r>
      <w:r w:rsidRPr="00C46275">
        <w:tab/>
        <w:t>Frisa a necessidade de resolver os desafios financeiros enfrentados pelos parques nacionais para melhorar vários aspetos, nomeadamente os recursos humanos e a gestão global, com o intuito de reforçar o seu papel na conservação da biodiversidade, proporcionando oportunidades no setor recreativo e apoiando as economias locais;</w:t>
      </w:r>
    </w:p>
    <w:p w14:paraId="10551FC3" w14:textId="46C6BD6B" w:rsidR="00106994" w:rsidRPr="00C46275" w:rsidRDefault="00106994" w:rsidP="0010699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46275">
        <w:t>76.</w:t>
      </w:r>
      <w:r w:rsidRPr="00C46275">
        <w:tab/>
        <w:t>Acolhe com agrado os progressos realizados na construção do</w:t>
      </w:r>
      <w:r w:rsidR="00704BC6" w:rsidRPr="00C46275">
        <w:t>s</w:t>
      </w:r>
      <w:r w:rsidRPr="00C46275">
        <w:t xml:space="preserve"> corredor</w:t>
      </w:r>
      <w:r w:rsidR="00704BC6" w:rsidRPr="00C46275">
        <w:t>es</w:t>
      </w:r>
      <w:r w:rsidRPr="00C46275">
        <w:t xml:space="preserve"> VIII </w:t>
      </w:r>
      <w:r w:rsidR="00F732F3" w:rsidRPr="00C46275">
        <w:t xml:space="preserve">e X </w:t>
      </w:r>
      <w:r w:rsidRPr="00C46275">
        <w:t>da rede transeuropeia de transportes (RTE</w:t>
      </w:r>
      <w:r w:rsidRPr="00C46275">
        <w:noBreakHyphen/>
        <w:t xml:space="preserve">T) e louva a conclusão da via rápida «Kriva Palanka </w:t>
      </w:r>
      <w:r w:rsidR="002B2799" w:rsidRPr="00C46275">
        <w:t xml:space="preserve">– </w:t>
      </w:r>
      <w:r w:rsidRPr="00C46275">
        <w:t xml:space="preserve">Dlabochica </w:t>
      </w:r>
      <w:r w:rsidR="00F732F3" w:rsidRPr="00C46275">
        <w:t xml:space="preserve">– </w:t>
      </w:r>
      <w:r w:rsidRPr="00C46275">
        <w:t>Stracin»; exorta, no entanto, as autoridades da Macedónia do Norte a redobrar os seus esforços no sentido de privilegiar os transportes sustentáveis e melhorar as infraestruturas de energia, trabalhar no sentido da integração nas redes europeias e da conectividade regional, bem como a resolver a situação dos atrasos persistentes na criação de infraestruturas críticas, designadamente mediante negociações bilaterais; insta a Comissão a apoiar estes esforços sempre que necessário;</w:t>
      </w:r>
    </w:p>
    <w:p w14:paraId="2CB041D3" w14:textId="515D93CD" w:rsidR="00106994" w:rsidRPr="00C46275" w:rsidRDefault="00106994" w:rsidP="00106994">
      <w:pPr>
        <w:pStyle w:val="NormalHanging12a"/>
      </w:pPr>
      <w:r w:rsidRPr="00C46275">
        <w:t>77.</w:t>
      </w:r>
      <w:r w:rsidRPr="00C46275">
        <w:tab/>
        <w:t>Solicita esforços adicionais para acelerar os progressos em todos os troços prioritários da rede principal, tanto ferroviários como rodoviários, designadamente através do aumento das passagens de fronteiras, sempre que possível; regista a importância estratégica do corredor VIII para a autonomia geoestratégica da UE e da OTAN, que funciona como rota logística essencial ao longo do flanco sul da OTAN;</w:t>
      </w:r>
    </w:p>
    <w:p w14:paraId="00DA0829" w14:textId="77777777" w:rsidR="00106994" w:rsidRPr="00C46275" w:rsidRDefault="00106994" w:rsidP="00106994">
      <w:pPr>
        <w:pStyle w:val="Normal12a24b"/>
      </w:pPr>
      <w:r w:rsidRPr="00C46275">
        <w:rPr>
          <w:rStyle w:val="BoldItalic"/>
        </w:rPr>
        <w:t>Cooperação regional e política externa</w:t>
      </w:r>
    </w:p>
    <w:p w14:paraId="4777AB77" w14:textId="77777777" w:rsidR="00106994" w:rsidRPr="00C46275" w:rsidRDefault="00106994" w:rsidP="00106994">
      <w:pPr>
        <w:pStyle w:val="NormalHanging12a"/>
      </w:pPr>
      <w:r w:rsidRPr="00C46275">
        <w:t>78.</w:t>
      </w:r>
      <w:r w:rsidRPr="00C46275">
        <w:tab/>
        <w:t>Congratula</w:t>
      </w:r>
      <w:r w:rsidRPr="00C46275">
        <w:noBreakHyphen/>
        <w:t>se com o valioso e significativo contributo prestado pela Macedónia do Norte para a cooperação e a estabilidade regionais através da sua participação em iniciativas económicas e diplomáticas regionais, tais como o Processo de Berlim, o Plano de Crescimento para os Balcãs Ocidentais e a execução dos acordos relativos ao mercado comum regional, salientando a importância da inclusividade destes acordos;</w:t>
      </w:r>
    </w:p>
    <w:p w14:paraId="54F9D244" w14:textId="155AFC0E" w:rsidR="00106994" w:rsidRPr="00C46275" w:rsidRDefault="00106994" w:rsidP="00106994">
      <w:pPr>
        <w:pStyle w:val="NormalHanging12a"/>
      </w:pPr>
      <w:r w:rsidRPr="00C46275">
        <w:t>79.</w:t>
      </w:r>
      <w:r w:rsidRPr="00C46275">
        <w:tab/>
        <w:t xml:space="preserve">Saúda o empenho do país em fomentar relações de boa vizinhança e reconhece o exemplo que dá em matéria de resolução pacífica de litígios bilaterais com base no diálogo e na compreensão mútua; destaca, a este respeito, a importância de acordos internacionais </w:t>
      </w:r>
      <w:r w:rsidR="00F732F3" w:rsidRPr="00C46275">
        <w:t xml:space="preserve">– </w:t>
      </w:r>
      <w:r w:rsidRPr="00C46275">
        <w:t xml:space="preserve">nomeadamente o Acordo de Prespa com a Grécia e o Tratado de Amizade, Boa Vizinhança e Cooperação com a Bulgária </w:t>
      </w:r>
      <w:r w:rsidR="00F732F3" w:rsidRPr="00C46275">
        <w:t xml:space="preserve">– </w:t>
      </w:r>
      <w:r w:rsidRPr="00C46275">
        <w:t>serem aplicados na íntegra e de boa</w:t>
      </w:r>
      <w:r w:rsidRPr="00C46275">
        <w:noBreakHyphen/>
        <w:t>fé por todas as partes e produzirem resultados concretos; preconiza um empenho coerente no diálogo e na cooperação com os países vizinhos, a fim de reforçar a estabilidade regional e fomentar a confiança mútua; apela para uma maior promoção dos contactos interpessoais em todo o sudeste da Europa;</w:t>
      </w:r>
    </w:p>
    <w:p w14:paraId="0F045E70" w14:textId="77777777" w:rsidR="00106994" w:rsidRPr="00C46275" w:rsidRDefault="00106994" w:rsidP="00106994">
      <w:pPr>
        <w:pStyle w:val="NormalHanging12a"/>
      </w:pPr>
      <w:r w:rsidRPr="00C46275">
        <w:t>80.</w:t>
      </w:r>
      <w:r w:rsidRPr="00C46275">
        <w:tab/>
        <w:t>Manifesta a sua preocupação com o projeto denominado «mundo sérvio» e com o facto de alguns representantes do Governo da Macedónia do Norte terem defendido e promovido este conceito; condena a participação em encontros que tentam estabelecer uma esfera de influência que compromete a soberania de outros países e a estabilidade da região;</w:t>
      </w:r>
    </w:p>
    <w:p w14:paraId="35A79919" w14:textId="77777777" w:rsidR="00106994" w:rsidRPr="00C46275" w:rsidRDefault="00106994" w:rsidP="00106994">
      <w:pPr>
        <w:pStyle w:val="NormalHanging12a"/>
      </w:pPr>
      <w:r w:rsidRPr="00C46275">
        <w:t>81.</w:t>
      </w:r>
      <w:r w:rsidRPr="00C46275">
        <w:tab/>
        <w:t xml:space="preserve">Recorda a necessidade de abrir os arquivos dos serviços secretos jugoslavos (UDBA e KOS), conservados tanto na Macedónia do Norte como na Sérvia; salienta a necessidade de abrir estes arquivos à escala regional para abordar o passado totalitário </w:t>
      </w:r>
      <w:r w:rsidRPr="00C46275">
        <w:lastRenderedPageBreak/>
        <w:t>de modo transparente, a fim de reforçar a democracia, a responsabilização e as instituições nos Balcãs Ocidentais;</w:t>
      </w:r>
    </w:p>
    <w:p w14:paraId="79A92693" w14:textId="77777777" w:rsidR="00106994" w:rsidRPr="00C46275" w:rsidRDefault="00106994" w:rsidP="00106994">
      <w:pPr>
        <w:pStyle w:val="NormalHanging12a"/>
      </w:pPr>
      <w:r w:rsidRPr="00C46275">
        <w:t>82.</w:t>
      </w:r>
      <w:r w:rsidRPr="00C46275">
        <w:tab/>
        <w:t>Congratula</w:t>
      </w:r>
      <w:r w:rsidRPr="00C46275">
        <w:noBreakHyphen/>
        <w:t>se com o empenho continuado da Macedónia do Norte na segurança euro</w:t>
      </w:r>
      <w:r w:rsidRPr="00C46275">
        <w:noBreakHyphen/>
        <w:t>atlântica; enaltece o papel ativo da Macedónia do Norte na OSCE, em especial a sua presidência da OSCE em 2023, numa conjuntura geopolítica complexa, e os contributos significativos para missões de gestão de crises e operações militares da UE; saúda o alinhamento do país com a política externa, de segurança e de defesa da UE, nomeadamente a sua resposta inequívoca à guerra de agressão da Rússia na Ucrânia, ao alinhar</w:t>
      </w:r>
      <w:r w:rsidRPr="00C46275">
        <w:noBreakHyphen/>
        <w:t>se com as medidas restritivas da UE contra a Rússia e a Bielorrússia e ao prestar apoio à Ucrânia; acolhe com agrado a assinatura, em 2024, de uma parceria de segurança e defesa com a UE;</w:t>
      </w:r>
    </w:p>
    <w:p w14:paraId="6939D514" w14:textId="5E847422" w:rsidR="00106994" w:rsidRPr="00C46275" w:rsidRDefault="00106994" w:rsidP="00106994">
      <w:pPr>
        <w:pStyle w:val="NormalHanging12a"/>
      </w:pPr>
      <w:r w:rsidRPr="00C46275">
        <w:t>83.</w:t>
      </w:r>
      <w:r w:rsidRPr="00C46275">
        <w:tab/>
        <w:t>Lamenta, no entanto, que a Macedónia do Norte tenha sido o único país dos Balcãs Ocidentais a abster</w:t>
      </w:r>
      <w:r w:rsidRPr="00C46275">
        <w:noBreakHyphen/>
        <w:t>se na resolução europeia relativa à Ucrânia na Assembleia Geral das Nações Unidas, em fevereiro de 2025, e que tenha, em vez disso, copatrocinado a resolução apresentada pelos EUA, juntamente com países como a Geórgia e a Hungria, o que representa um sinal negativo quanto ao alinhamento da Macedónia do Norte com a política externa e de segurança comum da UE e com o compromisso coletivo europeu de defender a paz, o direito internacional e os princípios democráticos;</w:t>
      </w:r>
    </w:p>
    <w:p w14:paraId="6AB04DE2" w14:textId="1A682E65" w:rsidR="00106994" w:rsidRPr="00C46275" w:rsidRDefault="00106994" w:rsidP="00106994">
      <w:pPr>
        <w:pStyle w:val="NormalHanging12a"/>
      </w:pPr>
      <w:r w:rsidRPr="00C46275">
        <w:t>84.</w:t>
      </w:r>
      <w:r w:rsidRPr="00C46275">
        <w:tab/>
        <w:t>Reconhece que a adesão da Macedónia do Norte à OTAN constitui um contributo geoestratégico significativo para a segurança regional e a estabilidade euro</w:t>
      </w:r>
      <w:r w:rsidRPr="00C46275">
        <w:noBreakHyphen/>
        <w:t>atlântica, nomeadamente através da participação ativa do país nas missões e operações da OTAN e do seu papel estratégico na promoção da paz e da cooperação nos Balcãs Ocidentais, bem como através da modernização em curso das suas forças armadas e de reformas nos domínios da gestão de crises, das infraestruturas críticas e da ciberdefesa; salienta que a pertença da Macedónia do Norte à OTAN lhe permite reforçar as suas capacidades de defesa e promover a coordenação em matéria de segurança com os aliados da UE e da OTAN, além de funcionar como elemento dissuasor contra os esforços de desestabilização externos; incentiva a Macedónia do Norte a aprofundar a cooperação com a UE e a OTAN no combate às ameaças híbridas, nomeadamente através da coordenação da cibersegurança, da despistagem conjunta de desinformação e do reforço da resiliência, e a continuar a envidar esforços para impedir tentativas externas de desestabilização; incentiva a prossecução dos investimentos da Macedónia do Norte na modernização da defesa e do alinhamento com as prioridades estratégicas da OTAN, de molde a consolidar o seu papel enquanto parceiro fiável em matéria de segurança;</w:t>
      </w:r>
    </w:p>
    <w:p w14:paraId="08A8CD58" w14:textId="77777777" w:rsidR="00106994" w:rsidRPr="00C46275" w:rsidRDefault="00106994" w:rsidP="00106994">
      <w:pPr>
        <w:pStyle w:val="NormalHanging12a"/>
      </w:pPr>
      <w:r w:rsidRPr="00C46275">
        <w:t>85.</w:t>
      </w:r>
      <w:r w:rsidRPr="00C46275">
        <w:tab/>
        <w:t>Acolhe com satisfação o acordo celebrado na Cimeira UE</w:t>
      </w:r>
      <w:r w:rsidRPr="00C46275">
        <w:noBreakHyphen/>
        <w:t>Balcãs Ocidentais, em Tirana, sobre a redução dos custos de itinerância («roaming»); insta, neste contexto, as autoridades, os intervenientes do setor privado e todas as partes interessadas a viabilizar a consecução das metas acordadas para lograr uma redução substancial das tarifas de itinerância dos dados entre os Balcãs Ocidentais e a UE e novas reduções conducentes a preços próximos dos preços nacionais até 2027; congratula</w:t>
      </w:r>
      <w:r w:rsidRPr="00C46275">
        <w:noBreakHyphen/>
        <w:t>se com a entrada em vigor da primeira fase de implementação do roteiro para a itinerância entre os Balcãs Ocidentais e a UE;</w:t>
      </w:r>
    </w:p>
    <w:p w14:paraId="4EDA4E35" w14:textId="77777777" w:rsidR="00D84EA6" w:rsidRPr="00C46275" w:rsidRDefault="00D84EA6" w:rsidP="00D84EA6">
      <w:pPr>
        <w:pStyle w:val="NormalHanging12a"/>
        <w:ind w:left="0" w:firstLine="0"/>
        <w:jc w:val="center"/>
      </w:pPr>
      <w:r w:rsidRPr="00C46275">
        <w:t>°</w:t>
      </w:r>
    </w:p>
    <w:p w14:paraId="27F72BA9" w14:textId="77777777" w:rsidR="00D84EA6" w:rsidRPr="00C46275" w:rsidRDefault="00D84EA6" w:rsidP="00D84EA6">
      <w:pPr>
        <w:pStyle w:val="NormalHanging12a"/>
        <w:ind w:left="0" w:firstLine="0"/>
        <w:jc w:val="center"/>
      </w:pPr>
      <w:r w:rsidRPr="00C46275">
        <w:t>°     °</w:t>
      </w:r>
    </w:p>
    <w:p w14:paraId="0FFC934E" w14:textId="77777777" w:rsidR="00BD20AC" w:rsidRPr="00C46275" w:rsidRDefault="00106994" w:rsidP="00BD20AC">
      <w:pPr>
        <w:pStyle w:val="NormalHanging12a"/>
      </w:pPr>
      <w:r w:rsidRPr="00C46275">
        <w:lastRenderedPageBreak/>
        <w:t>86.</w:t>
      </w:r>
      <w:r w:rsidRPr="00C46275">
        <w:tab/>
        <w:t>Encarrega a sua Presidente de transmitir a presente resolução ao Presidente do Conselho Europeu, ao Conselho, à Comissão, à Vice</w:t>
      </w:r>
      <w:r w:rsidRPr="00C46275">
        <w:noBreakHyphen/>
        <w:t>Presidente da Comissão/Alta Representante da União para os Negócios Estrangeiros e a Política de Segurança, aos governos e parlamentos dos Estados</w:t>
      </w:r>
      <w:r w:rsidRPr="00C46275">
        <w:noBreakHyphen/>
        <w:t>Membros e ao Presidente, ao Governo e à Assembleia da República da Macedónia do Norte.</w:t>
      </w:r>
    </w:p>
    <w:p w14:paraId="67ABCDA8" w14:textId="77777777" w:rsidR="00E365E1" w:rsidRPr="00C46275" w:rsidRDefault="00E365E1" w:rsidP="008914CA"/>
    <w:sectPr w:rsidR="00E365E1" w:rsidRPr="00C46275" w:rsidSect="00BD20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F848A" w14:textId="77777777" w:rsidR="008914CA" w:rsidRPr="00BD20AC" w:rsidRDefault="008914CA">
      <w:r w:rsidRPr="00BD20AC">
        <w:separator/>
      </w:r>
    </w:p>
  </w:endnote>
  <w:endnote w:type="continuationSeparator" w:id="0">
    <w:p w14:paraId="16A805E6" w14:textId="77777777" w:rsidR="008914CA" w:rsidRPr="00BD20AC" w:rsidRDefault="008914CA">
      <w:r w:rsidRPr="00BD20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C9735" w14:textId="77777777" w:rsidR="00064002" w:rsidRPr="00BD20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D34B" w14:textId="77777777" w:rsidR="00064002" w:rsidRPr="00BD20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5FCC1" w14:textId="77777777" w:rsidR="00064002" w:rsidRPr="00BD20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2634A" w14:textId="77777777" w:rsidR="008914CA" w:rsidRPr="00BD20AC" w:rsidRDefault="008914CA">
      <w:r w:rsidRPr="00BD20AC">
        <w:separator/>
      </w:r>
    </w:p>
  </w:footnote>
  <w:footnote w:type="continuationSeparator" w:id="0">
    <w:p w14:paraId="0C40F981" w14:textId="77777777" w:rsidR="008914CA" w:rsidRPr="00BD20AC" w:rsidRDefault="008914CA">
      <w:r w:rsidRPr="00BD20AC">
        <w:continuationSeparator/>
      </w:r>
    </w:p>
  </w:footnote>
  <w:footnote w:id="1">
    <w:p w14:paraId="5EA7D383" w14:textId="77777777" w:rsidR="00106994" w:rsidRPr="00C46275" w:rsidRDefault="00106994" w:rsidP="00BD20AC">
      <w:pPr>
        <w:pStyle w:val="FootnoteText"/>
        <w:ind w:left="567" w:hanging="567"/>
        <w:rPr>
          <w:sz w:val="24"/>
          <w:lang w:val="fi-FI"/>
        </w:rPr>
      </w:pPr>
      <w:r w:rsidRPr="00BD20AC">
        <w:rPr>
          <w:rStyle w:val="FootnoteReference"/>
          <w:sz w:val="24"/>
          <w:lang w:val="pt-PT"/>
        </w:rPr>
        <w:footnoteRef/>
      </w:r>
      <w:r w:rsidR="00BD20AC" w:rsidRPr="00C46275">
        <w:rPr>
          <w:sz w:val="24"/>
          <w:lang w:val="fi-FI"/>
        </w:rPr>
        <w:t xml:space="preserve"> </w:t>
      </w:r>
      <w:r w:rsidR="00BD20AC" w:rsidRPr="00C46275">
        <w:rPr>
          <w:sz w:val="24"/>
          <w:lang w:val="fi-FI"/>
        </w:rPr>
        <w:tab/>
      </w:r>
      <w:r w:rsidRPr="00C46275">
        <w:rPr>
          <w:sz w:val="24"/>
          <w:lang w:val="fi-FI"/>
        </w:rPr>
        <w:t xml:space="preserve">JO L 84 de 20.3.2004, p. 13, ELI: </w:t>
      </w:r>
      <w:hyperlink r:id="rId1" w:history="1">
        <w:r w:rsidRPr="00C46275">
          <w:rPr>
            <w:rStyle w:val="Hyperlink"/>
            <w:sz w:val="24"/>
            <w:lang w:val="fi-FI"/>
          </w:rPr>
          <w:t>http://data.europa.eu/eli/agree_internation/2004/239(2)/oj</w:t>
        </w:r>
      </w:hyperlink>
      <w:r w:rsidRPr="00C46275">
        <w:rPr>
          <w:sz w:val="24"/>
          <w:lang w:val="fi-FI"/>
        </w:rPr>
        <w:t>.</w:t>
      </w:r>
    </w:p>
  </w:footnote>
  <w:footnote w:id="2">
    <w:p w14:paraId="676A36A8" w14:textId="77777777" w:rsidR="00106994" w:rsidRPr="00C46275" w:rsidRDefault="00106994" w:rsidP="00BD20AC">
      <w:pPr>
        <w:pStyle w:val="FootnoteText"/>
        <w:ind w:left="567" w:hanging="567"/>
        <w:rPr>
          <w:sz w:val="24"/>
          <w:lang w:val="fi-FI"/>
        </w:rPr>
      </w:pPr>
      <w:r w:rsidRPr="00BD20AC">
        <w:rPr>
          <w:rStyle w:val="FootnoteReference"/>
          <w:sz w:val="24"/>
          <w:lang w:val="pt-PT"/>
        </w:rPr>
        <w:footnoteRef/>
      </w:r>
      <w:r w:rsidR="00BD20AC" w:rsidRPr="00C46275">
        <w:rPr>
          <w:sz w:val="24"/>
          <w:lang w:val="fi-FI"/>
        </w:rPr>
        <w:t xml:space="preserve"> </w:t>
      </w:r>
      <w:r w:rsidR="00BD20AC" w:rsidRPr="00C46275">
        <w:rPr>
          <w:sz w:val="24"/>
          <w:lang w:val="fi-FI"/>
        </w:rPr>
        <w:tab/>
      </w:r>
      <w:r w:rsidRPr="00C46275">
        <w:rPr>
          <w:sz w:val="24"/>
          <w:lang w:val="fi-FI"/>
        </w:rPr>
        <w:t xml:space="preserve">JO L 330 de 20.9.2021, p. 1, ELI: </w:t>
      </w:r>
      <w:hyperlink r:id="rId2" w:history="1">
        <w:r w:rsidRPr="00C46275">
          <w:rPr>
            <w:rStyle w:val="Hyperlink"/>
            <w:sz w:val="24"/>
            <w:lang w:val="fi-FI"/>
          </w:rPr>
          <w:t>http://data.europa.eu/eli/reg/2021/1529/oj</w:t>
        </w:r>
      </w:hyperlink>
      <w:r w:rsidRPr="00C46275">
        <w:rPr>
          <w:sz w:val="24"/>
          <w:lang w:val="fi-FI"/>
        </w:rPr>
        <w:t>.</w:t>
      </w:r>
    </w:p>
  </w:footnote>
  <w:footnote w:id="3">
    <w:p w14:paraId="70BFC4B6" w14:textId="77777777" w:rsidR="00106994" w:rsidRPr="00C46275" w:rsidRDefault="00106994" w:rsidP="00BD20AC">
      <w:pPr>
        <w:pStyle w:val="FootnoteText"/>
        <w:ind w:left="567" w:hanging="567"/>
        <w:rPr>
          <w:sz w:val="24"/>
          <w:lang w:val="fi-FI"/>
        </w:rPr>
      </w:pPr>
      <w:r w:rsidRPr="00BD20AC">
        <w:rPr>
          <w:rStyle w:val="FootnoteReference"/>
          <w:sz w:val="24"/>
          <w:lang w:val="pt-PT"/>
        </w:rPr>
        <w:footnoteRef/>
      </w:r>
      <w:r w:rsidR="00BD20AC" w:rsidRPr="00C46275">
        <w:rPr>
          <w:sz w:val="24"/>
          <w:lang w:val="fi-FI"/>
        </w:rPr>
        <w:t xml:space="preserve"> </w:t>
      </w:r>
      <w:r w:rsidR="00BD20AC" w:rsidRPr="00C46275">
        <w:rPr>
          <w:sz w:val="24"/>
          <w:lang w:val="fi-FI"/>
        </w:rPr>
        <w:tab/>
      </w:r>
      <w:r w:rsidRPr="00C46275">
        <w:rPr>
          <w:sz w:val="24"/>
          <w:lang w:val="fi-FI"/>
        </w:rPr>
        <w:t xml:space="preserve">JO L, 2024/1449, 24.5.2024, ELI: </w:t>
      </w:r>
      <w:hyperlink r:id="rId3" w:history="1">
        <w:r w:rsidRPr="00C46275">
          <w:rPr>
            <w:rStyle w:val="Hyperlink"/>
            <w:sz w:val="24"/>
            <w:lang w:val="fi-FI"/>
          </w:rPr>
          <w:t>http://data.europa.eu/eli/reg/2024/1449/oj</w:t>
        </w:r>
      </w:hyperlink>
      <w:r w:rsidRPr="00C46275">
        <w:rPr>
          <w:sz w:val="24"/>
          <w:lang w:val="fi-FI"/>
        </w:rPr>
        <w:t>.</w:t>
      </w:r>
    </w:p>
  </w:footnote>
  <w:footnote w:id="4">
    <w:p w14:paraId="07EA79B9" w14:textId="77777777" w:rsidR="00106994" w:rsidRPr="00BD20AC" w:rsidRDefault="00106994" w:rsidP="00BD20AC">
      <w:pPr>
        <w:pStyle w:val="FootnoteText"/>
        <w:ind w:left="567" w:hanging="567"/>
        <w:rPr>
          <w:sz w:val="24"/>
          <w:lang w:val="pt-PT"/>
        </w:rPr>
      </w:pPr>
      <w:r w:rsidRPr="00BD20AC">
        <w:rPr>
          <w:rStyle w:val="FootnoteReference"/>
          <w:sz w:val="24"/>
          <w:lang w:val="pt-PT"/>
        </w:rPr>
        <w:footnoteRef/>
      </w:r>
      <w:r w:rsidR="00BD20AC" w:rsidRPr="00BD20AC">
        <w:rPr>
          <w:sz w:val="24"/>
          <w:lang w:val="pt-PT"/>
        </w:rPr>
        <w:t xml:space="preserve"> </w:t>
      </w:r>
      <w:r w:rsidR="00BD20AC" w:rsidRPr="00BD20AC">
        <w:rPr>
          <w:sz w:val="24"/>
          <w:lang w:val="pt-PT"/>
        </w:rPr>
        <w:tab/>
      </w:r>
      <w:r w:rsidRPr="00BD20AC">
        <w:rPr>
          <w:sz w:val="24"/>
          <w:lang w:val="pt-PT"/>
        </w:rPr>
        <w:t>JO C 202 de 28.5.2021, p. 86.</w:t>
      </w:r>
    </w:p>
  </w:footnote>
  <w:footnote w:id="5">
    <w:p w14:paraId="494C6E92" w14:textId="29C89DB4" w:rsidR="00106994" w:rsidRPr="00BD20AC" w:rsidRDefault="00106994" w:rsidP="00BD20AC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  <w:r w:rsidRPr="00BD20AC">
        <w:rPr>
          <w:vertAlign w:val="superscript"/>
        </w:rPr>
        <w:footnoteRef/>
      </w:r>
      <w:r w:rsidR="00BD20AC" w:rsidRPr="00BD20AC">
        <w:t xml:space="preserve"> </w:t>
      </w:r>
      <w:r w:rsidR="00BD20AC" w:rsidRPr="00BD20AC">
        <w:tab/>
      </w:r>
      <w:r w:rsidRPr="00BD20AC">
        <w:t>Regulamento (UE) 2024/1083 do Parlamento Europeu e do Conselho, de 11 de abril de</w:t>
      </w:r>
      <w:r w:rsidR="00CA46AF">
        <w:t> </w:t>
      </w:r>
      <w:r w:rsidRPr="00BD20AC">
        <w:t>2024, que cria um regime comum para os serviços de comunicação social no mercado interno e que altera a Diretiva 2010/13/UE (Regulamento Europeu relativo à Liberdade dos Meios de Comunicação Social) (JO L, 2024/1083, 17.4.2024, ELI:</w:t>
      </w:r>
      <w:r w:rsidRPr="00BD20AC">
        <w:rPr>
          <w:color w:val="000000"/>
        </w:rPr>
        <w:t xml:space="preserve"> </w:t>
      </w:r>
      <w:hyperlink r:id="rId4" w:history="1">
        <w:r w:rsidRPr="00CA46AF">
          <w:rPr>
            <w:rStyle w:val="Hyperlink"/>
          </w:rPr>
          <w:t>http://data.europa.eu/eli/reg/2024/1083/oj</w:t>
        </w:r>
      </w:hyperlink>
      <w:r w:rsidRPr="00BD20AC">
        <w:rPr>
          <w:color w:val="000000"/>
        </w:rPr>
        <w:t>).</w:t>
      </w:r>
    </w:p>
  </w:footnote>
  <w:footnote w:id="6">
    <w:p w14:paraId="143AB201" w14:textId="77777777" w:rsidR="00106994" w:rsidRPr="00BD20AC" w:rsidRDefault="00106994" w:rsidP="00BD20AC">
      <w:pPr>
        <w:pStyle w:val="FootnoteText"/>
        <w:ind w:left="567" w:hanging="567"/>
        <w:rPr>
          <w:sz w:val="24"/>
          <w:lang w:val="pt-PT"/>
        </w:rPr>
      </w:pPr>
      <w:r w:rsidRPr="00BD20AC">
        <w:rPr>
          <w:rStyle w:val="FootnoteReference"/>
          <w:sz w:val="24"/>
          <w:lang w:val="pt-PT"/>
        </w:rPr>
        <w:footnoteRef/>
      </w:r>
      <w:r w:rsidR="00BD20AC" w:rsidRPr="00BD20AC">
        <w:rPr>
          <w:sz w:val="24"/>
          <w:lang w:val="pt-PT"/>
        </w:rPr>
        <w:t xml:space="preserve"> </w:t>
      </w:r>
      <w:r w:rsidR="00BD20AC" w:rsidRPr="00BD20AC">
        <w:rPr>
          <w:sz w:val="24"/>
          <w:lang w:val="pt-PT"/>
        </w:rPr>
        <w:tab/>
      </w:r>
      <w:r w:rsidRPr="00BD20AC">
        <w:rPr>
          <w:sz w:val="24"/>
          <w:lang w:val="pt-PT"/>
        </w:rPr>
        <w:t xml:space="preserve">Diretiva (UE) 2024/1069 do Parlamento Europeu e do Conselho, de 11 de abril de 2024, relativa à proteção das pessoas envolvidas na participação pública contra pedidos manifestamente infundados ou processos judiciais abusivos («Ações judiciais estratégicas contra a participação pública») (JO L, 2024/1069, 16.4.2024, ELI: </w:t>
      </w:r>
      <w:hyperlink r:id="rId5" w:history="1">
        <w:r w:rsidRPr="00CA46AF">
          <w:rPr>
            <w:rStyle w:val="Hyperlink"/>
            <w:sz w:val="24"/>
            <w:lang w:val="pt-PT"/>
          </w:rPr>
          <w:t>http://data.europa.eu/eli/dir/2024/1069/oj</w:t>
        </w:r>
      </w:hyperlink>
      <w:r w:rsidRPr="00BD20AC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15CBD" w14:textId="77777777" w:rsidR="00064002" w:rsidRPr="00BD20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8F4B3" w14:textId="77777777" w:rsidR="00064002" w:rsidRPr="00BD20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F0FE4" w14:textId="77777777" w:rsidR="00064002" w:rsidRPr="00BD20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8/2025"/>
    <w:docVar w:name="dvlangue" w:val="PT"/>
    <w:docVar w:name="dvnumam" w:val="0"/>
    <w:docVar w:name="dvpe" w:val="769.915"/>
    <w:docVar w:name="dvrapporteur" w:val="Relator: "/>
    <w:docVar w:name="dvtitre" w:val="Resolução do Parlamento Europeu, de ... de ... de 2025,_x000d__x000a_ sobre os relatórios de 2023 e 2024 da Comissão relativos à Macedónia do Norte(2025/2021(INI))"/>
  </w:docVars>
  <w:rsids>
    <w:rsidRoot w:val="008914CA"/>
    <w:rsid w:val="00002272"/>
    <w:rsid w:val="00064002"/>
    <w:rsid w:val="000677B9"/>
    <w:rsid w:val="000831BA"/>
    <w:rsid w:val="000A42CC"/>
    <w:rsid w:val="000E7DD9"/>
    <w:rsid w:val="0010095E"/>
    <w:rsid w:val="00106994"/>
    <w:rsid w:val="00125B37"/>
    <w:rsid w:val="00187494"/>
    <w:rsid w:val="001F32AE"/>
    <w:rsid w:val="00256526"/>
    <w:rsid w:val="002767FF"/>
    <w:rsid w:val="002B18FE"/>
    <w:rsid w:val="002B2799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61E"/>
    <w:rsid w:val="006037C0"/>
    <w:rsid w:val="00607EC0"/>
    <w:rsid w:val="006631B6"/>
    <w:rsid w:val="00680577"/>
    <w:rsid w:val="006F74FA"/>
    <w:rsid w:val="00704BC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4C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0AC"/>
    <w:rsid w:val="00BD48FE"/>
    <w:rsid w:val="00BD7BD8"/>
    <w:rsid w:val="00BE6ADC"/>
    <w:rsid w:val="00C05BFE"/>
    <w:rsid w:val="00C23CD4"/>
    <w:rsid w:val="00C46275"/>
    <w:rsid w:val="00C61C0C"/>
    <w:rsid w:val="00C941CB"/>
    <w:rsid w:val="00CA46AF"/>
    <w:rsid w:val="00CC2357"/>
    <w:rsid w:val="00CF071A"/>
    <w:rsid w:val="00D058B8"/>
    <w:rsid w:val="00D562F6"/>
    <w:rsid w:val="00D56C11"/>
    <w:rsid w:val="00D834A0"/>
    <w:rsid w:val="00D84EA6"/>
    <w:rsid w:val="00D872DF"/>
    <w:rsid w:val="00D91E21"/>
    <w:rsid w:val="00DA7FCD"/>
    <w:rsid w:val="00DD267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2F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E2B0A"/>
  <w15:chartTrackingRefBased/>
  <w15:docId w15:val="{B64A24AE-9D2C-4A16-838B-0C02CF8A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06994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106994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106994"/>
    <w:rPr>
      <w:b/>
      <w:i/>
      <w:u w:val="none"/>
    </w:rPr>
  </w:style>
  <w:style w:type="character" w:customStyle="1" w:styleId="Italic">
    <w:name w:val="Italic"/>
    <w:uiPriority w:val="1"/>
    <w:rsid w:val="00106994"/>
    <w:rPr>
      <w:i/>
    </w:rPr>
  </w:style>
  <w:style w:type="paragraph" w:customStyle="1" w:styleId="Normal12a24b">
    <w:name w:val="Normal12a24b"/>
    <w:basedOn w:val="Normal"/>
    <w:rsid w:val="00106994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CA46A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84E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4EA6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6006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061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061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00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061E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04/239(2)/oj" TargetMode="External"/><Relationship Id="rId5" Type="http://schemas.openxmlformats.org/officeDocument/2006/relationships/hyperlink" Target="http://data.europa.eu/eli/dir/2024/1069/oj" TargetMode="External"/><Relationship Id="rId4" Type="http://schemas.openxmlformats.org/officeDocument/2006/relationships/hyperlink" Target="http://data.europa.eu/eli/reg/2024/10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BB82A-6CDE-4BBA-81CC-CF1C924D5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9234</Words>
  <Characters>52634</Characters>
  <Application>Microsoft Office Word</Application>
  <DocSecurity>0</DocSecurity>
  <Lines>438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2025-07-09T14:57:00Z</dcterms:created>
  <dcterms:modified xsi:type="dcterms:W3CDTF">2025-07-09T14:57:00Z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P10_TA(2025)0157_</vt:lpwstr>
  </property>
  <property fmtid="{D5CDD505-2E9C-101B-9397-08002B2CF9AE}" pid="4" name="&lt;Type&gt;">
    <vt:lpwstr>RR</vt:lpwstr>
  </property>
</Properties>
</file>