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7B4C" w14:paraId="066AE0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C6EE62" w14:textId="77777777" w:rsidR="00751A4A" w:rsidRPr="00347B4C" w:rsidRDefault="003D2AE6" w:rsidP="0010095E">
            <w:pPr>
              <w:pStyle w:val="EPName"/>
            </w:pPr>
            <w:r w:rsidRPr="00347B4C">
              <w:t>Evropský parlament</w:t>
            </w:r>
          </w:p>
          <w:p w14:paraId="4DB3F0D4" w14:textId="77777777" w:rsidR="00751A4A" w:rsidRPr="00347B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7B4C">
              <w:t>2024</w:t>
            </w:r>
            <w:r w:rsidR="00817416" w:rsidRPr="00347B4C">
              <w:t>-202</w:t>
            </w:r>
            <w:r w:rsidRPr="00347B4C">
              <w:t>9</w:t>
            </w:r>
          </w:p>
        </w:tc>
        <w:tc>
          <w:tcPr>
            <w:tcW w:w="2268" w:type="dxa"/>
            <w:shd w:val="clear" w:color="auto" w:fill="auto"/>
          </w:tcPr>
          <w:p w14:paraId="0B2ADCF2" w14:textId="77777777" w:rsidR="00751A4A" w:rsidRPr="00347B4C" w:rsidRDefault="00187494" w:rsidP="0010095E">
            <w:pPr>
              <w:pStyle w:val="EPLogo"/>
            </w:pPr>
            <w:r w:rsidRPr="00347B4C">
              <w:rPr>
                <w:noProof/>
                <w:lang w:eastAsia="ja-JP"/>
              </w:rPr>
              <w:drawing>
                <wp:inline distT="0" distB="0" distL="0" distR="0" wp14:anchorId="3C74837E" wp14:editId="5CE55E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436944" w14:textId="77777777" w:rsidR="00D058B8" w:rsidRPr="00347B4C" w:rsidRDefault="00D058B8" w:rsidP="004C5D52">
      <w:pPr>
        <w:pStyle w:val="LineTop"/>
      </w:pPr>
    </w:p>
    <w:p w14:paraId="2E2A4400" w14:textId="77777777" w:rsidR="00680577" w:rsidRPr="00347B4C" w:rsidRDefault="003D2AE6" w:rsidP="00680577">
      <w:pPr>
        <w:pStyle w:val="EPBodyTA1"/>
      </w:pPr>
      <w:r w:rsidRPr="00347B4C">
        <w:t>PŘIJATÉ TEXTY</w:t>
      </w:r>
    </w:p>
    <w:p w14:paraId="267F75DD" w14:textId="77777777" w:rsidR="00D058B8" w:rsidRPr="00347B4C" w:rsidRDefault="00D058B8" w:rsidP="00D058B8">
      <w:pPr>
        <w:pStyle w:val="LineBottom"/>
      </w:pPr>
    </w:p>
    <w:p w14:paraId="02D96C2A" w14:textId="48704647" w:rsidR="003D2AE6" w:rsidRPr="00347B4C" w:rsidRDefault="003D2AE6" w:rsidP="003D2AE6">
      <w:pPr>
        <w:pStyle w:val="ATHeading1"/>
      </w:pPr>
      <w:bookmarkStart w:id="0" w:name="TANumber"/>
      <w:r w:rsidRPr="00347B4C">
        <w:t>P10_TA(2025)0</w:t>
      </w:r>
      <w:r w:rsidR="00605876">
        <w:t>161</w:t>
      </w:r>
      <w:bookmarkEnd w:id="0"/>
    </w:p>
    <w:p w14:paraId="6A1748AB" w14:textId="77777777" w:rsidR="003D2AE6" w:rsidRPr="00347B4C" w:rsidRDefault="003D2AE6" w:rsidP="003D2AE6">
      <w:pPr>
        <w:pStyle w:val="ATHeading2"/>
      </w:pPr>
      <w:bookmarkStart w:id="1" w:name="title"/>
      <w:r w:rsidRPr="00347B4C">
        <w:t xml:space="preserve">Případ Ryana </w:t>
      </w:r>
      <w:proofErr w:type="spellStart"/>
      <w:r w:rsidRPr="00347B4C">
        <w:t>Corneliuse</w:t>
      </w:r>
      <w:proofErr w:type="spellEnd"/>
      <w:r w:rsidRPr="00347B4C">
        <w:t xml:space="preserve"> v Dubaji</w:t>
      </w:r>
      <w:bookmarkEnd w:id="1"/>
    </w:p>
    <w:p w14:paraId="1A4BB7EB" w14:textId="2F987CDE" w:rsidR="003D2AE6" w:rsidRPr="00347B4C" w:rsidRDefault="003D2AE6" w:rsidP="003D2AE6">
      <w:pPr>
        <w:rPr>
          <w:i/>
          <w:vanish/>
        </w:rPr>
      </w:pPr>
      <w:r w:rsidRPr="00347B4C">
        <w:rPr>
          <w:i/>
        </w:rPr>
        <w:fldChar w:fldCharType="begin"/>
      </w:r>
      <w:r w:rsidRPr="00347B4C">
        <w:rPr>
          <w:i/>
        </w:rPr>
        <w:instrText xml:space="preserve"> TC"(</w:instrText>
      </w:r>
      <w:bookmarkStart w:id="2" w:name="DocNumber"/>
      <w:r w:rsidRPr="00347B4C">
        <w:rPr>
          <w:i/>
        </w:rPr>
        <w:instrText>B10-0328</w:instrText>
      </w:r>
      <w:r w:rsidR="00F94341">
        <w:rPr>
          <w:i/>
        </w:rPr>
        <w:instrText>, 0333, 0336, 0340 a 0341</w:instrText>
      </w:r>
      <w:r w:rsidRPr="00347B4C">
        <w:rPr>
          <w:i/>
        </w:rPr>
        <w:instrText>/2025</w:instrText>
      </w:r>
      <w:bookmarkEnd w:id="2"/>
      <w:r w:rsidRPr="00347B4C">
        <w:rPr>
          <w:i/>
        </w:rPr>
        <w:instrText xml:space="preserve">)"\l3 \n&gt; \* MERGEFORMAT </w:instrText>
      </w:r>
      <w:r w:rsidRPr="00347B4C">
        <w:rPr>
          <w:i/>
        </w:rPr>
        <w:fldChar w:fldCharType="end"/>
      </w:r>
    </w:p>
    <w:p w14:paraId="65DB7D26" w14:textId="77777777" w:rsidR="003D2AE6" w:rsidRPr="00347B4C" w:rsidRDefault="003D2AE6" w:rsidP="003D2AE6">
      <w:pPr>
        <w:rPr>
          <w:vanish/>
        </w:rPr>
      </w:pPr>
      <w:bookmarkStart w:id="3" w:name="PE"/>
      <w:r w:rsidRPr="00347B4C">
        <w:rPr>
          <w:vanish/>
        </w:rPr>
        <w:t>PE774.024</w:t>
      </w:r>
      <w:bookmarkEnd w:id="3"/>
    </w:p>
    <w:p w14:paraId="305CFF49" w14:textId="77777777" w:rsidR="003D2AE6" w:rsidRPr="00347B4C" w:rsidRDefault="003D2AE6" w:rsidP="003D2AE6">
      <w:pPr>
        <w:pStyle w:val="ATHeading3"/>
      </w:pPr>
      <w:bookmarkStart w:id="4" w:name="Sujet"/>
      <w:r w:rsidRPr="00347B4C">
        <w:t xml:space="preserve">Usnesení Evropského parlamentu ze dne 10. července 2025 o případu Ryana </w:t>
      </w:r>
      <w:proofErr w:type="spellStart"/>
      <w:r w:rsidRPr="00347B4C">
        <w:t>Corneliuse</w:t>
      </w:r>
      <w:proofErr w:type="spellEnd"/>
      <w:r w:rsidRPr="00347B4C">
        <w:t xml:space="preserve"> v Dubaji</w:t>
      </w:r>
      <w:bookmarkEnd w:id="4"/>
      <w:r w:rsidRPr="00347B4C">
        <w:t xml:space="preserve"> </w:t>
      </w:r>
      <w:bookmarkStart w:id="5" w:name="References"/>
      <w:r w:rsidRPr="00347B4C">
        <w:t>(2025/2796(RSP))</w:t>
      </w:r>
      <w:bookmarkEnd w:id="5"/>
    </w:p>
    <w:p w14:paraId="304199EC" w14:textId="77777777" w:rsidR="004A38D0" w:rsidRPr="00347B4C" w:rsidRDefault="004A38D0" w:rsidP="004A38D0">
      <w:pPr>
        <w:pStyle w:val="EPComma"/>
      </w:pPr>
      <w:bookmarkStart w:id="6" w:name="TextBodyBegin"/>
      <w:bookmarkEnd w:id="6"/>
      <w:r w:rsidRPr="00347B4C">
        <w:rPr>
          <w:i/>
        </w:rPr>
        <w:t>Evropský parlament</w:t>
      </w:r>
      <w:r w:rsidRPr="00347B4C">
        <w:t>,</w:t>
      </w:r>
    </w:p>
    <w:p w14:paraId="5FBAC0CF" w14:textId="77777777" w:rsidR="004A38D0" w:rsidRPr="00347B4C" w:rsidRDefault="004A38D0" w:rsidP="004A38D0">
      <w:pPr>
        <w:pStyle w:val="NormalHanging12a"/>
      </w:pPr>
      <w:r w:rsidRPr="00347B4C">
        <w:t>–</w:t>
      </w:r>
      <w:r w:rsidRPr="00347B4C">
        <w:tab/>
        <w:t>s ohledem na stanovisko č. 19/2022 pracovní skupiny OSN pro svévolné zadržování (UNWGAD),</w:t>
      </w:r>
    </w:p>
    <w:p w14:paraId="1A83A962" w14:textId="77777777" w:rsidR="004A38D0" w:rsidRPr="00347B4C" w:rsidRDefault="004A38D0" w:rsidP="004A38D0">
      <w:pPr>
        <w:pStyle w:val="NormalHanging12a"/>
      </w:pPr>
      <w:r w:rsidRPr="00347B4C">
        <w:t>–</w:t>
      </w:r>
      <w:r w:rsidRPr="00347B4C">
        <w:tab/>
        <w:t>s ohledem na čl. 150 odst. 5 a čl. 136 odst. 4 jednacího řádu,</w:t>
      </w:r>
    </w:p>
    <w:p w14:paraId="4805C275" w14:textId="77777777" w:rsidR="004A38D0" w:rsidRPr="00347B4C" w:rsidRDefault="004A38D0" w:rsidP="004A38D0">
      <w:pPr>
        <w:pStyle w:val="NormalHanging12a"/>
      </w:pPr>
      <w:r w:rsidRPr="00347B4C">
        <w:t>A.</w:t>
      </w:r>
      <w:r w:rsidRPr="00347B4C">
        <w:tab/>
        <w:t xml:space="preserve">vzhledem k tomu, že 71letý britský státní příslušník Ryan </w:t>
      </w:r>
      <w:proofErr w:type="spellStart"/>
      <w:r w:rsidRPr="00347B4C">
        <w:t>Cornelius</w:t>
      </w:r>
      <w:proofErr w:type="spellEnd"/>
      <w:r w:rsidRPr="00347B4C">
        <w:t xml:space="preserve">, který má za manželku občanku EU, je od roku 2008 svévolně zadržován ve Spojených arabských emirátech poté, co byl odsouzen na základě nepravdivého obvinění z podvodu v souvislosti s půjčkou od </w:t>
      </w:r>
      <w:proofErr w:type="spellStart"/>
      <w:r w:rsidRPr="00347B4C">
        <w:t>Dubai</w:t>
      </w:r>
      <w:proofErr w:type="spellEnd"/>
      <w:r w:rsidRPr="00347B4C">
        <w:t xml:space="preserve"> </w:t>
      </w:r>
      <w:proofErr w:type="spellStart"/>
      <w:r w:rsidRPr="00347B4C">
        <w:t>Islamic</w:t>
      </w:r>
      <w:proofErr w:type="spellEnd"/>
      <w:r w:rsidRPr="00347B4C">
        <w:t xml:space="preserve"> Bank (DIB) na developerský projekt;</w:t>
      </w:r>
    </w:p>
    <w:p w14:paraId="2001E2A4" w14:textId="77777777" w:rsidR="004A38D0" w:rsidRPr="00347B4C" w:rsidRDefault="004A38D0" w:rsidP="004A38D0">
      <w:pPr>
        <w:pStyle w:val="NormalHanging12a"/>
      </w:pPr>
      <w:r w:rsidRPr="00347B4C">
        <w:t>B.</w:t>
      </w:r>
      <w:r w:rsidRPr="00347B4C">
        <w:tab/>
        <w:t>vzhledem k tomu, že původně byl odsouzen k deseti letům odnětí svobody, avšak těsně před plánovaným propuštěním v roce 2018 byl jeho trest prodloužen o dalších 20 let podle dubajského zákona č. 37 z roku 2009, jenž byl uplatněn se zpětnou účinností a v rozporu s mezinárodními právními normami;</w:t>
      </w:r>
    </w:p>
    <w:p w14:paraId="036062C8" w14:textId="77777777" w:rsidR="004A38D0" w:rsidRPr="00347B4C" w:rsidRDefault="004A38D0" w:rsidP="004A38D0">
      <w:pPr>
        <w:pStyle w:val="NormalHanging12a"/>
      </w:pPr>
      <w:r w:rsidRPr="00347B4C">
        <w:t>C.</w:t>
      </w:r>
      <w:r w:rsidRPr="00347B4C">
        <w:tab/>
        <w:t>vzhledem k tomu, že podle lidskoprávních organizací má vláda Spojených arabských emirátů znepokojivou historii, pokud jde o svévolné zadržování, nespravedlivé soudní procesy a údajné využívání mučení;</w:t>
      </w:r>
    </w:p>
    <w:p w14:paraId="23BA44C9" w14:textId="77777777" w:rsidR="004A38D0" w:rsidRPr="00347B4C" w:rsidRDefault="004A38D0" w:rsidP="004A38D0">
      <w:pPr>
        <w:pStyle w:val="NormalHanging12a"/>
      </w:pPr>
      <w:r w:rsidRPr="00347B4C">
        <w:t>D.</w:t>
      </w:r>
      <w:r w:rsidRPr="00347B4C">
        <w:tab/>
        <w:t xml:space="preserve">vzhledem k tomu, že podle nezávislých auditorů hodnota developerského projektu, který banka DIB Ryanu </w:t>
      </w:r>
      <w:proofErr w:type="spellStart"/>
      <w:r w:rsidRPr="00347B4C">
        <w:t>Corneliusovi</w:t>
      </w:r>
      <w:proofErr w:type="spellEnd"/>
      <w:r w:rsidRPr="00347B4C">
        <w:t xml:space="preserve"> zabavila, prokazatelně mnohonásobně převyšuje hodnotu nesplacené částky, již bance </w:t>
      </w:r>
      <w:proofErr w:type="gramStart"/>
      <w:r w:rsidRPr="00347B4C">
        <w:t>dluží</w:t>
      </w:r>
      <w:proofErr w:type="gramEnd"/>
      <w:r w:rsidRPr="00347B4C">
        <w:t>;</w:t>
      </w:r>
    </w:p>
    <w:p w14:paraId="3BED9A5A" w14:textId="77777777" w:rsidR="004A38D0" w:rsidRPr="00347B4C" w:rsidRDefault="004A38D0" w:rsidP="004A38D0">
      <w:pPr>
        <w:pStyle w:val="NormalHanging12a"/>
        <w:rPr>
          <w:bCs/>
        </w:rPr>
      </w:pPr>
      <w:r w:rsidRPr="00347B4C">
        <w:t>E.</w:t>
      </w:r>
      <w:r w:rsidRPr="00347B4C">
        <w:tab/>
        <w:t xml:space="preserve">vzhledem k tomu, že pracovní skupina UNWGAD prohlásila, že další věznění Ryana </w:t>
      </w:r>
      <w:proofErr w:type="spellStart"/>
      <w:r w:rsidRPr="00347B4C">
        <w:t>Corneliuse</w:t>
      </w:r>
      <w:proofErr w:type="spellEnd"/>
      <w:r w:rsidRPr="00347B4C">
        <w:t xml:space="preserve"> porušuje mezinárodní právo, a poukázala na absenci řádného soudního řízení, nucená přiznání, samovazbu, odepření právního zástupce a vynucené podepsání dokumentů v arabštině;</w:t>
      </w:r>
    </w:p>
    <w:p w14:paraId="2547458A" w14:textId="77777777" w:rsidR="004A38D0" w:rsidRPr="00347B4C" w:rsidRDefault="004A38D0" w:rsidP="004A38D0">
      <w:pPr>
        <w:pStyle w:val="NormalHanging12a"/>
      </w:pPr>
      <w:r w:rsidRPr="00347B4C">
        <w:t>F.</w:t>
      </w:r>
      <w:r w:rsidRPr="00347B4C">
        <w:tab/>
        <w:t xml:space="preserve">vzhledem k tomu, že Ryan </w:t>
      </w:r>
      <w:proofErr w:type="spellStart"/>
      <w:r w:rsidRPr="00347B4C">
        <w:t>Cornelius</w:t>
      </w:r>
      <w:proofErr w:type="spellEnd"/>
      <w:r w:rsidRPr="00347B4C">
        <w:t xml:space="preserve"> nepřestává být držen v nelidských vězeňských podmínkách, zhoršuje se jeho zdravotní stav a nemá řádný přístup ke zdravotní péči;</w:t>
      </w:r>
    </w:p>
    <w:p w14:paraId="3A43869D" w14:textId="77777777" w:rsidR="004A38D0" w:rsidRPr="00347B4C" w:rsidRDefault="004A38D0" w:rsidP="004A38D0">
      <w:pPr>
        <w:pStyle w:val="NormalHanging12a"/>
      </w:pPr>
      <w:r w:rsidRPr="00347B4C">
        <w:lastRenderedPageBreak/>
        <w:t>G.</w:t>
      </w:r>
      <w:r w:rsidRPr="00347B4C">
        <w:tab/>
        <w:t xml:space="preserve">vzhledem k tomu, že čl. 7 odst. 1 dubajského zákona č. 37 z roku 2009 stanoví, že odsouzená osoba (dlužník) nesmí být odsouzena k trestu odnětí svobody, pokud je starší 70 let; vzhledem k tomu, že Ryan </w:t>
      </w:r>
      <w:proofErr w:type="spellStart"/>
      <w:r w:rsidRPr="00347B4C">
        <w:t>Cornelius</w:t>
      </w:r>
      <w:proofErr w:type="spellEnd"/>
      <w:r w:rsidRPr="00347B4C">
        <w:t xml:space="preserve"> dosáhl 70 let v roce 2024, a proto by mu měla být podle tohoto zákona udělena výjimka;</w:t>
      </w:r>
    </w:p>
    <w:p w14:paraId="4B9019D0" w14:textId="77777777" w:rsidR="004A38D0" w:rsidRPr="00347B4C" w:rsidRDefault="004A38D0" w:rsidP="004A38D0">
      <w:pPr>
        <w:pStyle w:val="NormalHanging12a"/>
      </w:pPr>
      <w:r w:rsidRPr="00347B4C">
        <w:t>1.</w:t>
      </w:r>
      <w:r w:rsidRPr="00347B4C">
        <w:tab/>
        <w:t xml:space="preserve">odsuzuje svévolné, prodloužené zadržování Ryana </w:t>
      </w:r>
      <w:proofErr w:type="spellStart"/>
      <w:r w:rsidRPr="00347B4C">
        <w:t>Corneliuse</w:t>
      </w:r>
      <w:proofErr w:type="spellEnd"/>
      <w:r w:rsidRPr="00347B4C">
        <w:t xml:space="preserve"> a požaduje, aby byl on i všichni další svévolně zadržovaní okamžitě a bezpodmínečně propuštěni;</w:t>
      </w:r>
    </w:p>
    <w:p w14:paraId="723B262A" w14:textId="77777777" w:rsidR="004A38D0" w:rsidRPr="00347B4C" w:rsidRDefault="004A38D0" w:rsidP="004A38D0">
      <w:pPr>
        <w:pStyle w:val="NormalHanging12a"/>
      </w:pPr>
      <w:r w:rsidRPr="00347B4C">
        <w:t>2.</w:t>
      </w:r>
      <w:r w:rsidRPr="00347B4C">
        <w:tab/>
        <w:t>žádá, aby mu bylo přiznáno vymahatelné právo na odškodnění a další náhrady v souladu s mezinárodním právem;</w:t>
      </w:r>
    </w:p>
    <w:p w14:paraId="6233FEC9" w14:textId="77777777" w:rsidR="004A38D0" w:rsidRPr="00347B4C" w:rsidRDefault="004A38D0" w:rsidP="004A38D0">
      <w:pPr>
        <w:pStyle w:val="NormalHanging12a"/>
      </w:pPr>
      <w:r w:rsidRPr="00347B4C">
        <w:t>3.</w:t>
      </w:r>
      <w:r w:rsidRPr="00347B4C">
        <w:tab/>
        <w:t>naléhavě vyzývá dubajské orgány, aby mu poskytly přístup k odpovídající lékařské péči a léčbě v souladu s mezinárodními normami pro zacházení s vězni a aby zajistily nezávislé vyšetření jeho svévolného zadržování;</w:t>
      </w:r>
    </w:p>
    <w:p w14:paraId="7FC243A7" w14:textId="77777777" w:rsidR="004A38D0" w:rsidRPr="00347B4C" w:rsidRDefault="004A38D0" w:rsidP="004A38D0">
      <w:pPr>
        <w:pStyle w:val="NormalHanging12a"/>
      </w:pPr>
      <w:r w:rsidRPr="00347B4C">
        <w:t>4.</w:t>
      </w:r>
      <w:r w:rsidRPr="00347B4C">
        <w:tab/>
        <w:t xml:space="preserve">odsuzuje zpětné uplatňování zákona č. 37 z roku 2009 a naléhavě vyzývá Spojené arabské emiráty, aby zajišťovaly spravedlivý soudní proces a zrušily praxi věznění v souvislosti s dluhy; konstatuje, že Ryan </w:t>
      </w:r>
      <w:proofErr w:type="spellStart"/>
      <w:r w:rsidRPr="00347B4C">
        <w:t>Cornelius</w:t>
      </w:r>
      <w:proofErr w:type="spellEnd"/>
      <w:r w:rsidRPr="00347B4C">
        <w:t xml:space="preserve"> zůstává ve vězení navzdory tomu, že orgány zabavily majetek v hodnotě více než dvojnásobku jeho původního dluhu;</w:t>
      </w:r>
    </w:p>
    <w:p w14:paraId="5AAA4751" w14:textId="77777777" w:rsidR="004A38D0" w:rsidRPr="00347B4C" w:rsidRDefault="004A38D0" w:rsidP="004A38D0">
      <w:pPr>
        <w:pStyle w:val="NormalHanging12a"/>
      </w:pPr>
      <w:r w:rsidRPr="00347B4C">
        <w:t>5.</w:t>
      </w:r>
      <w:r w:rsidRPr="00347B4C">
        <w:tab/>
        <w:t>vyjadřuje solidaritu s jeho rodinou;</w:t>
      </w:r>
    </w:p>
    <w:p w14:paraId="517ECCC2" w14:textId="77777777" w:rsidR="004A38D0" w:rsidRPr="00347B4C" w:rsidRDefault="004A38D0" w:rsidP="004A38D0">
      <w:pPr>
        <w:pStyle w:val="NormalHanging12a"/>
      </w:pPr>
      <w:r w:rsidRPr="00347B4C">
        <w:t>6.</w:t>
      </w:r>
      <w:r w:rsidRPr="00347B4C">
        <w:tab/>
        <w:t xml:space="preserve">vyzývá Spojené království, aby přijalo veškerá opatření nezbytná k propuštění Ryana </w:t>
      </w:r>
      <w:proofErr w:type="spellStart"/>
      <w:r w:rsidRPr="00347B4C">
        <w:t>Corneliuse</w:t>
      </w:r>
      <w:proofErr w:type="spellEnd"/>
      <w:r w:rsidRPr="00347B4C">
        <w:t xml:space="preserve">; naléhavě vyzývá vysokou představitelku, místopředsedkyni Komise, zvláštní zástupkyni EU pro lidská práva, členské státy a delegaci EU ve Spojených arabských emirátech, aby na případ Ryana </w:t>
      </w:r>
      <w:proofErr w:type="spellStart"/>
      <w:r w:rsidRPr="00347B4C">
        <w:t>Corneliuse</w:t>
      </w:r>
      <w:proofErr w:type="spellEnd"/>
      <w:r w:rsidRPr="00347B4C">
        <w:t xml:space="preserve"> upozorňovaly při všech dvoustranných jednáních se Spojenými arabskými emiráty a aby důkladně sledovaly, za jakých podmínek je zadržován;</w:t>
      </w:r>
    </w:p>
    <w:p w14:paraId="0882229E" w14:textId="594B06C8" w:rsidR="00390040" w:rsidRPr="00347B4C" w:rsidRDefault="004A38D0" w:rsidP="00390040">
      <w:pPr>
        <w:pStyle w:val="NormalHanging12a"/>
      </w:pPr>
      <w:r w:rsidRPr="00347B4C">
        <w:t>7.</w:t>
      </w:r>
      <w:r w:rsidRPr="00347B4C">
        <w:tab/>
        <w:t>pověřuje svou předsedkyni, aby předala toto usnesení Komisi, Radě, vysoké představitelce, místopředsedkyni Komise, zvláštní zástupkyni EU pro lidská práva, členským státům, vládě Spojeného království a vládě Spojených arabských emirátů.</w:t>
      </w:r>
    </w:p>
    <w:p w14:paraId="1B7267B1" w14:textId="10E2825B" w:rsidR="00E365E1" w:rsidRPr="00347B4C" w:rsidRDefault="00E365E1" w:rsidP="003D2AE6"/>
    <w:sectPr w:rsidR="00E365E1" w:rsidRPr="00347B4C" w:rsidSect="00390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F8136" w14:textId="77777777" w:rsidR="003D2AE6" w:rsidRPr="00390040" w:rsidRDefault="003D2AE6">
      <w:r w:rsidRPr="00390040">
        <w:separator/>
      </w:r>
    </w:p>
  </w:endnote>
  <w:endnote w:type="continuationSeparator" w:id="0">
    <w:p w14:paraId="2312883C" w14:textId="77777777" w:rsidR="003D2AE6" w:rsidRPr="00390040" w:rsidRDefault="003D2AE6">
      <w:r w:rsidRPr="003900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944F" w14:textId="77777777" w:rsidR="00064002" w:rsidRPr="003900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ECB1E" w14:textId="77777777" w:rsidR="00064002" w:rsidRPr="003900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EBD47" w14:textId="77777777" w:rsidR="00064002" w:rsidRPr="003900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89C6B" w14:textId="77777777" w:rsidR="003D2AE6" w:rsidRPr="00390040" w:rsidRDefault="003D2AE6">
      <w:r w:rsidRPr="00390040">
        <w:separator/>
      </w:r>
    </w:p>
  </w:footnote>
  <w:footnote w:type="continuationSeparator" w:id="0">
    <w:p w14:paraId="0C0AA355" w14:textId="77777777" w:rsidR="003D2AE6" w:rsidRPr="00390040" w:rsidRDefault="003D2AE6">
      <w:r w:rsidRPr="003900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5662B" w14:textId="77777777" w:rsidR="00064002" w:rsidRPr="003900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66BA" w14:textId="77777777" w:rsidR="00064002" w:rsidRPr="003900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714A7" w14:textId="77777777" w:rsidR="00064002" w:rsidRPr="003900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2131116">
    <w:abstractNumId w:val="9"/>
  </w:num>
  <w:num w:numId="2" w16cid:durableId="1790582780">
    <w:abstractNumId w:val="9"/>
  </w:num>
  <w:num w:numId="3" w16cid:durableId="590311741">
    <w:abstractNumId w:val="7"/>
  </w:num>
  <w:num w:numId="4" w16cid:durableId="443960356">
    <w:abstractNumId w:val="7"/>
  </w:num>
  <w:num w:numId="5" w16cid:durableId="1977949096">
    <w:abstractNumId w:val="6"/>
  </w:num>
  <w:num w:numId="6" w16cid:durableId="1436634395">
    <w:abstractNumId w:val="6"/>
  </w:num>
  <w:num w:numId="7" w16cid:durableId="1244070709">
    <w:abstractNumId w:val="5"/>
  </w:num>
  <w:num w:numId="8" w16cid:durableId="227039873">
    <w:abstractNumId w:val="5"/>
  </w:num>
  <w:num w:numId="9" w16cid:durableId="1658805431">
    <w:abstractNumId w:val="4"/>
  </w:num>
  <w:num w:numId="10" w16cid:durableId="1736273784">
    <w:abstractNumId w:val="4"/>
  </w:num>
  <w:num w:numId="11" w16cid:durableId="1587107933">
    <w:abstractNumId w:val="8"/>
  </w:num>
  <w:num w:numId="12" w16cid:durableId="668019230">
    <w:abstractNumId w:val="8"/>
  </w:num>
  <w:num w:numId="13" w16cid:durableId="1797525477">
    <w:abstractNumId w:val="3"/>
  </w:num>
  <w:num w:numId="14" w16cid:durableId="954554866">
    <w:abstractNumId w:val="3"/>
  </w:num>
  <w:num w:numId="15" w16cid:durableId="2061318496">
    <w:abstractNumId w:val="2"/>
  </w:num>
  <w:num w:numId="16" w16cid:durableId="40792703">
    <w:abstractNumId w:val="2"/>
  </w:num>
  <w:num w:numId="17" w16cid:durableId="660013198">
    <w:abstractNumId w:val="1"/>
  </w:num>
  <w:num w:numId="18" w16cid:durableId="740366886">
    <w:abstractNumId w:val="1"/>
  </w:num>
  <w:num w:numId="19" w16cid:durableId="450981538">
    <w:abstractNumId w:val="0"/>
  </w:num>
  <w:num w:numId="20" w16cid:durableId="1614745039">
    <w:abstractNumId w:val="0"/>
  </w:num>
  <w:num w:numId="21" w16cid:durableId="1958103530">
    <w:abstractNumId w:val="9"/>
  </w:num>
  <w:num w:numId="22" w16cid:durableId="29915201">
    <w:abstractNumId w:val="7"/>
  </w:num>
  <w:num w:numId="23" w16cid:durableId="1606305573">
    <w:abstractNumId w:val="6"/>
  </w:num>
  <w:num w:numId="24" w16cid:durableId="1867985327">
    <w:abstractNumId w:val="5"/>
  </w:num>
  <w:num w:numId="25" w16cid:durableId="886456435">
    <w:abstractNumId w:val="4"/>
  </w:num>
  <w:num w:numId="26" w16cid:durableId="878250177">
    <w:abstractNumId w:val="8"/>
  </w:num>
  <w:num w:numId="27" w16cid:durableId="1545799514">
    <w:abstractNumId w:val="3"/>
  </w:num>
  <w:num w:numId="28" w16cid:durableId="1597253131">
    <w:abstractNumId w:val="2"/>
  </w:num>
  <w:num w:numId="29" w16cid:durableId="1992637216">
    <w:abstractNumId w:val="1"/>
  </w:num>
  <w:num w:numId="30" w16cid:durableId="1688360464">
    <w:abstractNumId w:val="0"/>
  </w:num>
  <w:num w:numId="31" w16cid:durableId="1741437135">
    <w:abstractNumId w:val="9"/>
  </w:num>
  <w:num w:numId="32" w16cid:durableId="1172910578">
    <w:abstractNumId w:val="7"/>
  </w:num>
  <w:num w:numId="33" w16cid:durableId="1396588924">
    <w:abstractNumId w:val="6"/>
  </w:num>
  <w:num w:numId="34" w16cid:durableId="1314944644">
    <w:abstractNumId w:val="5"/>
  </w:num>
  <w:num w:numId="35" w16cid:durableId="639657454">
    <w:abstractNumId w:val="4"/>
  </w:num>
  <w:num w:numId="36" w16cid:durableId="1400249941">
    <w:abstractNumId w:val="8"/>
  </w:num>
  <w:num w:numId="37" w16cid:durableId="1611357511">
    <w:abstractNumId w:val="3"/>
  </w:num>
  <w:num w:numId="38" w16cid:durableId="127213729">
    <w:abstractNumId w:val="2"/>
  </w:num>
  <w:num w:numId="39" w16cid:durableId="1566068144">
    <w:abstractNumId w:val="1"/>
  </w:num>
  <w:num w:numId="40" w16cid:durableId="599340969">
    <w:abstractNumId w:val="0"/>
  </w:num>
  <w:num w:numId="41" w16cid:durableId="119997801">
    <w:abstractNumId w:val="10"/>
  </w:num>
  <w:num w:numId="42" w16cid:durableId="1878396370">
    <w:abstractNumId w:val="10"/>
  </w:num>
  <w:num w:numId="43" w16cid:durableId="280695514">
    <w:abstractNumId w:val="10"/>
  </w:num>
  <w:num w:numId="44" w16cid:durableId="14501241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8/2025"/>
    <w:docVar w:name="dvlangue" w:val="CS"/>
    <w:docVar w:name="dvnumam" w:val="0"/>
    <w:docVar w:name="dvpe" w:val="774.024"/>
    <w:docVar w:name="dvtitre" w:val="Usnesení Evropského parlamentu ze dne 10. července 2025 o případu Ryana Corneliuse v Dubaji(2025/2796(RSP))"/>
  </w:docVars>
  <w:rsids>
    <w:rsidRoot w:val="003D2AE6"/>
    <w:rsid w:val="00002272"/>
    <w:rsid w:val="0006108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B4C"/>
    <w:rsid w:val="00357587"/>
    <w:rsid w:val="00361C00"/>
    <w:rsid w:val="00390040"/>
    <w:rsid w:val="00395FA1"/>
    <w:rsid w:val="003D2AE6"/>
    <w:rsid w:val="003E15D4"/>
    <w:rsid w:val="00411CCE"/>
    <w:rsid w:val="0041666E"/>
    <w:rsid w:val="00421060"/>
    <w:rsid w:val="00471C19"/>
    <w:rsid w:val="004867E3"/>
    <w:rsid w:val="00494A28"/>
    <w:rsid w:val="004A38D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87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34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FA67B"/>
  <w15:chartTrackingRefBased/>
  <w15:docId w15:val="{4A0480C3-F4F4-40E9-930E-E9CB65E3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38D0"/>
    <w:pPr>
      <w:spacing w:after="240"/>
      <w:ind w:left="567" w:hanging="567"/>
    </w:pPr>
  </w:style>
  <w:style w:type="paragraph" w:customStyle="1" w:styleId="EPComma">
    <w:name w:val="EPComma"/>
    <w:basedOn w:val="Normal"/>
    <w:rsid w:val="004A38D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A38D0"/>
    <w:rPr>
      <w:sz w:val="24"/>
      <w:lang w:val="cs-CZ"/>
    </w:rPr>
  </w:style>
  <w:style w:type="paragraph" w:styleId="Revision">
    <w:name w:val="Revision"/>
    <w:hidden/>
    <w:uiPriority w:val="99"/>
    <w:semiHidden/>
    <w:rsid w:val="00F9434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2025-07-10T10:24:00Z</dcterms:created>
  <dcterms:modified xsi:type="dcterms:W3CDTF">2025-07-10T10:24:00Z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B10-0328/2025</vt:lpwstr>
  </property>
  <property fmtid="{D5CDD505-2E9C-101B-9397-08002B2CF9AE}" pid="4" name="&lt;Type&gt;">
    <vt:lpwstr>RR</vt:lpwstr>
  </property>
</Properties>
</file>