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402D" w14:paraId="63BDFE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DA88B6" w14:textId="77777777" w:rsidR="00751A4A" w:rsidRPr="0032402D" w:rsidRDefault="00F47658" w:rsidP="0010095E">
            <w:pPr>
              <w:pStyle w:val="EPName"/>
            </w:pPr>
            <w:r w:rsidRPr="0032402D">
              <w:t>Evropský parlament</w:t>
            </w:r>
          </w:p>
          <w:p w14:paraId="46BB8C74" w14:textId="77777777" w:rsidR="00751A4A" w:rsidRPr="003240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402D">
              <w:t>2024</w:t>
            </w:r>
            <w:r w:rsidR="00817416" w:rsidRPr="0032402D">
              <w:t>-202</w:t>
            </w:r>
            <w:r w:rsidRPr="0032402D">
              <w:t>9</w:t>
            </w:r>
          </w:p>
        </w:tc>
        <w:tc>
          <w:tcPr>
            <w:tcW w:w="2268" w:type="dxa"/>
            <w:shd w:val="clear" w:color="auto" w:fill="auto"/>
          </w:tcPr>
          <w:p w14:paraId="24080BEB" w14:textId="77777777" w:rsidR="00751A4A" w:rsidRPr="0032402D" w:rsidRDefault="00187494" w:rsidP="0010095E">
            <w:pPr>
              <w:pStyle w:val="EPLogo"/>
            </w:pPr>
            <w:r w:rsidRPr="0032402D">
              <w:rPr>
                <w:noProof/>
                <w:lang w:eastAsia="ja-JP"/>
              </w:rPr>
              <w:drawing>
                <wp:inline distT="0" distB="0" distL="0" distR="0" wp14:anchorId="77FE6A51" wp14:editId="7641A3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E0178E" w14:textId="77777777" w:rsidR="00D058B8" w:rsidRPr="0032402D" w:rsidRDefault="00D058B8" w:rsidP="004C5D52">
      <w:pPr>
        <w:pStyle w:val="LineTop"/>
      </w:pPr>
    </w:p>
    <w:p w14:paraId="51F45ADB" w14:textId="77777777" w:rsidR="00680577" w:rsidRPr="0032402D" w:rsidRDefault="00F47658" w:rsidP="00680577">
      <w:pPr>
        <w:pStyle w:val="EPBodyTA1"/>
      </w:pPr>
      <w:r w:rsidRPr="0032402D">
        <w:t>PŘIJATÉ TEXTY</w:t>
      </w:r>
    </w:p>
    <w:p w14:paraId="264E6D36" w14:textId="77777777" w:rsidR="00D058B8" w:rsidRPr="0032402D" w:rsidRDefault="00D058B8" w:rsidP="00D058B8">
      <w:pPr>
        <w:pStyle w:val="LineBottom"/>
      </w:pPr>
    </w:p>
    <w:p w14:paraId="29C06871" w14:textId="66B98625" w:rsidR="00F47658" w:rsidRPr="0032402D" w:rsidRDefault="00F47658" w:rsidP="00F47658">
      <w:pPr>
        <w:pStyle w:val="ATHeading1"/>
      </w:pPr>
      <w:bookmarkStart w:id="0" w:name="TANumber"/>
      <w:r w:rsidRPr="0032402D">
        <w:t>P10_TA(2025)0</w:t>
      </w:r>
      <w:r w:rsidR="003349EF">
        <w:t>164</w:t>
      </w:r>
      <w:bookmarkEnd w:id="0"/>
    </w:p>
    <w:p w14:paraId="557376E4" w14:textId="77777777" w:rsidR="00F47658" w:rsidRPr="0032402D" w:rsidRDefault="00F47658" w:rsidP="00F47658">
      <w:pPr>
        <w:pStyle w:val="ATHeading2"/>
      </w:pPr>
      <w:bookmarkStart w:id="1" w:name="title"/>
      <w:r w:rsidRPr="0032402D">
        <w:t>Změna nařízení (EU) 2023/1542, pokud jde o povinnosti hospodářských subjektů ohledně politik náležité péče týkající se baterií</w:t>
      </w:r>
      <w:bookmarkEnd w:id="1"/>
    </w:p>
    <w:p w14:paraId="49A4D960" w14:textId="77777777" w:rsidR="00F47658" w:rsidRPr="0032402D" w:rsidRDefault="00F47658" w:rsidP="00F47658">
      <w:pPr>
        <w:rPr>
          <w:i/>
          <w:vanish/>
        </w:rPr>
      </w:pPr>
      <w:r w:rsidRPr="0032402D">
        <w:rPr>
          <w:i/>
        </w:rPr>
        <w:fldChar w:fldCharType="begin"/>
      </w:r>
      <w:r w:rsidRPr="0032402D">
        <w:rPr>
          <w:i/>
        </w:rPr>
        <w:instrText xml:space="preserve"> TC"(</w:instrText>
      </w:r>
      <w:bookmarkStart w:id="2" w:name="DocNumber"/>
      <w:r w:rsidRPr="0032402D">
        <w:rPr>
          <w:i/>
        </w:rPr>
        <w:instrText>A10-0134/2025</w:instrText>
      </w:r>
      <w:bookmarkEnd w:id="2"/>
      <w:r w:rsidRPr="0032402D">
        <w:rPr>
          <w:i/>
        </w:rPr>
        <w:instrText xml:space="preserve"> - Zpravodaj: Antonio </w:instrText>
      </w:r>
      <w:proofErr w:type="spellStart"/>
      <w:r w:rsidRPr="0032402D">
        <w:rPr>
          <w:i/>
        </w:rPr>
        <w:instrText>Decaro</w:instrText>
      </w:r>
      <w:proofErr w:type="spellEnd"/>
      <w:r w:rsidRPr="0032402D">
        <w:rPr>
          <w:i/>
        </w:rPr>
        <w:instrText xml:space="preserve">)"\l3 \n&gt; \* MERGEFORMAT </w:instrText>
      </w:r>
      <w:r w:rsidRPr="0032402D">
        <w:rPr>
          <w:i/>
        </w:rPr>
        <w:fldChar w:fldCharType="end"/>
      </w:r>
    </w:p>
    <w:p w14:paraId="54341BD4" w14:textId="77777777" w:rsidR="00F47658" w:rsidRPr="0032402D" w:rsidRDefault="00F47658" w:rsidP="00F47658">
      <w:pPr>
        <w:rPr>
          <w:vanish/>
        </w:rPr>
      </w:pPr>
      <w:bookmarkStart w:id="3" w:name="Commission"/>
      <w:r w:rsidRPr="0032402D">
        <w:rPr>
          <w:vanish/>
        </w:rPr>
        <w:t>Výbor pro životní prostředí, klima a bezpečnost potravin</w:t>
      </w:r>
      <w:bookmarkEnd w:id="3"/>
    </w:p>
    <w:p w14:paraId="6E1C79B1" w14:textId="77777777" w:rsidR="00F47658" w:rsidRPr="0032402D" w:rsidRDefault="00F47658" w:rsidP="00F47658">
      <w:pPr>
        <w:rPr>
          <w:vanish/>
        </w:rPr>
      </w:pPr>
      <w:bookmarkStart w:id="4" w:name="PE"/>
      <w:r w:rsidRPr="0032402D">
        <w:rPr>
          <w:vanish/>
        </w:rPr>
        <w:t>PE775.519</w:t>
      </w:r>
      <w:bookmarkEnd w:id="4"/>
    </w:p>
    <w:p w14:paraId="557567CC" w14:textId="77777777" w:rsidR="00F47658" w:rsidRPr="0032402D" w:rsidRDefault="00F47658" w:rsidP="00F47658">
      <w:pPr>
        <w:pStyle w:val="ATHeading3"/>
      </w:pPr>
      <w:bookmarkStart w:id="5" w:name="Sujet"/>
      <w:r w:rsidRPr="0032402D">
        <w:t>Legislativní usnesení Evropského parlamentu ze dne 10. července 2025 o návrhu nařízení Evropského parlamentu a Rady, kterým se mění nařízení (EU) 2023/1542, pokud jde o povinnosti hospodářských subjektů ohledně politik náležité péče týkající se baterií</w:t>
      </w:r>
      <w:bookmarkEnd w:id="5"/>
      <w:r w:rsidRPr="0032402D">
        <w:t xml:space="preserve"> </w:t>
      </w:r>
      <w:bookmarkStart w:id="6" w:name="References"/>
      <w:r w:rsidRPr="0032402D">
        <w:t>(</w:t>
      </w:r>
      <w:proofErr w:type="gramStart"/>
      <w:r w:rsidRPr="0032402D">
        <w:t>COM(</w:t>
      </w:r>
      <w:proofErr w:type="gramEnd"/>
      <w:r w:rsidRPr="0032402D">
        <w:t>2025)0258 – C10-0089/2025 – 2025/0129(COD))</w:t>
      </w:r>
      <w:bookmarkEnd w:id="6"/>
    </w:p>
    <w:p w14:paraId="141BD78D" w14:textId="77777777" w:rsidR="00F47658" w:rsidRPr="0032402D" w:rsidRDefault="00F47658" w:rsidP="00F47658"/>
    <w:p w14:paraId="3E390CE7" w14:textId="77777777" w:rsidR="00F62AAA" w:rsidRPr="0032402D" w:rsidRDefault="00F62AAA" w:rsidP="00F62AAA">
      <w:pPr>
        <w:pStyle w:val="NormalBold"/>
      </w:pPr>
      <w:bookmarkStart w:id="7" w:name="TextBodyBegin"/>
      <w:bookmarkEnd w:id="7"/>
      <w:r w:rsidRPr="0032402D">
        <w:t>(Řádný legislativní postup: první čtení)</w:t>
      </w:r>
    </w:p>
    <w:p w14:paraId="2DB0DD46" w14:textId="77777777" w:rsidR="00F62AAA" w:rsidRPr="0032402D" w:rsidRDefault="00F62AAA" w:rsidP="00F62AAA">
      <w:pPr>
        <w:pStyle w:val="EPComma"/>
      </w:pPr>
      <w:r w:rsidRPr="0032402D">
        <w:rPr>
          <w:i/>
        </w:rPr>
        <w:t>Evropský parlament</w:t>
      </w:r>
      <w:r w:rsidRPr="0032402D">
        <w:t>,</w:t>
      </w:r>
    </w:p>
    <w:p w14:paraId="75259AB9" w14:textId="77777777" w:rsidR="00F62AAA" w:rsidRPr="0032402D" w:rsidRDefault="00F62AAA" w:rsidP="00F62AAA">
      <w:pPr>
        <w:pStyle w:val="NormalHanging12a"/>
      </w:pPr>
      <w:r w:rsidRPr="0032402D">
        <w:t>–</w:t>
      </w:r>
      <w:r w:rsidRPr="0032402D">
        <w:tab/>
        <w:t>s ohledem na návrh Komise předložený Evropskému parlamentu a Radě (</w:t>
      </w:r>
      <w:proofErr w:type="gramStart"/>
      <w:r w:rsidRPr="0032402D">
        <w:t>COM(</w:t>
      </w:r>
      <w:proofErr w:type="gramEnd"/>
      <w:r w:rsidRPr="0032402D">
        <w:t>2025)0258),</w:t>
      </w:r>
    </w:p>
    <w:p w14:paraId="3EAD924F" w14:textId="0624CBBB" w:rsidR="00F62AAA" w:rsidRPr="0032402D" w:rsidRDefault="00F62AAA" w:rsidP="00F62AAA">
      <w:pPr>
        <w:pStyle w:val="NormalHanging12a"/>
      </w:pPr>
      <w:r w:rsidRPr="0032402D">
        <w:t>–</w:t>
      </w:r>
      <w:r w:rsidRPr="0032402D">
        <w:tab/>
        <w:t>s ohledem na čl. 294 odst. 2 a článek 114 Smlouvy o fungování Evropské unie, v </w:t>
      </w:r>
      <w:proofErr w:type="gramStart"/>
      <w:r w:rsidRPr="0032402D">
        <w:t>souladu</w:t>
      </w:r>
      <w:proofErr w:type="gramEnd"/>
      <w:r w:rsidRPr="0032402D">
        <w:t xml:space="preserve"> s</w:t>
      </w:r>
      <w:r w:rsidR="00992E21">
        <w:t>e</w:t>
      </w:r>
      <w:r w:rsidRPr="0032402D">
        <w:t xml:space="preserve"> </w:t>
      </w:r>
      <w:r w:rsidR="00992E21">
        <w:t>kterými</w:t>
      </w:r>
      <w:r w:rsidRPr="0032402D">
        <w:t xml:space="preserve"> Komise předložila svůj návrh Parlamentu (C10</w:t>
      </w:r>
      <w:r w:rsidRPr="0032402D">
        <w:noBreakHyphen/>
        <w:t>0089/2025),</w:t>
      </w:r>
    </w:p>
    <w:p w14:paraId="23D2B825" w14:textId="77777777" w:rsidR="00F62AAA" w:rsidRPr="0032402D" w:rsidRDefault="00F62AAA" w:rsidP="00F62AAA">
      <w:pPr>
        <w:pStyle w:val="NormalHanging12a"/>
      </w:pPr>
      <w:r w:rsidRPr="0032402D">
        <w:t>–</w:t>
      </w:r>
      <w:r w:rsidRPr="0032402D">
        <w:tab/>
        <w:t>s ohledem na čl. 294 odst. 3 Smlouvy o fungování Evropské unie,</w:t>
      </w:r>
    </w:p>
    <w:p w14:paraId="65EF15F1" w14:textId="77777777" w:rsidR="00F62AAA" w:rsidRPr="0032402D" w:rsidRDefault="00F62AAA" w:rsidP="00F62AAA">
      <w:pPr>
        <w:pStyle w:val="NormalHanging12a"/>
      </w:pPr>
      <w:r w:rsidRPr="0032402D">
        <w:t>–</w:t>
      </w:r>
      <w:r w:rsidRPr="0032402D">
        <w:tab/>
        <w:t>s ohledem na stanovisko Evropského hospodářského a sociálního výboru ze dne 18. června 2025</w:t>
      </w:r>
      <w:r w:rsidRPr="0032402D">
        <w:rPr>
          <w:rStyle w:val="FootnoteReference"/>
        </w:rPr>
        <w:footnoteReference w:id="1"/>
      </w:r>
      <w:r w:rsidRPr="0032402D">
        <w:t>,</w:t>
      </w:r>
    </w:p>
    <w:p w14:paraId="2029A8BA" w14:textId="77777777" w:rsidR="00F62AAA" w:rsidRPr="0032402D" w:rsidRDefault="00F62AAA" w:rsidP="00F62AAA">
      <w:pPr>
        <w:pStyle w:val="NormalHanging12a"/>
      </w:pPr>
      <w:r w:rsidRPr="0032402D">
        <w:t>–</w:t>
      </w:r>
      <w:r w:rsidRPr="0032402D">
        <w:tab/>
        <w:t>s ohledem na článek 60 jednacího řádu,</w:t>
      </w:r>
    </w:p>
    <w:p w14:paraId="793AA9CE" w14:textId="77777777" w:rsidR="00F62AAA" w:rsidRPr="0032402D" w:rsidRDefault="00F62AAA" w:rsidP="00F62AAA">
      <w:pPr>
        <w:pStyle w:val="NormalHanging12a"/>
      </w:pPr>
      <w:r w:rsidRPr="0032402D">
        <w:t>–</w:t>
      </w:r>
      <w:r w:rsidRPr="0032402D">
        <w:tab/>
        <w:t>s ohledem na zprávu Výboru pro životní prostředí, klima a bezpečnost potravin (A10</w:t>
      </w:r>
      <w:r w:rsidRPr="0032402D">
        <w:noBreakHyphen/>
        <w:t>0134/2025),</w:t>
      </w:r>
    </w:p>
    <w:p w14:paraId="5A91338D" w14:textId="17155D89" w:rsidR="00F62AAA" w:rsidRPr="0032402D" w:rsidRDefault="00F62AAA" w:rsidP="00F62AAA">
      <w:pPr>
        <w:pStyle w:val="NormalHanging12a"/>
      </w:pPr>
      <w:r w:rsidRPr="0032402D">
        <w:t>1.</w:t>
      </w:r>
      <w:r w:rsidRPr="0032402D">
        <w:tab/>
        <w:t xml:space="preserve">přijímá </w:t>
      </w:r>
      <w:r w:rsidR="00FD32A8">
        <w:t>níže uvedený</w:t>
      </w:r>
      <w:r w:rsidRPr="0032402D">
        <w:t xml:space="preserve"> postoj v prvním čtení;</w:t>
      </w:r>
    </w:p>
    <w:p w14:paraId="0F73A1D6" w14:textId="77777777" w:rsidR="00F62AAA" w:rsidRPr="0032402D" w:rsidRDefault="00F62AAA" w:rsidP="00F62AAA">
      <w:pPr>
        <w:pStyle w:val="NormalHanging12a"/>
      </w:pPr>
      <w:r w:rsidRPr="0032402D">
        <w:t>2.</w:t>
      </w:r>
      <w:r w:rsidRPr="0032402D">
        <w:tab/>
        <w:t>vyzývá Komisi, aby věc znovu postoupila Parlamentu, jestliže svůj návrh nahradí jiným textem, podstatně jej změní nebo má v úmyslu jej podstatně změnit;</w:t>
      </w:r>
    </w:p>
    <w:p w14:paraId="62143AA6" w14:textId="29B20778" w:rsidR="00D52BAC" w:rsidRPr="0032402D" w:rsidRDefault="00F62AAA" w:rsidP="00D52BAC">
      <w:pPr>
        <w:pStyle w:val="NormalHanging12a"/>
      </w:pPr>
      <w:r w:rsidRPr="0032402D">
        <w:t>3.</w:t>
      </w:r>
      <w:r w:rsidRPr="0032402D">
        <w:tab/>
        <w:t>pověřuje svou předsedkyni, aby předala postoj Parlamentu Radě</w:t>
      </w:r>
      <w:r w:rsidR="00992E21">
        <w:t xml:space="preserve"> a</w:t>
      </w:r>
      <w:r w:rsidRPr="0032402D">
        <w:t xml:space="preserve"> Komisi, jakož i </w:t>
      </w:r>
      <w:r w:rsidRPr="0032402D">
        <w:lastRenderedPageBreak/>
        <w:t>vnitrostátním parlamentům.</w:t>
      </w:r>
    </w:p>
    <w:p w14:paraId="36074122" w14:textId="77777777" w:rsidR="00F55790" w:rsidRDefault="00F55790" w:rsidP="00F47658">
      <w:pPr>
        <w:sectPr w:rsidR="00F55790" w:rsidSect="00D52B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953F4E" w14:textId="77777777" w:rsidR="00F55790" w:rsidRPr="00AD0FC9" w:rsidRDefault="00F55790" w:rsidP="00F5579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D0FC9">
        <w:rPr>
          <w:b/>
          <w:bCs/>
          <w:color w:val="000000"/>
        </w:rPr>
        <w:lastRenderedPageBreak/>
        <w:t>P10_TC1-</w:t>
      </w:r>
      <w:proofErr w:type="gramStart"/>
      <w:r w:rsidRPr="00AD0FC9">
        <w:rPr>
          <w:b/>
          <w:bCs/>
          <w:color w:val="000000"/>
        </w:rPr>
        <w:t>COD(</w:t>
      </w:r>
      <w:proofErr w:type="gramEnd"/>
      <w:r w:rsidRPr="00AD0FC9">
        <w:rPr>
          <w:b/>
          <w:bCs/>
          <w:color w:val="000000"/>
        </w:rPr>
        <w:t>2025)0129</w:t>
      </w:r>
    </w:p>
    <w:p w14:paraId="6B48FF04" w14:textId="1AE36CD9" w:rsidR="00F55790" w:rsidRDefault="00F55790" w:rsidP="00F55790">
      <w:pPr>
        <w:rPr>
          <w:rFonts w:eastAsia="Calibri"/>
          <w:b/>
          <w:noProof/>
          <w:szCs w:val="22"/>
          <w:lang w:eastAsia="en-US"/>
        </w:rPr>
      </w:pPr>
      <w:r w:rsidRPr="00F55790">
        <w:rPr>
          <w:b/>
          <w:bCs/>
        </w:rPr>
        <w:t xml:space="preserve">Postoj Evropského parlamentu přijatý v prvním čtení dne </w:t>
      </w:r>
      <w:r>
        <w:rPr>
          <w:b/>
          <w:bCs/>
        </w:rPr>
        <w:t>10. července</w:t>
      </w:r>
      <w:r w:rsidRPr="00F55790">
        <w:rPr>
          <w:b/>
          <w:bCs/>
        </w:rPr>
        <w:t xml:space="preserve"> 2025 k přijetí </w:t>
      </w:r>
      <w:r w:rsidRPr="00F55790">
        <w:rPr>
          <w:rFonts w:eastAsia="Calibri"/>
          <w:b/>
          <w:noProof/>
          <w:szCs w:val="22"/>
          <w:lang w:eastAsia="en-US"/>
        </w:rPr>
        <w:t xml:space="preserve">nařízení Evropského parlamentu a Rady </w:t>
      </w:r>
      <w:r w:rsidRPr="00D46B90">
        <w:rPr>
          <w:rFonts w:eastAsia="Calibri"/>
          <w:b/>
          <w:bCs/>
          <w:noProof/>
          <w:szCs w:val="24"/>
          <w:lang w:eastAsia="en-US"/>
        </w:rPr>
        <w:t>(EU) 2025/…</w:t>
      </w:r>
      <w:r w:rsidRPr="00F55790">
        <w:rPr>
          <w:rFonts w:eastAsia="Calibri"/>
          <w:b/>
          <w:noProof/>
          <w:szCs w:val="22"/>
          <w:lang w:eastAsia="en-US"/>
        </w:rPr>
        <w:t>,</w:t>
      </w:r>
      <w:r>
        <w:rPr>
          <w:rFonts w:eastAsia="Calibri"/>
          <w:b/>
          <w:noProof/>
          <w:szCs w:val="22"/>
          <w:lang w:eastAsia="en-US"/>
        </w:rPr>
        <w:t xml:space="preserve"> </w:t>
      </w:r>
      <w:r w:rsidRPr="00F55790">
        <w:rPr>
          <w:rFonts w:eastAsia="Calibri"/>
          <w:b/>
          <w:noProof/>
          <w:szCs w:val="22"/>
          <w:lang w:eastAsia="en-US"/>
        </w:rPr>
        <w:t>kterým se mění nařízení (EU) 2023/1542, pokud jde o povinnosti hospodářských subjektů ohledně politik náležité péče týkající se baterií</w:t>
      </w:r>
    </w:p>
    <w:p w14:paraId="78A4CDF0" w14:textId="5DD554EB" w:rsidR="002D6D59" w:rsidRDefault="002D6D59" w:rsidP="002D6D59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1561</w:t>
      </w:r>
      <w:r>
        <w:rPr>
          <w:i/>
        </w:rPr>
        <w:t>.)</w:t>
      </w:r>
    </w:p>
    <w:p w14:paraId="0F5C1C2D" w14:textId="77777777" w:rsidR="002D6D59" w:rsidRPr="00F55790" w:rsidRDefault="002D6D59" w:rsidP="002D6D59">
      <w:pPr>
        <w:spacing w:before="360"/>
        <w:rPr>
          <w:rFonts w:eastAsia="Calibri"/>
          <w:b/>
          <w:noProof/>
          <w:szCs w:val="22"/>
          <w:lang w:eastAsia="en-US"/>
        </w:rPr>
      </w:pPr>
    </w:p>
    <w:sectPr w:rsidR="002D6D59" w:rsidRPr="00F55790" w:rsidSect="00D52B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91B8A" w14:textId="77777777" w:rsidR="00F47658" w:rsidRPr="00D52BAC" w:rsidRDefault="00F47658">
      <w:r w:rsidRPr="00D52BAC">
        <w:separator/>
      </w:r>
    </w:p>
  </w:endnote>
  <w:endnote w:type="continuationSeparator" w:id="0">
    <w:p w14:paraId="427BA89C" w14:textId="77777777" w:rsidR="00F47658" w:rsidRPr="00D52BAC" w:rsidRDefault="00F47658">
      <w:r w:rsidRPr="00D52B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B9E7" w14:textId="77777777" w:rsidR="00064002" w:rsidRPr="00D52B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DF9B" w14:textId="77777777" w:rsidR="00064002" w:rsidRPr="00D52B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9998" w14:textId="77777777" w:rsidR="00064002" w:rsidRPr="00D52B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F67DB" w14:textId="77777777" w:rsidR="00F47658" w:rsidRPr="00D52BAC" w:rsidRDefault="00F47658">
      <w:r w:rsidRPr="00D52BAC">
        <w:separator/>
      </w:r>
    </w:p>
  </w:footnote>
  <w:footnote w:type="continuationSeparator" w:id="0">
    <w:p w14:paraId="04AED761" w14:textId="77777777" w:rsidR="00F47658" w:rsidRPr="00D52BAC" w:rsidRDefault="00F47658">
      <w:r w:rsidRPr="00D52BAC">
        <w:continuationSeparator/>
      </w:r>
    </w:p>
  </w:footnote>
  <w:footnote w:id="1">
    <w:p w14:paraId="7B5AA236" w14:textId="3B7C9985" w:rsidR="00F62AAA" w:rsidRPr="00D52BAC" w:rsidRDefault="00F62AAA" w:rsidP="00D52BAC">
      <w:pPr>
        <w:pStyle w:val="FootnoteText"/>
        <w:ind w:left="567" w:hanging="567"/>
        <w:rPr>
          <w:sz w:val="24"/>
          <w:lang w:val="cs-CZ"/>
        </w:rPr>
      </w:pPr>
      <w:r w:rsidRPr="00D52BAC">
        <w:rPr>
          <w:rStyle w:val="FootnoteReference"/>
          <w:sz w:val="24"/>
          <w:lang w:val="cs-CZ"/>
        </w:rPr>
        <w:footnoteRef/>
      </w:r>
      <w:r w:rsidR="00D52BAC" w:rsidRPr="00D52BAC">
        <w:rPr>
          <w:sz w:val="24"/>
          <w:lang w:val="cs-CZ"/>
        </w:rPr>
        <w:t xml:space="preserve"> </w:t>
      </w:r>
      <w:r w:rsidR="00D52BAC" w:rsidRPr="00D52BAC">
        <w:rPr>
          <w:sz w:val="24"/>
          <w:lang w:val="cs-CZ"/>
        </w:rPr>
        <w:tab/>
      </w:r>
      <w:r w:rsidRPr="00D52BAC">
        <w:rPr>
          <w:sz w:val="24"/>
          <w:lang w:val="cs-CZ"/>
        </w:rPr>
        <w:t>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86700" w14:textId="77777777" w:rsidR="00064002" w:rsidRPr="00D52B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B87D0" w14:textId="77777777" w:rsidR="00064002" w:rsidRPr="00D52B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80AF7" w14:textId="77777777" w:rsidR="00064002" w:rsidRPr="00D52B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2699543">
    <w:abstractNumId w:val="9"/>
  </w:num>
  <w:num w:numId="2" w16cid:durableId="602421965">
    <w:abstractNumId w:val="9"/>
  </w:num>
  <w:num w:numId="3" w16cid:durableId="826746023">
    <w:abstractNumId w:val="7"/>
  </w:num>
  <w:num w:numId="4" w16cid:durableId="1753240198">
    <w:abstractNumId w:val="7"/>
  </w:num>
  <w:num w:numId="5" w16cid:durableId="959458505">
    <w:abstractNumId w:val="6"/>
  </w:num>
  <w:num w:numId="6" w16cid:durableId="2047564189">
    <w:abstractNumId w:val="6"/>
  </w:num>
  <w:num w:numId="7" w16cid:durableId="1197891898">
    <w:abstractNumId w:val="5"/>
  </w:num>
  <w:num w:numId="8" w16cid:durableId="359863247">
    <w:abstractNumId w:val="5"/>
  </w:num>
  <w:num w:numId="9" w16cid:durableId="815532930">
    <w:abstractNumId w:val="4"/>
  </w:num>
  <w:num w:numId="10" w16cid:durableId="2102212001">
    <w:abstractNumId w:val="4"/>
  </w:num>
  <w:num w:numId="11" w16cid:durableId="120072272">
    <w:abstractNumId w:val="8"/>
  </w:num>
  <w:num w:numId="12" w16cid:durableId="819922755">
    <w:abstractNumId w:val="8"/>
  </w:num>
  <w:num w:numId="13" w16cid:durableId="157890744">
    <w:abstractNumId w:val="3"/>
  </w:num>
  <w:num w:numId="14" w16cid:durableId="122578333">
    <w:abstractNumId w:val="3"/>
  </w:num>
  <w:num w:numId="15" w16cid:durableId="1361668790">
    <w:abstractNumId w:val="2"/>
  </w:num>
  <w:num w:numId="16" w16cid:durableId="1125199827">
    <w:abstractNumId w:val="2"/>
  </w:num>
  <w:num w:numId="17" w16cid:durableId="363674457">
    <w:abstractNumId w:val="1"/>
  </w:num>
  <w:num w:numId="18" w16cid:durableId="346447422">
    <w:abstractNumId w:val="1"/>
  </w:num>
  <w:num w:numId="19" w16cid:durableId="1790776091">
    <w:abstractNumId w:val="0"/>
  </w:num>
  <w:num w:numId="20" w16cid:durableId="1343047605">
    <w:abstractNumId w:val="0"/>
  </w:num>
  <w:num w:numId="21" w16cid:durableId="282998260">
    <w:abstractNumId w:val="9"/>
  </w:num>
  <w:num w:numId="22" w16cid:durableId="1315991575">
    <w:abstractNumId w:val="7"/>
  </w:num>
  <w:num w:numId="23" w16cid:durableId="826432622">
    <w:abstractNumId w:val="6"/>
  </w:num>
  <w:num w:numId="24" w16cid:durableId="1990397565">
    <w:abstractNumId w:val="5"/>
  </w:num>
  <w:num w:numId="25" w16cid:durableId="1394890898">
    <w:abstractNumId w:val="4"/>
  </w:num>
  <w:num w:numId="26" w16cid:durableId="889539554">
    <w:abstractNumId w:val="8"/>
  </w:num>
  <w:num w:numId="27" w16cid:durableId="64955181">
    <w:abstractNumId w:val="3"/>
  </w:num>
  <w:num w:numId="28" w16cid:durableId="1455371526">
    <w:abstractNumId w:val="2"/>
  </w:num>
  <w:num w:numId="29" w16cid:durableId="1242715587">
    <w:abstractNumId w:val="1"/>
  </w:num>
  <w:num w:numId="30" w16cid:durableId="655646605">
    <w:abstractNumId w:val="0"/>
  </w:num>
  <w:num w:numId="31" w16cid:durableId="1074084271">
    <w:abstractNumId w:val="9"/>
  </w:num>
  <w:num w:numId="32" w16cid:durableId="153108613">
    <w:abstractNumId w:val="7"/>
  </w:num>
  <w:num w:numId="33" w16cid:durableId="587231982">
    <w:abstractNumId w:val="6"/>
  </w:num>
  <w:num w:numId="34" w16cid:durableId="312028524">
    <w:abstractNumId w:val="5"/>
  </w:num>
  <w:num w:numId="35" w16cid:durableId="1027222885">
    <w:abstractNumId w:val="4"/>
  </w:num>
  <w:num w:numId="36" w16cid:durableId="1742632077">
    <w:abstractNumId w:val="8"/>
  </w:num>
  <w:num w:numId="37" w16cid:durableId="1634823263">
    <w:abstractNumId w:val="3"/>
  </w:num>
  <w:num w:numId="38" w16cid:durableId="1294750990">
    <w:abstractNumId w:val="2"/>
  </w:num>
  <w:num w:numId="39" w16cid:durableId="1105611996">
    <w:abstractNumId w:val="1"/>
  </w:num>
  <w:num w:numId="40" w16cid:durableId="343173338">
    <w:abstractNumId w:val="0"/>
  </w:num>
  <w:num w:numId="41" w16cid:durableId="16469042">
    <w:abstractNumId w:val="10"/>
  </w:num>
  <w:num w:numId="42" w16cid:durableId="616908832">
    <w:abstractNumId w:val="10"/>
  </w:num>
  <w:num w:numId="43" w16cid:durableId="2118793116">
    <w:abstractNumId w:val="10"/>
  </w:num>
  <w:num w:numId="44" w16cid:durableId="972147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4/2025"/>
    <w:docVar w:name="dvlangue" w:val="CS"/>
    <w:docVar w:name="dvnumam" w:val="0"/>
    <w:docVar w:name="dvpe" w:val="775.519"/>
    <w:docVar w:name="dvrapporteur" w:val="Zpravodaj: "/>
    <w:docVar w:name="dvstar" w:val="***I"/>
    <w:docVar w:name="dvtitre" w:val="Legislativní usnesení Evropského parlamentu ze dne 10. července 2025 o návrhu nařízení Evropského parlamentu a Rady, kterým se mění nařízení (EU) 2023/1542, pokud jde o povinnosti hospodářských subjektů ohledně politik náležité péče týkající se baterií(COM(2025)0258 – C10-0089/2025 – 2025/0129(COD))"/>
  </w:docVars>
  <w:rsids>
    <w:rsidRoot w:val="00F47658"/>
    <w:rsid w:val="00002272"/>
    <w:rsid w:val="0006108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B25"/>
    <w:rsid w:val="002767FF"/>
    <w:rsid w:val="002A475D"/>
    <w:rsid w:val="002B18FE"/>
    <w:rsid w:val="002B5493"/>
    <w:rsid w:val="002D5689"/>
    <w:rsid w:val="002D6D59"/>
    <w:rsid w:val="0032402D"/>
    <w:rsid w:val="003349EF"/>
    <w:rsid w:val="00343214"/>
    <w:rsid w:val="00361C00"/>
    <w:rsid w:val="00395FA1"/>
    <w:rsid w:val="003E15D4"/>
    <w:rsid w:val="00411CCE"/>
    <w:rsid w:val="0041666E"/>
    <w:rsid w:val="00421060"/>
    <w:rsid w:val="004416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2AF"/>
    <w:rsid w:val="006F74FA"/>
    <w:rsid w:val="007061A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E2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1B8"/>
    <w:rsid w:val="00C941CB"/>
    <w:rsid w:val="00CC2357"/>
    <w:rsid w:val="00CF071A"/>
    <w:rsid w:val="00D058B8"/>
    <w:rsid w:val="00D46B90"/>
    <w:rsid w:val="00D52BAC"/>
    <w:rsid w:val="00D56C11"/>
    <w:rsid w:val="00D834A0"/>
    <w:rsid w:val="00D872DF"/>
    <w:rsid w:val="00D91E21"/>
    <w:rsid w:val="00DA7FCD"/>
    <w:rsid w:val="00DC2103"/>
    <w:rsid w:val="00E365E1"/>
    <w:rsid w:val="00E820A4"/>
    <w:rsid w:val="00E97983"/>
    <w:rsid w:val="00EB006A"/>
    <w:rsid w:val="00EB4772"/>
    <w:rsid w:val="00ED169E"/>
    <w:rsid w:val="00ED4235"/>
    <w:rsid w:val="00F04346"/>
    <w:rsid w:val="00F075DC"/>
    <w:rsid w:val="00F149E9"/>
    <w:rsid w:val="00F47658"/>
    <w:rsid w:val="00F5134D"/>
    <w:rsid w:val="00F55790"/>
    <w:rsid w:val="00F62AAA"/>
    <w:rsid w:val="00F74202"/>
    <w:rsid w:val="00F87713"/>
    <w:rsid w:val="00FB4360"/>
    <w:rsid w:val="00FD0C70"/>
    <w:rsid w:val="00FD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298DF"/>
  <w15:chartTrackingRefBased/>
  <w15:docId w15:val="{286FFA3F-71F2-489B-B901-83B3A18D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2AAA"/>
    <w:pPr>
      <w:spacing w:before="480" w:after="240"/>
    </w:pPr>
  </w:style>
  <w:style w:type="paragraph" w:customStyle="1" w:styleId="NormalBold">
    <w:name w:val="NormalBold"/>
    <w:basedOn w:val="Normal"/>
    <w:rsid w:val="00F62AAA"/>
    <w:rPr>
      <w:b/>
    </w:rPr>
  </w:style>
  <w:style w:type="paragraph" w:customStyle="1" w:styleId="NormalHanging12a">
    <w:name w:val="NormalHanging12a"/>
    <w:basedOn w:val="Normal"/>
    <w:rsid w:val="00F62AA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741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1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41B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7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41B8"/>
    <w:rPr>
      <w:b/>
      <w:bCs/>
      <w:lang w:val="cs-CZ"/>
    </w:rPr>
  </w:style>
  <w:style w:type="paragraph" w:styleId="Revision">
    <w:name w:val="Revision"/>
    <w:hidden/>
    <w:uiPriority w:val="99"/>
    <w:semiHidden/>
    <w:rsid w:val="00992E21"/>
    <w:rPr>
      <w:sz w:val="24"/>
      <w:lang w:val="cs-CZ"/>
    </w:rPr>
  </w:style>
  <w:style w:type="character" w:customStyle="1" w:styleId="Hyperlink1">
    <w:name w:val="Hyperlink1"/>
    <w:basedOn w:val="DefaultParagraphFont"/>
    <w:uiPriority w:val="99"/>
    <w:unhideWhenUsed/>
    <w:rsid w:val="00F5579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2025-10-21T11:17:00Z</dcterms:created>
  <dcterms:modified xsi:type="dcterms:W3CDTF">2025-10-21T11:17:00Z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