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78C7" w14:paraId="3F392B4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AEF198" w14:textId="77777777" w:rsidR="00751A4A" w:rsidRPr="007778C7" w:rsidRDefault="00DB75BE" w:rsidP="0010095E">
            <w:pPr>
              <w:pStyle w:val="EPName"/>
            </w:pPr>
            <w:r w:rsidRPr="007778C7">
              <w:t>Europa-Parlamentet</w:t>
            </w:r>
          </w:p>
          <w:p w14:paraId="32774DD4" w14:textId="77777777" w:rsidR="00751A4A" w:rsidRPr="007778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78C7">
              <w:t>2024</w:t>
            </w:r>
            <w:r w:rsidR="00817416" w:rsidRPr="007778C7">
              <w:t>-202</w:t>
            </w:r>
            <w:r w:rsidRPr="007778C7">
              <w:t>9</w:t>
            </w:r>
          </w:p>
        </w:tc>
        <w:tc>
          <w:tcPr>
            <w:tcW w:w="2268" w:type="dxa"/>
            <w:shd w:val="clear" w:color="auto" w:fill="auto"/>
          </w:tcPr>
          <w:p w14:paraId="25F1904A" w14:textId="77777777" w:rsidR="00751A4A" w:rsidRPr="007778C7" w:rsidRDefault="00187494" w:rsidP="0010095E">
            <w:pPr>
              <w:pStyle w:val="EPLogo"/>
            </w:pPr>
            <w:r w:rsidRPr="007778C7">
              <w:rPr>
                <w:noProof/>
                <w:lang w:val="en-GB"/>
              </w:rPr>
              <w:drawing>
                <wp:inline distT="0" distB="0" distL="0" distR="0" wp14:anchorId="3F082A70" wp14:editId="3750DD8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3EAFDF" w14:textId="77777777" w:rsidR="00D058B8" w:rsidRPr="007778C7" w:rsidRDefault="00D058B8" w:rsidP="004C5D52">
      <w:pPr>
        <w:pStyle w:val="LineTop"/>
      </w:pPr>
    </w:p>
    <w:p w14:paraId="72EDA665" w14:textId="77777777" w:rsidR="00680577" w:rsidRPr="007778C7" w:rsidRDefault="00DB75BE" w:rsidP="00680577">
      <w:pPr>
        <w:pStyle w:val="EPBodyTA1"/>
      </w:pPr>
      <w:r w:rsidRPr="007778C7">
        <w:t>VEDTAGNE TEKSTER</w:t>
      </w:r>
    </w:p>
    <w:p w14:paraId="22156D39" w14:textId="77777777" w:rsidR="00D058B8" w:rsidRPr="007778C7" w:rsidRDefault="00D058B8" w:rsidP="00D058B8">
      <w:pPr>
        <w:pStyle w:val="LineBottom"/>
      </w:pPr>
    </w:p>
    <w:p w14:paraId="2B0BF95A" w14:textId="77777777" w:rsidR="00DB75BE" w:rsidRPr="007778C7" w:rsidRDefault="00DB75BE" w:rsidP="00DB75BE">
      <w:pPr>
        <w:pStyle w:val="ATHeading1"/>
      </w:pPr>
      <w:bookmarkStart w:id="0" w:name="TANumber"/>
      <w:r w:rsidRPr="007778C7">
        <w:t>P10_TA(2025)0</w:t>
      </w:r>
      <w:r w:rsidR="00D40A53">
        <w:t>164</w:t>
      </w:r>
      <w:bookmarkEnd w:id="0"/>
    </w:p>
    <w:p w14:paraId="0569BCC7" w14:textId="77777777" w:rsidR="00DB75BE" w:rsidRPr="007778C7" w:rsidRDefault="00DB75BE" w:rsidP="00DB75BE">
      <w:pPr>
        <w:pStyle w:val="ATHeading2"/>
      </w:pPr>
      <w:bookmarkStart w:id="1" w:name="title"/>
      <w:r w:rsidRPr="007778C7">
        <w:t>Ændring af forordning (EU) 2023/1542 for så vidt angår erhvervsdrivendes forpligtelser for så vidt angår due diligence-politikker vedrørende batterier</w:t>
      </w:r>
      <w:bookmarkEnd w:id="1"/>
    </w:p>
    <w:p w14:paraId="447BD1EB" w14:textId="77777777" w:rsidR="00DB75BE" w:rsidRPr="007778C7" w:rsidRDefault="00DB75BE" w:rsidP="00DB75BE">
      <w:pPr>
        <w:rPr>
          <w:i/>
          <w:vanish/>
        </w:rPr>
      </w:pPr>
      <w:r w:rsidRPr="007778C7">
        <w:rPr>
          <w:i/>
        </w:rPr>
        <w:fldChar w:fldCharType="begin"/>
      </w:r>
      <w:r w:rsidRPr="007778C7">
        <w:rPr>
          <w:i/>
        </w:rPr>
        <w:instrText xml:space="preserve"> TC"(</w:instrText>
      </w:r>
      <w:bookmarkStart w:id="2" w:name="DocNumber"/>
      <w:r w:rsidRPr="007778C7">
        <w:rPr>
          <w:i/>
        </w:rPr>
        <w:instrText>A10-0134/2025</w:instrText>
      </w:r>
      <w:bookmarkEnd w:id="2"/>
      <w:r w:rsidRPr="007778C7">
        <w:rPr>
          <w:i/>
        </w:rPr>
        <w:instrText xml:space="preserve"> - Ordfører: Antonio </w:instrText>
      </w:r>
      <w:proofErr w:type="spellStart"/>
      <w:r w:rsidRPr="007778C7">
        <w:rPr>
          <w:i/>
        </w:rPr>
        <w:instrText>Decaro</w:instrText>
      </w:r>
      <w:proofErr w:type="spellEnd"/>
      <w:r w:rsidRPr="007778C7">
        <w:rPr>
          <w:i/>
        </w:rPr>
        <w:instrText xml:space="preserve">)"\l3 \n&gt; \* MERGEFORMAT </w:instrText>
      </w:r>
      <w:r w:rsidRPr="007778C7">
        <w:rPr>
          <w:i/>
        </w:rPr>
        <w:fldChar w:fldCharType="end"/>
      </w:r>
    </w:p>
    <w:p w14:paraId="5D3103FA" w14:textId="77777777" w:rsidR="00DB75BE" w:rsidRPr="007778C7" w:rsidRDefault="00DB75BE" w:rsidP="00DB75BE">
      <w:pPr>
        <w:rPr>
          <w:vanish/>
        </w:rPr>
      </w:pPr>
      <w:bookmarkStart w:id="3" w:name="Commission"/>
      <w:r w:rsidRPr="007778C7">
        <w:rPr>
          <w:vanish/>
        </w:rPr>
        <w:t>Udvalget om Miljø, Klima og Fødevaresikkerhed</w:t>
      </w:r>
      <w:bookmarkEnd w:id="3"/>
    </w:p>
    <w:p w14:paraId="3C728555" w14:textId="77777777" w:rsidR="00DB75BE" w:rsidRPr="007778C7" w:rsidRDefault="00DB75BE" w:rsidP="00DB75BE">
      <w:pPr>
        <w:rPr>
          <w:vanish/>
        </w:rPr>
      </w:pPr>
      <w:bookmarkStart w:id="4" w:name="PE"/>
      <w:r w:rsidRPr="007778C7">
        <w:rPr>
          <w:vanish/>
        </w:rPr>
        <w:t>PE775.519</w:t>
      </w:r>
      <w:bookmarkEnd w:id="4"/>
    </w:p>
    <w:p w14:paraId="1071DCDB" w14:textId="77777777" w:rsidR="00DB75BE" w:rsidRPr="007778C7" w:rsidRDefault="00DB75BE" w:rsidP="00DB75BE">
      <w:pPr>
        <w:pStyle w:val="ATHeading3"/>
      </w:pPr>
      <w:bookmarkStart w:id="5" w:name="Sujet"/>
      <w:r w:rsidRPr="007778C7">
        <w:t xml:space="preserve">Europa-Parlamentets lovgivningsmæssige beslutning af </w:t>
      </w:r>
      <w:r w:rsidR="00DE2F68">
        <w:t>10</w:t>
      </w:r>
      <w:r w:rsidRPr="007778C7">
        <w:t>. juli 2025 om forslag til Europa-Parlamentets og Rådets forordning om ændring af forordning (EU) 2023/1542 for så vidt angår erhvervsdrivendes forpligtelser for så vidt angår due diligence-politikker vedrørende batterier</w:t>
      </w:r>
      <w:bookmarkEnd w:id="5"/>
      <w:r w:rsidRPr="007778C7">
        <w:t xml:space="preserve"> </w:t>
      </w:r>
      <w:bookmarkStart w:id="6" w:name="References"/>
      <w:r w:rsidRPr="007778C7">
        <w:t>(</w:t>
      </w:r>
      <w:proofErr w:type="gramStart"/>
      <w:r w:rsidRPr="007778C7">
        <w:t>COM(</w:t>
      </w:r>
      <w:proofErr w:type="gramEnd"/>
      <w:r w:rsidRPr="007778C7">
        <w:t>2025)0258 – C10-0089/2025 – 2025/0129(COD))</w:t>
      </w:r>
      <w:bookmarkEnd w:id="6"/>
    </w:p>
    <w:p w14:paraId="7B328244" w14:textId="77777777" w:rsidR="00DB75BE" w:rsidRPr="007778C7" w:rsidRDefault="00DB75BE" w:rsidP="00DB75BE"/>
    <w:p w14:paraId="5BBC5A32" w14:textId="77777777" w:rsidR="001644AA" w:rsidRPr="007778C7" w:rsidRDefault="001644AA" w:rsidP="001644AA">
      <w:pPr>
        <w:pStyle w:val="NormalBold"/>
      </w:pPr>
      <w:bookmarkStart w:id="7" w:name="TextBodyBegin"/>
      <w:bookmarkEnd w:id="7"/>
      <w:r w:rsidRPr="007778C7">
        <w:t>(Almindelig lovgivningsprocedure: førstebehandling)</w:t>
      </w:r>
    </w:p>
    <w:p w14:paraId="63DD14CA" w14:textId="77777777" w:rsidR="001644AA" w:rsidRPr="007778C7" w:rsidRDefault="001644AA" w:rsidP="001644AA">
      <w:pPr>
        <w:pStyle w:val="EPComma"/>
      </w:pPr>
      <w:r w:rsidRPr="007778C7">
        <w:rPr>
          <w:i/>
          <w:iCs/>
        </w:rPr>
        <w:t>Europa-Parlamentet,</w:t>
      </w:r>
    </w:p>
    <w:p w14:paraId="3373876A" w14:textId="77777777" w:rsidR="001644AA" w:rsidRPr="007778C7" w:rsidRDefault="001644AA" w:rsidP="001644AA">
      <w:pPr>
        <w:pStyle w:val="NormalHanging12a"/>
      </w:pPr>
      <w:r w:rsidRPr="007778C7">
        <w:t>–</w:t>
      </w:r>
      <w:r w:rsidRPr="007778C7">
        <w:tab/>
        <w:t>der henviser til Kommissionens forslag til Europa-Parlamentet og Rådet (</w:t>
      </w:r>
      <w:proofErr w:type="gramStart"/>
      <w:r w:rsidRPr="007778C7">
        <w:t>COM(</w:t>
      </w:r>
      <w:proofErr w:type="gramEnd"/>
      <w:r w:rsidRPr="007778C7">
        <w:t>2025)0258),</w:t>
      </w:r>
    </w:p>
    <w:p w14:paraId="721EB4E9" w14:textId="77777777" w:rsidR="001644AA" w:rsidRPr="007778C7" w:rsidRDefault="001644AA" w:rsidP="001644AA">
      <w:pPr>
        <w:pStyle w:val="NormalHanging12a"/>
      </w:pPr>
      <w:r w:rsidRPr="007778C7">
        <w:t>–</w:t>
      </w:r>
      <w:r w:rsidRPr="007778C7">
        <w:tab/>
        <w:t>der henviser til artikel 294, stk. 2, og artikel 114 i traktaten om Den Europæiske Unions funktionsmåde, på grundlag af hvilke Kommissionen har forelagt forslaget for Parlamentet (C10</w:t>
      </w:r>
      <w:r w:rsidRPr="007778C7">
        <w:noBreakHyphen/>
        <w:t>0089/2025),</w:t>
      </w:r>
    </w:p>
    <w:p w14:paraId="1F0F52D2" w14:textId="77777777" w:rsidR="001644AA" w:rsidRPr="007778C7" w:rsidRDefault="001644AA" w:rsidP="001644AA">
      <w:pPr>
        <w:pStyle w:val="NormalHanging12a"/>
      </w:pPr>
      <w:r w:rsidRPr="007778C7">
        <w:t>–</w:t>
      </w:r>
      <w:r w:rsidRPr="007778C7">
        <w:tab/>
        <w:t>der henviser til artikel 294, stk. 3, i traktaten om Den Europæiske Unions funktionsmåde,</w:t>
      </w:r>
    </w:p>
    <w:p w14:paraId="29E905A7" w14:textId="77777777" w:rsidR="001644AA" w:rsidRPr="007778C7" w:rsidRDefault="001644AA" w:rsidP="001644AA">
      <w:pPr>
        <w:pStyle w:val="NormalHanging12a"/>
      </w:pPr>
      <w:r w:rsidRPr="007778C7">
        <w:t>–</w:t>
      </w:r>
      <w:r w:rsidRPr="007778C7">
        <w:tab/>
        <w:t>der henviser til udtalelse af 18. juni 2025 fra Det Europæiske Økonomiske og Sociale Udvalg</w:t>
      </w:r>
      <w:r w:rsidRPr="007778C7">
        <w:rPr>
          <w:rStyle w:val="FootnoteReference"/>
        </w:rPr>
        <w:footnoteReference w:id="1"/>
      </w:r>
      <w:r w:rsidRPr="007778C7">
        <w:t>,</w:t>
      </w:r>
    </w:p>
    <w:p w14:paraId="6B8A9675" w14:textId="77777777" w:rsidR="001644AA" w:rsidRPr="007778C7" w:rsidRDefault="001644AA" w:rsidP="001644AA">
      <w:pPr>
        <w:pStyle w:val="NormalHanging12a"/>
      </w:pPr>
      <w:r w:rsidRPr="007778C7">
        <w:t>–</w:t>
      </w:r>
      <w:r w:rsidRPr="007778C7">
        <w:tab/>
        <w:t>der henviser til forretningsordenens artikel 60,</w:t>
      </w:r>
    </w:p>
    <w:p w14:paraId="3EBAE896" w14:textId="77777777" w:rsidR="001644AA" w:rsidRPr="007778C7" w:rsidRDefault="001644AA" w:rsidP="001644AA">
      <w:pPr>
        <w:pStyle w:val="NormalHanging12a"/>
      </w:pPr>
      <w:r w:rsidRPr="007778C7">
        <w:t>–</w:t>
      </w:r>
      <w:r w:rsidRPr="007778C7">
        <w:tab/>
        <w:t>der henviser til betænkning fra Udvalget om Miljø, Klima og Fødevaresikkerhed (A10-0134/2025),</w:t>
      </w:r>
    </w:p>
    <w:p w14:paraId="2379937E" w14:textId="77777777" w:rsidR="001644AA" w:rsidRPr="007778C7" w:rsidRDefault="001644AA" w:rsidP="001644AA">
      <w:pPr>
        <w:pStyle w:val="NormalHanging12a"/>
      </w:pPr>
      <w:r w:rsidRPr="007778C7">
        <w:t>1.</w:t>
      </w:r>
      <w:r w:rsidRPr="007778C7">
        <w:tab/>
        <w:t xml:space="preserve">vedtager </w:t>
      </w:r>
      <w:r w:rsidR="00DE2F68">
        <w:t>nedenstående</w:t>
      </w:r>
      <w:r w:rsidR="00DE2F68" w:rsidRPr="007778C7">
        <w:t xml:space="preserve"> </w:t>
      </w:r>
      <w:r w:rsidRPr="007778C7">
        <w:t>holdning ved førstebehandling;</w:t>
      </w:r>
    </w:p>
    <w:p w14:paraId="0A1C09D1" w14:textId="77777777" w:rsidR="001644AA" w:rsidRPr="007778C7" w:rsidRDefault="001644AA" w:rsidP="001644AA">
      <w:pPr>
        <w:pStyle w:val="NormalHanging12a"/>
      </w:pPr>
      <w:r w:rsidRPr="007778C7">
        <w:t>2.</w:t>
      </w:r>
      <w:r w:rsidRPr="007778C7">
        <w:tab/>
        <w:t xml:space="preserve">anmoder om fornyet forelæggelse, hvis Kommissionen erstatter, i væsentlig grad ændrer </w:t>
      </w:r>
      <w:r w:rsidRPr="007778C7">
        <w:lastRenderedPageBreak/>
        <w:t>eller agter i væsentlig grad at ændre sit forslag;</w:t>
      </w:r>
    </w:p>
    <w:p w14:paraId="70B13D83" w14:textId="77777777" w:rsidR="00DE2F68" w:rsidRDefault="00DE2F68" w:rsidP="00DE2F68">
      <w:pPr>
        <w:ind w:left="567" w:hanging="567"/>
        <w:sectPr w:rsidR="00DE2F68" w:rsidSect="007778C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>
        <w:t>3</w:t>
      </w:r>
      <w:r w:rsidR="001644AA" w:rsidRPr="007778C7">
        <w:t>.</w:t>
      </w:r>
      <w:r w:rsidR="001644AA" w:rsidRPr="007778C7">
        <w:tab/>
        <w:t>pålægger sin formand at sende Parlamentets holdning til Rådet og Kommissionen samt til de nationale parlamenter.</w:t>
      </w:r>
    </w:p>
    <w:p w14:paraId="5A91B955" w14:textId="77777777" w:rsidR="00DE2F68" w:rsidRPr="00DE2F68" w:rsidRDefault="00DE2F68" w:rsidP="00DE2F6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DE2F68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DE2F68">
        <w:rPr>
          <w:rFonts w:eastAsia="Calibri"/>
          <w:b/>
          <w:bCs/>
          <w:color w:val="000000"/>
        </w:rPr>
        <w:t>COD(</w:t>
      </w:r>
      <w:proofErr w:type="gramEnd"/>
      <w:r w:rsidRPr="00DE2F68">
        <w:rPr>
          <w:rFonts w:eastAsia="Calibri"/>
          <w:b/>
          <w:bCs/>
          <w:color w:val="000000"/>
        </w:rPr>
        <w:t>2025)0129</w:t>
      </w:r>
    </w:p>
    <w:p w14:paraId="237FDDB4" w14:textId="77777777" w:rsidR="00E365E1" w:rsidRDefault="00DE2F68" w:rsidP="00DE2F68">
      <w:pPr>
        <w:rPr>
          <w:rFonts w:eastAsia="Calibri"/>
          <w:b/>
          <w:noProof/>
          <w:szCs w:val="22"/>
        </w:rPr>
      </w:pPr>
      <w:r w:rsidRPr="00DE2F68">
        <w:rPr>
          <w:b/>
        </w:rPr>
        <w:t xml:space="preserve">Europa-Parlamentets holdning fastlagt ved førstebehandlingen den 10. juli 2025 med henblik på vedtagelse af Europa-Parlamentets og Rådets </w:t>
      </w:r>
      <w:r w:rsidRPr="00DE2F68">
        <w:rPr>
          <w:rFonts w:eastAsia="Calibri"/>
          <w:b/>
        </w:rPr>
        <w:t xml:space="preserve">forordning </w:t>
      </w:r>
      <w:r w:rsidRPr="00DE2F68">
        <w:rPr>
          <w:b/>
        </w:rPr>
        <w:t xml:space="preserve">(EU) </w:t>
      </w:r>
      <w:r w:rsidRPr="00DE2F68">
        <w:rPr>
          <w:rFonts w:eastAsia="Calibri"/>
          <w:b/>
        </w:rPr>
        <w:t>2025/…</w:t>
      </w:r>
      <w:r>
        <w:rPr>
          <w:rFonts w:eastAsia="Calibri"/>
          <w:b/>
        </w:rPr>
        <w:t xml:space="preserve"> </w:t>
      </w:r>
      <w:r w:rsidRPr="008C02CE">
        <w:rPr>
          <w:rFonts w:eastAsia="Calibri"/>
          <w:b/>
          <w:noProof/>
          <w:szCs w:val="22"/>
        </w:rPr>
        <w:t>om ændring af forordning (EU) 2023/1542 for så vidt angår erhvervsdrivendes forpligtelser for så vidt angår due diligence-politikker vedrørende batterier</w:t>
      </w:r>
    </w:p>
    <w:p w14:paraId="5BD2F69C" w14:textId="77777777" w:rsidR="005C1B01" w:rsidRDefault="005C1B01" w:rsidP="00DE2F68">
      <w:pPr>
        <w:rPr>
          <w:rFonts w:eastAsia="Calibri"/>
          <w:b/>
          <w:noProof/>
          <w:szCs w:val="22"/>
        </w:rPr>
      </w:pPr>
    </w:p>
    <w:p w14:paraId="78F47E9A" w14:textId="77777777" w:rsidR="005C1B01" w:rsidRDefault="005C1B01" w:rsidP="00F95CDF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  <w:bookmarkStart w:id="8" w:name="_GoBack"/>
      <w:bookmarkEnd w:id="8"/>
    </w:p>
    <w:p w14:paraId="56A9DF18" w14:textId="538CF0BB" w:rsidR="005C1B01" w:rsidRPr="00F95CDF" w:rsidRDefault="005C1B01" w:rsidP="00F95CDF">
      <w:pPr>
        <w:rPr>
          <w:i/>
        </w:rPr>
      </w:pPr>
      <w:r w:rsidRPr="00F95CDF">
        <w:rPr>
          <w:i/>
        </w:rPr>
        <w:t>(Eftersom der var indgået en aftale mellem Parlamentet og Rådet, svarer Parlamentets holdning til den endelige retsakt, forordning (EU) 202</w:t>
      </w:r>
      <w:r>
        <w:rPr>
          <w:i/>
        </w:rPr>
        <w:t>5</w:t>
      </w:r>
      <w:r w:rsidRPr="00F95CDF">
        <w:rPr>
          <w:i/>
        </w:rPr>
        <w:t>/1</w:t>
      </w:r>
      <w:r>
        <w:rPr>
          <w:i/>
        </w:rPr>
        <w:t>561</w:t>
      </w:r>
      <w:r w:rsidRPr="00F95CDF">
        <w:rPr>
          <w:i/>
        </w:rPr>
        <w:t>.)</w:t>
      </w:r>
    </w:p>
    <w:p w14:paraId="4DE06D04" w14:textId="77777777" w:rsidR="005C1B01" w:rsidRPr="00F95CDF" w:rsidRDefault="005C1B01" w:rsidP="00F95CDF">
      <w:pPr>
        <w:rPr>
          <w:lang w:eastAsia="en-US"/>
        </w:rPr>
      </w:pPr>
    </w:p>
    <w:sectPr w:rsidR="005C1B01" w:rsidRPr="00F95CDF" w:rsidSect="007778C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03B10" w14:textId="77777777" w:rsidR="00DB75BE" w:rsidRPr="007778C7" w:rsidRDefault="00DB75BE">
      <w:r w:rsidRPr="007778C7">
        <w:separator/>
      </w:r>
    </w:p>
  </w:endnote>
  <w:endnote w:type="continuationSeparator" w:id="0">
    <w:p w14:paraId="6AEBEA20" w14:textId="77777777" w:rsidR="00DB75BE" w:rsidRPr="007778C7" w:rsidRDefault="00DB75BE">
      <w:r w:rsidRPr="007778C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0D9F6" w14:textId="77777777" w:rsidR="00064002" w:rsidRPr="007778C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3C63D" w14:textId="77777777" w:rsidR="00064002" w:rsidRPr="007778C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28447" w14:textId="77777777" w:rsidR="00064002" w:rsidRPr="007778C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42E0B" w14:textId="77777777" w:rsidR="00DB75BE" w:rsidRPr="007778C7" w:rsidRDefault="00DB75BE">
      <w:r w:rsidRPr="007778C7">
        <w:separator/>
      </w:r>
    </w:p>
  </w:footnote>
  <w:footnote w:type="continuationSeparator" w:id="0">
    <w:p w14:paraId="6942F498" w14:textId="77777777" w:rsidR="00DB75BE" w:rsidRPr="007778C7" w:rsidRDefault="00DB75BE">
      <w:r w:rsidRPr="007778C7">
        <w:continuationSeparator/>
      </w:r>
    </w:p>
  </w:footnote>
  <w:footnote w:id="1">
    <w:p w14:paraId="29E8E17E" w14:textId="77777777" w:rsidR="001644AA" w:rsidRPr="007778C7" w:rsidRDefault="001644AA" w:rsidP="007778C7">
      <w:pPr>
        <w:pStyle w:val="FootnoteText"/>
        <w:ind w:left="567" w:hanging="567"/>
        <w:rPr>
          <w:sz w:val="24"/>
          <w:lang w:val="da-DK"/>
        </w:rPr>
      </w:pPr>
      <w:r w:rsidRPr="007778C7">
        <w:rPr>
          <w:rStyle w:val="FootnoteReference"/>
          <w:sz w:val="24"/>
          <w:lang w:val="da-DK"/>
        </w:rPr>
        <w:footnoteRef/>
      </w:r>
      <w:r w:rsidR="007778C7" w:rsidRPr="007778C7">
        <w:rPr>
          <w:sz w:val="24"/>
          <w:lang w:val="da-DK"/>
        </w:rPr>
        <w:t xml:space="preserve"> </w:t>
      </w:r>
      <w:r w:rsidR="007778C7" w:rsidRPr="007778C7">
        <w:rPr>
          <w:sz w:val="24"/>
          <w:lang w:val="da-DK"/>
        </w:rPr>
        <w:tab/>
      </w:r>
      <w:r w:rsidRPr="007778C7">
        <w:rPr>
          <w:sz w:val="24"/>
          <w:lang w:val="da-DK"/>
        </w:rPr>
        <w:t>Endnu ikke offentliggjort i EUT.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39574" w14:textId="77777777" w:rsidR="00064002" w:rsidRPr="007778C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B6196" w14:textId="77777777" w:rsidR="00064002" w:rsidRPr="007778C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72312" w14:textId="77777777" w:rsidR="00064002" w:rsidRPr="007778C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3677591">
    <w:abstractNumId w:val="9"/>
  </w:num>
  <w:num w:numId="2" w16cid:durableId="72776352">
    <w:abstractNumId w:val="9"/>
  </w:num>
  <w:num w:numId="3" w16cid:durableId="1188061447">
    <w:abstractNumId w:val="7"/>
  </w:num>
  <w:num w:numId="4" w16cid:durableId="1214344443">
    <w:abstractNumId w:val="7"/>
  </w:num>
  <w:num w:numId="5" w16cid:durableId="1243636386">
    <w:abstractNumId w:val="6"/>
  </w:num>
  <w:num w:numId="6" w16cid:durableId="1586501322">
    <w:abstractNumId w:val="6"/>
  </w:num>
  <w:num w:numId="7" w16cid:durableId="1483544844">
    <w:abstractNumId w:val="5"/>
  </w:num>
  <w:num w:numId="8" w16cid:durableId="812528323">
    <w:abstractNumId w:val="5"/>
  </w:num>
  <w:num w:numId="9" w16cid:durableId="1758476574">
    <w:abstractNumId w:val="4"/>
  </w:num>
  <w:num w:numId="10" w16cid:durableId="195000794">
    <w:abstractNumId w:val="4"/>
  </w:num>
  <w:num w:numId="11" w16cid:durableId="1580552181">
    <w:abstractNumId w:val="8"/>
  </w:num>
  <w:num w:numId="12" w16cid:durableId="1007364136">
    <w:abstractNumId w:val="8"/>
  </w:num>
  <w:num w:numId="13" w16cid:durableId="1885940459">
    <w:abstractNumId w:val="3"/>
  </w:num>
  <w:num w:numId="14" w16cid:durableId="371997625">
    <w:abstractNumId w:val="3"/>
  </w:num>
  <w:num w:numId="15" w16cid:durableId="116068315">
    <w:abstractNumId w:val="2"/>
  </w:num>
  <w:num w:numId="16" w16cid:durableId="1016999788">
    <w:abstractNumId w:val="2"/>
  </w:num>
  <w:num w:numId="17" w16cid:durableId="773746554">
    <w:abstractNumId w:val="1"/>
  </w:num>
  <w:num w:numId="18" w16cid:durableId="2083873364">
    <w:abstractNumId w:val="1"/>
  </w:num>
  <w:num w:numId="19" w16cid:durableId="873158256">
    <w:abstractNumId w:val="0"/>
  </w:num>
  <w:num w:numId="20" w16cid:durableId="867597011">
    <w:abstractNumId w:val="0"/>
  </w:num>
  <w:num w:numId="21" w16cid:durableId="274488141">
    <w:abstractNumId w:val="9"/>
  </w:num>
  <w:num w:numId="22" w16cid:durableId="718935632">
    <w:abstractNumId w:val="7"/>
  </w:num>
  <w:num w:numId="23" w16cid:durableId="631249334">
    <w:abstractNumId w:val="6"/>
  </w:num>
  <w:num w:numId="24" w16cid:durableId="1111129960">
    <w:abstractNumId w:val="5"/>
  </w:num>
  <w:num w:numId="25" w16cid:durableId="588998949">
    <w:abstractNumId w:val="4"/>
  </w:num>
  <w:num w:numId="26" w16cid:durableId="569534327">
    <w:abstractNumId w:val="8"/>
  </w:num>
  <w:num w:numId="27" w16cid:durableId="322128073">
    <w:abstractNumId w:val="3"/>
  </w:num>
  <w:num w:numId="28" w16cid:durableId="588009220">
    <w:abstractNumId w:val="2"/>
  </w:num>
  <w:num w:numId="29" w16cid:durableId="402289898">
    <w:abstractNumId w:val="1"/>
  </w:num>
  <w:num w:numId="30" w16cid:durableId="621305413">
    <w:abstractNumId w:val="0"/>
  </w:num>
  <w:num w:numId="31" w16cid:durableId="819469752">
    <w:abstractNumId w:val="9"/>
  </w:num>
  <w:num w:numId="32" w16cid:durableId="1280330861">
    <w:abstractNumId w:val="7"/>
  </w:num>
  <w:num w:numId="33" w16cid:durableId="532037959">
    <w:abstractNumId w:val="6"/>
  </w:num>
  <w:num w:numId="34" w16cid:durableId="2111849847">
    <w:abstractNumId w:val="5"/>
  </w:num>
  <w:num w:numId="35" w16cid:durableId="262298418">
    <w:abstractNumId w:val="4"/>
  </w:num>
  <w:num w:numId="36" w16cid:durableId="519049719">
    <w:abstractNumId w:val="8"/>
  </w:num>
  <w:num w:numId="37" w16cid:durableId="532965519">
    <w:abstractNumId w:val="3"/>
  </w:num>
  <w:num w:numId="38" w16cid:durableId="1922181691">
    <w:abstractNumId w:val="2"/>
  </w:num>
  <w:num w:numId="39" w16cid:durableId="2129690522">
    <w:abstractNumId w:val="1"/>
  </w:num>
  <w:num w:numId="40" w16cid:durableId="601883970">
    <w:abstractNumId w:val="0"/>
  </w:num>
  <w:num w:numId="41" w16cid:durableId="976295845">
    <w:abstractNumId w:val="10"/>
  </w:num>
  <w:num w:numId="42" w16cid:durableId="61300553">
    <w:abstractNumId w:val="10"/>
  </w:num>
  <w:num w:numId="43" w16cid:durableId="400565693">
    <w:abstractNumId w:val="10"/>
  </w:num>
  <w:num w:numId="44" w16cid:durableId="14496610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DA"/>
    <w:docVar w:name="dvnumam" w:val="0"/>
    <w:docVar w:name="dvpe" w:val="775.519"/>
    <w:docVar w:name="dvrapporteur" w:val="Ordfører: "/>
    <w:docVar w:name="dvstar" w:val="***I"/>
    <w:docVar w:name="dvtitre" w:val="Europa-Parlamentets lovgivningsmæssige beslutning af xx. juli 2025 om forslag til Europa-Parlamentets og Rådets forordning om ændring af forordning (EU) 2023/1542 for så vidt angår erhvervsdrivendes forpligtelser for så vidt angår due diligence-politikker vedrørende batterier(COM(2025)0258 – C10-0089/2025 – 2025/0129(COD))"/>
  </w:docVars>
  <w:rsids>
    <w:rsidRoot w:val="00DB75BE"/>
    <w:rsid w:val="00002272"/>
    <w:rsid w:val="00064002"/>
    <w:rsid w:val="000677B9"/>
    <w:rsid w:val="000831BA"/>
    <w:rsid w:val="000A42CC"/>
    <w:rsid w:val="000E7DD9"/>
    <w:rsid w:val="0010095E"/>
    <w:rsid w:val="00125B37"/>
    <w:rsid w:val="001644AA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1B01"/>
    <w:rsid w:val="005C2568"/>
    <w:rsid w:val="005F1B17"/>
    <w:rsid w:val="006037C0"/>
    <w:rsid w:val="006631B6"/>
    <w:rsid w:val="00680577"/>
    <w:rsid w:val="006F74FA"/>
    <w:rsid w:val="00717135"/>
    <w:rsid w:val="00731ADD"/>
    <w:rsid w:val="00734777"/>
    <w:rsid w:val="00747932"/>
    <w:rsid w:val="00751A4A"/>
    <w:rsid w:val="00756632"/>
    <w:rsid w:val="00762C74"/>
    <w:rsid w:val="007778C7"/>
    <w:rsid w:val="00786EC0"/>
    <w:rsid w:val="007D1690"/>
    <w:rsid w:val="007D79E2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1252"/>
    <w:rsid w:val="00A1687D"/>
    <w:rsid w:val="00A43E52"/>
    <w:rsid w:val="00A4678D"/>
    <w:rsid w:val="00A778C7"/>
    <w:rsid w:val="00A9309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0A53"/>
    <w:rsid w:val="00D56C11"/>
    <w:rsid w:val="00D834A0"/>
    <w:rsid w:val="00D872DF"/>
    <w:rsid w:val="00D91E21"/>
    <w:rsid w:val="00DA7FCD"/>
    <w:rsid w:val="00DB75BE"/>
    <w:rsid w:val="00DE2F6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A71851"/>
  <w15:chartTrackingRefBased/>
  <w15:docId w15:val="{7584833F-20BB-4C13-9827-4A185E928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644AA"/>
    <w:pPr>
      <w:spacing w:before="480" w:after="240"/>
    </w:pPr>
  </w:style>
  <w:style w:type="paragraph" w:customStyle="1" w:styleId="NormalBold">
    <w:name w:val="NormalBold"/>
    <w:basedOn w:val="Normal"/>
    <w:rsid w:val="001644AA"/>
    <w:rPr>
      <w:b/>
    </w:rPr>
  </w:style>
  <w:style w:type="paragraph" w:customStyle="1" w:styleId="NormalHanging12a">
    <w:name w:val="NormalHanging12a"/>
    <w:basedOn w:val="Normal"/>
    <w:rsid w:val="001644AA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E2F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2F68"/>
    <w:rPr>
      <w:rFonts w:ascii="Segoe UI" w:hAnsi="Segoe UI" w:cs="Segoe UI"/>
      <w:sz w:val="18"/>
      <w:szCs w:val="18"/>
      <w:lang w:val="da-DK"/>
    </w:rPr>
  </w:style>
  <w:style w:type="character" w:styleId="Hyperlink">
    <w:name w:val="Hyperlink"/>
    <w:basedOn w:val="DefaultParagraphFont"/>
    <w:uiPriority w:val="99"/>
    <w:unhideWhenUsed/>
    <w:rsid w:val="00DE2F6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17617-4B55-4B48-A6EC-ACFF163C5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256</Words>
  <Characters>1915</Characters>
  <Application>Microsoft Office Word</Application>
  <DocSecurity>0</DocSecurity>
  <Lines>136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2025-10-21T14:35:00Z</dcterms:created>
  <dcterms:modified xsi:type="dcterms:W3CDTF">2025-10-21T14:35:00Z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