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04322" w14:paraId="689D46A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3C636F" w14:textId="77777777" w:rsidR="00751A4A" w:rsidRPr="00D04322" w:rsidRDefault="007C2809" w:rsidP="0010095E">
            <w:pPr>
              <w:pStyle w:val="EPName"/>
            </w:pPr>
            <w:r w:rsidRPr="00D04322">
              <w:t>Parlement européen</w:t>
            </w:r>
          </w:p>
          <w:p w14:paraId="6BBF5950" w14:textId="77777777" w:rsidR="00751A4A" w:rsidRPr="00D043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04322">
              <w:t>2024</w:t>
            </w:r>
            <w:r w:rsidR="00817416" w:rsidRPr="00D04322">
              <w:t>-202</w:t>
            </w:r>
            <w:r w:rsidRPr="00D04322">
              <w:t>9</w:t>
            </w:r>
          </w:p>
        </w:tc>
        <w:tc>
          <w:tcPr>
            <w:tcW w:w="2268" w:type="dxa"/>
            <w:shd w:val="clear" w:color="auto" w:fill="auto"/>
          </w:tcPr>
          <w:p w14:paraId="26D2308D" w14:textId="77777777" w:rsidR="00751A4A" w:rsidRPr="00D04322" w:rsidRDefault="00187494" w:rsidP="0010095E">
            <w:pPr>
              <w:pStyle w:val="EPLogo"/>
            </w:pPr>
            <w:r w:rsidRPr="00D04322">
              <w:rPr>
                <w:noProof/>
                <w:lang w:val="en-GB"/>
              </w:rPr>
              <w:drawing>
                <wp:inline distT="0" distB="0" distL="0" distR="0" wp14:anchorId="1D3020A8" wp14:editId="5A6184D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AC1555" w14:textId="77777777" w:rsidR="00D058B8" w:rsidRPr="00D04322" w:rsidRDefault="00D058B8" w:rsidP="004C5D52">
      <w:pPr>
        <w:pStyle w:val="LineTop"/>
      </w:pPr>
    </w:p>
    <w:p w14:paraId="08BB6594" w14:textId="77777777" w:rsidR="00680577" w:rsidRPr="00D04322" w:rsidRDefault="007C2809" w:rsidP="00680577">
      <w:pPr>
        <w:pStyle w:val="EPBodyTA1"/>
      </w:pPr>
      <w:r w:rsidRPr="00D04322">
        <w:t>TEXTES ADOPTÉS</w:t>
      </w:r>
    </w:p>
    <w:p w14:paraId="18349072" w14:textId="77777777" w:rsidR="00D058B8" w:rsidRPr="00D04322" w:rsidRDefault="00D058B8" w:rsidP="00D058B8">
      <w:pPr>
        <w:pStyle w:val="LineBottom"/>
      </w:pPr>
    </w:p>
    <w:p w14:paraId="3396294D" w14:textId="77777777" w:rsidR="007C2809" w:rsidRPr="00D04322" w:rsidRDefault="007C2809" w:rsidP="007C2809">
      <w:pPr>
        <w:pStyle w:val="ATHeading1"/>
      </w:pPr>
      <w:bookmarkStart w:id="0" w:name="TANumber"/>
      <w:r w:rsidRPr="00D04322">
        <w:t>P10_TA(2025)0</w:t>
      </w:r>
      <w:r w:rsidR="00AD548B">
        <w:t>164</w:t>
      </w:r>
      <w:bookmarkEnd w:id="0"/>
    </w:p>
    <w:p w14:paraId="22BB382E" w14:textId="77777777" w:rsidR="007C2809" w:rsidRPr="00D04322" w:rsidRDefault="007C2809" w:rsidP="007C2809">
      <w:pPr>
        <w:pStyle w:val="ATHeading2"/>
      </w:pPr>
      <w:bookmarkStart w:id="1" w:name="title"/>
      <w:r w:rsidRPr="00D04322">
        <w:t>Modification du règlement (UE) 2023/1542 concernant les obligations des opérateurs économiques liées aux politiques en matière de devoir de diligence à l'égard des batteries</w:t>
      </w:r>
    </w:p>
    <w:p w14:paraId="036701F3" w14:textId="77777777" w:rsidR="007C2809" w:rsidRPr="00D04322" w:rsidRDefault="007C2809" w:rsidP="007C2809">
      <w:pPr>
        <w:rPr>
          <w:i/>
          <w:vanish/>
        </w:rPr>
      </w:pPr>
      <w:r w:rsidRPr="00D04322">
        <w:rPr>
          <w:i/>
        </w:rPr>
        <w:fldChar w:fldCharType="begin"/>
      </w:r>
      <w:r w:rsidRPr="00D04322">
        <w:rPr>
          <w:i/>
        </w:rPr>
        <w:instrText xml:space="preserve"> TC"(</w:instrText>
      </w:r>
      <w:bookmarkStart w:id="2" w:name="DocNumber"/>
      <w:r w:rsidRPr="00D04322">
        <w:rPr>
          <w:i/>
        </w:rPr>
        <w:instrText>A10-0134/2025</w:instrText>
      </w:r>
      <w:bookmarkEnd w:id="2"/>
      <w:r w:rsidRPr="00D04322">
        <w:rPr>
          <w:i/>
        </w:rPr>
        <w:instrText xml:space="preserve"> - Rapporteur: Antonio Decaro)"\l3 \n&gt; \* MERGEFORMAT </w:instrText>
      </w:r>
      <w:r w:rsidRPr="00D04322">
        <w:rPr>
          <w:i/>
        </w:rPr>
        <w:fldChar w:fldCharType="end"/>
      </w:r>
    </w:p>
    <w:p w14:paraId="21C27476" w14:textId="77777777" w:rsidR="007C2809" w:rsidRPr="00D04322" w:rsidRDefault="007C2809" w:rsidP="007C2809">
      <w:pPr>
        <w:rPr>
          <w:vanish/>
        </w:rPr>
      </w:pPr>
      <w:bookmarkStart w:id="3" w:name="Commission"/>
      <w:r w:rsidRPr="00D04322">
        <w:rPr>
          <w:vanish/>
        </w:rPr>
        <w:t>Commission de l’environnement, du climat et de la sécurité alimentaire</w:t>
      </w:r>
      <w:bookmarkEnd w:id="3"/>
    </w:p>
    <w:p w14:paraId="3BFA9AA6" w14:textId="77777777" w:rsidR="007C2809" w:rsidRPr="00D04322" w:rsidRDefault="007C2809" w:rsidP="007C2809">
      <w:pPr>
        <w:rPr>
          <w:vanish/>
        </w:rPr>
      </w:pPr>
      <w:bookmarkStart w:id="4" w:name="PE"/>
      <w:r w:rsidRPr="00D04322">
        <w:rPr>
          <w:vanish/>
        </w:rPr>
        <w:t>PE775.519</w:t>
      </w:r>
      <w:bookmarkEnd w:id="4"/>
    </w:p>
    <w:p w14:paraId="180BAC99" w14:textId="77777777" w:rsidR="007C2809" w:rsidRPr="00D04322" w:rsidRDefault="007C2809" w:rsidP="007C2809">
      <w:pPr>
        <w:pStyle w:val="ATHeading3"/>
      </w:pPr>
      <w:bookmarkStart w:id="5" w:name="Sujet"/>
      <w:r w:rsidRPr="00D04322">
        <w:t xml:space="preserve">Résolution législative du Parlement européen du </w:t>
      </w:r>
      <w:r w:rsidR="00206708">
        <w:t>10 juillet</w:t>
      </w:r>
      <w:r w:rsidRPr="00D04322">
        <w:t xml:space="preserve"> 2025 sur la proposition de règlement du Parlement européen et du Conseil modifiant le règlement (UE) 2023/1542 en ce qui concerne les obligations des opérateurs économiques liées aux politiques en matière de devoir de diligence à l’égard des batteries</w:t>
      </w:r>
      <w:bookmarkEnd w:id="5"/>
      <w:r w:rsidRPr="00D04322">
        <w:t xml:space="preserve"> </w:t>
      </w:r>
      <w:bookmarkStart w:id="6" w:name="References"/>
      <w:r w:rsidRPr="00D04322">
        <w:t>(COM(2025)0258 – C10-0089/2025 – 2025/0129(COD))</w:t>
      </w:r>
      <w:bookmarkEnd w:id="6"/>
    </w:p>
    <w:p w14:paraId="12E91857" w14:textId="77777777" w:rsidR="00AA2906" w:rsidRPr="00D04322" w:rsidRDefault="00AA2906" w:rsidP="00AA2906">
      <w:pPr>
        <w:pStyle w:val="NormalBold"/>
      </w:pPr>
      <w:bookmarkStart w:id="7" w:name="TextBodyBegin"/>
      <w:bookmarkEnd w:id="1"/>
      <w:bookmarkEnd w:id="7"/>
      <w:r w:rsidRPr="00D04322">
        <w:t>(Procédure législative ordinaire: première lecture)</w:t>
      </w:r>
    </w:p>
    <w:p w14:paraId="13578246" w14:textId="77777777" w:rsidR="00AA2906" w:rsidRPr="00D04322" w:rsidRDefault="00AA2906" w:rsidP="00AA2906">
      <w:pPr>
        <w:pStyle w:val="EPComma"/>
      </w:pPr>
      <w:r w:rsidRPr="00D04322">
        <w:rPr>
          <w:i/>
        </w:rPr>
        <w:t>Le Parlement européen</w:t>
      </w:r>
      <w:r w:rsidRPr="00D04322">
        <w:t>,</w:t>
      </w:r>
    </w:p>
    <w:p w14:paraId="1F2D618B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la proposition de la Commission au Parlement européen et au Conseil (COM(2025)0258),</w:t>
      </w:r>
    </w:p>
    <w:p w14:paraId="2B03C81F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l’article 294, paragraphe 2, et l’article 114 du traité sur le fonctionnement de l’Union européenne, conformément auxquels la proposition lui a été présentée par la Commission (C10</w:t>
      </w:r>
      <w:r w:rsidRPr="00D04322">
        <w:noBreakHyphen/>
        <w:t>0089/2025),</w:t>
      </w:r>
    </w:p>
    <w:p w14:paraId="4B2110B2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l’article 294, paragraphe 3, du traité sur le fonctionnement de l’Union européenne,</w:t>
      </w:r>
    </w:p>
    <w:p w14:paraId="4E8A68C9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l’avis du Comité économique et social européen du 18 juin 2025</w:t>
      </w:r>
      <w:r w:rsidRPr="00D04322">
        <w:rPr>
          <w:rStyle w:val="FootnoteReference"/>
        </w:rPr>
        <w:footnoteReference w:id="1"/>
      </w:r>
      <w:r w:rsidRPr="00D04322">
        <w:t>,</w:t>
      </w:r>
    </w:p>
    <w:p w14:paraId="2EE2C4FB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l’article 60 de son règlement intérieur,</w:t>
      </w:r>
    </w:p>
    <w:p w14:paraId="4CABA27B" w14:textId="77777777" w:rsidR="00AA2906" w:rsidRPr="00D04322" w:rsidRDefault="00AA2906" w:rsidP="0000589D">
      <w:pPr>
        <w:pStyle w:val="NormalHanging12a"/>
        <w:widowControl/>
      </w:pPr>
      <w:r w:rsidRPr="00D04322">
        <w:t>–</w:t>
      </w:r>
      <w:r w:rsidRPr="00D04322">
        <w:tab/>
        <w:t>vu le rapport de la commission de l’environnement, du climat et de la sécurité alimentaire (A10</w:t>
      </w:r>
      <w:r w:rsidRPr="00D04322">
        <w:noBreakHyphen/>
        <w:t>0134/2025),</w:t>
      </w:r>
    </w:p>
    <w:p w14:paraId="6F852598" w14:textId="77777777" w:rsidR="00AA2906" w:rsidRPr="00D04322" w:rsidRDefault="00AA2906" w:rsidP="0000589D">
      <w:pPr>
        <w:pStyle w:val="NormalHanging12a"/>
        <w:widowControl/>
      </w:pPr>
      <w:r w:rsidRPr="00D04322">
        <w:t>1.</w:t>
      </w:r>
      <w:r w:rsidRPr="00D04322">
        <w:tab/>
        <w:t xml:space="preserve">arrête </w:t>
      </w:r>
      <w:r w:rsidR="00206708">
        <w:t>l</w:t>
      </w:r>
      <w:r w:rsidRPr="00D04322">
        <w:t xml:space="preserve">a position en première lecture </w:t>
      </w:r>
      <w:r w:rsidR="00206708">
        <w:t>figurant ci-après</w:t>
      </w:r>
      <w:r w:rsidRPr="00D04322">
        <w:t>;</w:t>
      </w:r>
    </w:p>
    <w:p w14:paraId="62001B0C" w14:textId="77777777" w:rsidR="00AA2906" w:rsidRPr="00D04322" w:rsidRDefault="00AA2906" w:rsidP="0000589D">
      <w:pPr>
        <w:pStyle w:val="NormalHanging12a"/>
        <w:widowControl/>
      </w:pPr>
      <w:r w:rsidRPr="00D04322">
        <w:t>2.</w:t>
      </w:r>
      <w:r w:rsidRPr="00D04322">
        <w:tab/>
        <w:t>demande à la Commission de le saisir à nouveau, si elle remplace, modifie de manière substantielle ou entend modifier de manière substantielle sa proposition;</w:t>
      </w:r>
    </w:p>
    <w:p w14:paraId="391A8BAD" w14:textId="77777777" w:rsidR="00206708" w:rsidRDefault="00206708" w:rsidP="0000589D">
      <w:pPr>
        <w:widowControl/>
        <w:spacing w:after="240"/>
        <w:ind w:left="567" w:hanging="567"/>
      </w:pPr>
      <w:r>
        <w:t>3</w:t>
      </w:r>
      <w:r w:rsidR="00AA2906" w:rsidRPr="00D04322">
        <w:t>.</w:t>
      </w:r>
      <w:r w:rsidR="00AA2906" w:rsidRPr="00D04322">
        <w:tab/>
        <w:t>charge sa Présidente de transmettre la position du Parlement au Conseil et à la Commission ainsi qu’aux parlements nationaux.</w:t>
      </w:r>
    </w:p>
    <w:p w14:paraId="4A6D5067" w14:textId="77777777" w:rsidR="00206708" w:rsidRDefault="00206708">
      <w:pPr>
        <w:widowControl/>
        <w:sectPr w:rsidR="00206708" w:rsidSect="00D0432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EB2501D" w14:textId="77777777" w:rsidR="00206708" w:rsidRPr="00C617B0" w:rsidRDefault="00206708" w:rsidP="00206708">
      <w:pPr>
        <w:spacing w:after="240"/>
        <w:rPr>
          <w:b/>
        </w:rPr>
      </w:pPr>
      <w:r>
        <w:rPr>
          <w:b/>
        </w:rPr>
        <w:lastRenderedPageBreak/>
        <w:t>P10</w:t>
      </w:r>
      <w:r w:rsidRPr="00C617B0">
        <w:rPr>
          <w:b/>
        </w:rPr>
        <w:t>_TC1-COD(</w:t>
      </w:r>
      <w:r>
        <w:rPr>
          <w:b/>
        </w:rPr>
        <w:t>2025</w:t>
      </w:r>
      <w:r w:rsidRPr="00C617B0">
        <w:rPr>
          <w:b/>
        </w:rPr>
        <w:t>)</w:t>
      </w:r>
      <w:r>
        <w:rPr>
          <w:b/>
        </w:rPr>
        <w:t>0129</w:t>
      </w:r>
    </w:p>
    <w:p w14:paraId="79B85A6C" w14:textId="77777777" w:rsidR="00206708" w:rsidRPr="00206708" w:rsidRDefault="00206708" w:rsidP="00206708">
      <w:pPr>
        <w:spacing w:after="240"/>
        <w:rPr>
          <w:rFonts w:eastAsia="Calibri"/>
          <w:b/>
          <w:noProof/>
          <w:szCs w:val="22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</w:t>
      </w:r>
      <w:r w:rsidRPr="00206708">
        <w:rPr>
          <w:b/>
        </w:rPr>
        <w:t xml:space="preserve">première lecture le </w:t>
      </w:r>
      <w:r>
        <w:rPr>
          <w:b/>
        </w:rPr>
        <w:t>10 juillet</w:t>
      </w:r>
      <w:r w:rsidRPr="00206708">
        <w:rPr>
          <w:b/>
        </w:rPr>
        <w:t xml:space="preserve"> 2025 en vue de l’adoption du règlement (UE) 2025/... du Parlement</w:t>
      </w:r>
      <w:r w:rsidRPr="007C3D18">
        <w:rPr>
          <w:b/>
        </w:rPr>
        <w:t xml:space="preserve"> européen et du Conseil </w:t>
      </w:r>
      <w:r w:rsidRPr="00206708">
        <w:rPr>
          <w:rFonts w:eastAsia="Calibri"/>
          <w:b/>
          <w:noProof/>
          <w:szCs w:val="22"/>
        </w:rPr>
        <w:t>modifiant le règlement (UE) 2023/1542 en ce qui concerne les obligations des opérateurs économiques liées aux politiques en matière de devoir de diligence à l’égard des batteries</w:t>
      </w:r>
    </w:p>
    <w:p w14:paraId="7BB5804B" w14:textId="0A6BE328" w:rsidR="006D07F7" w:rsidRPr="0070765D" w:rsidRDefault="006D07F7" w:rsidP="006D07F7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1561</w:t>
      </w:r>
      <w:r w:rsidRPr="0070765D">
        <w:rPr>
          <w:b w:val="0"/>
          <w:i/>
          <w:szCs w:val="24"/>
        </w:rPr>
        <w:t>.)</w:t>
      </w:r>
    </w:p>
    <w:p w14:paraId="1583294B" w14:textId="77777777" w:rsidR="006D07F7" w:rsidRPr="00206708" w:rsidRDefault="006D07F7" w:rsidP="00206708">
      <w:pPr>
        <w:spacing w:before="360" w:after="240" w:line="360" w:lineRule="auto"/>
        <w:jc w:val="center"/>
        <w:rPr>
          <w:rFonts w:eastAsia="Calibri"/>
          <w:b/>
          <w:noProof/>
          <w:szCs w:val="22"/>
        </w:rPr>
      </w:pPr>
    </w:p>
    <w:sectPr w:rsidR="006D07F7" w:rsidRPr="00206708" w:rsidSect="00D0432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FBDE5" w14:textId="77777777" w:rsidR="007C2809" w:rsidRPr="00D04322" w:rsidRDefault="007C2809">
      <w:r w:rsidRPr="00D04322">
        <w:separator/>
      </w:r>
    </w:p>
  </w:endnote>
  <w:endnote w:type="continuationSeparator" w:id="0">
    <w:p w14:paraId="7A08569A" w14:textId="77777777" w:rsidR="007C2809" w:rsidRPr="00D04322" w:rsidRDefault="007C2809">
      <w:r w:rsidRPr="00D043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36698" w14:textId="77777777" w:rsidR="00064002" w:rsidRPr="00D043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AB5E1" w14:textId="77777777" w:rsidR="00064002" w:rsidRPr="00D043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5083D" w14:textId="77777777" w:rsidR="00064002" w:rsidRPr="00D043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346A9B" w14:textId="77777777" w:rsidR="007C2809" w:rsidRPr="00D04322" w:rsidRDefault="007C2809">
      <w:r w:rsidRPr="00D04322">
        <w:separator/>
      </w:r>
    </w:p>
  </w:footnote>
  <w:footnote w:type="continuationSeparator" w:id="0">
    <w:p w14:paraId="2653523C" w14:textId="77777777" w:rsidR="007C2809" w:rsidRPr="00D04322" w:rsidRDefault="007C2809">
      <w:r w:rsidRPr="00D04322">
        <w:continuationSeparator/>
      </w:r>
    </w:p>
  </w:footnote>
  <w:footnote w:id="1">
    <w:p w14:paraId="0B3FC01F" w14:textId="77777777" w:rsidR="00AA2906" w:rsidRPr="00D04322" w:rsidRDefault="00AA2906" w:rsidP="00D04322">
      <w:pPr>
        <w:pStyle w:val="FootnoteText"/>
        <w:ind w:left="567" w:hanging="567"/>
        <w:rPr>
          <w:sz w:val="24"/>
        </w:rPr>
      </w:pPr>
      <w:r w:rsidRPr="00D04322">
        <w:rPr>
          <w:rStyle w:val="FootnoteReference"/>
          <w:sz w:val="24"/>
        </w:rPr>
        <w:footnoteRef/>
      </w:r>
      <w:r w:rsidR="00D04322" w:rsidRPr="00D04322">
        <w:rPr>
          <w:sz w:val="24"/>
        </w:rPr>
        <w:t xml:space="preserve"> </w:t>
      </w:r>
      <w:r w:rsidR="00D04322" w:rsidRPr="00D04322">
        <w:rPr>
          <w:sz w:val="24"/>
        </w:rPr>
        <w:tab/>
      </w:r>
      <w:r w:rsidRPr="00D04322">
        <w:rPr>
          <w:sz w:val="24"/>
        </w:rPr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E443D" w14:textId="77777777" w:rsidR="00064002" w:rsidRPr="00D043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67EFC" w14:textId="77777777" w:rsidR="00064002" w:rsidRPr="00D043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9E990" w14:textId="77777777" w:rsidR="00064002" w:rsidRPr="00D043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38084961">
    <w:abstractNumId w:val="9"/>
  </w:num>
  <w:num w:numId="2" w16cid:durableId="742948671">
    <w:abstractNumId w:val="9"/>
  </w:num>
  <w:num w:numId="3" w16cid:durableId="2120568627">
    <w:abstractNumId w:val="7"/>
  </w:num>
  <w:num w:numId="4" w16cid:durableId="188105702">
    <w:abstractNumId w:val="7"/>
  </w:num>
  <w:num w:numId="5" w16cid:durableId="1201699082">
    <w:abstractNumId w:val="6"/>
  </w:num>
  <w:num w:numId="6" w16cid:durableId="1328824188">
    <w:abstractNumId w:val="6"/>
  </w:num>
  <w:num w:numId="7" w16cid:durableId="920991258">
    <w:abstractNumId w:val="5"/>
  </w:num>
  <w:num w:numId="8" w16cid:durableId="1413695989">
    <w:abstractNumId w:val="5"/>
  </w:num>
  <w:num w:numId="9" w16cid:durableId="751856166">
    <w:abstractNumId w:val="4"/>
  </w:num>
  <w:num w:numId="10" w16cid:durableId="132602928">
    <w:abstractNumId w:val="4"/>
  </w:num>
  <w:num w:numId="11" w16cid:durableId="1408262215">
    <w:abstractNumId w:val="8"/>
  </w:num>
  <w:num w:numId="12" w16cid:durableId="2102094409">
    <w:abstractNumId w:val="8"/>
  </w:num>
  <w:num w:numId="13" w16cid:durableId="482738357">
    <w:abstractNumId w:val="3"/>
  </w:num>
  <w:num w:numId="14" w16cid:durableId="988288120">
    <w:abstractNumId w:val="3"/>
  </w:num>
  <w:num w:numId="15" w16cid:durableId="1627471386">
    <w:abstractNumId w:val="2"/>
  </w:num>
  <w:num w:numId="16" w16cid:durableId="1266156318">
    <w:abstractNumId w:val="2"/>
  </w:num>
  <w:num w:numId="17" w16cid:durableId="381566700">
    <w:abstractNumId w:val="1"/>
  </w:num>
  <w:num w:numId="18" w16cid:durableId="1259406537">
    <w:abstractNumId w:val="1"/>
  </w:num>
  <w:num w:numId="19" w16cid:durableId="1802575905">
    <w:abstractNumId w:val="0"/>
  </w:num>
  <w:num w:numId="20" w16cid:durableId="577252555">
    <w:abstractNumId w:val="0"/>
  </w:num>
  <w:num w:numId="21" w16cid:durableId="738946802">
    <w:abstractNumId w:val="9"/>
  </w:num>
  <w:num w:numId="22" w16cid:durableId="1404529441">
    <w:abstractNumId w:val="7"/>
  </w:num>
  <w:num w:numId="23" w16cid:durableId="1137795949">
    <w:abstractNumId w:val="6"/>
  </w:num>
  <w:num w:numId="24" w16cid:durableId="1374573369">
    <w:abstractNumId w:val="5"/>
  </w:num>
  <w:num w:numId="25" w16cid:durableId="1392312725">
    <w:abstractNumId w:val="4"/>
  </w:num>
  <w:num w:numId="26" w16cid:durableId="2121413507">
    <w:abstractNumId w:val="8"/>
  </w:num>
  <w:num w:numId="27" w16cid:durableId="1064718745">
    <w:abstractNumId w:val="3"/>
  </w:num>
  <w:num w:numId="28" w16cid:durableId="2012249676">
    <w:abstractNumId w:val="2"/>
  </w:num>
  <w:num w:numId="29" w16cid:durableId="1625967776">
    <w:abstractNumId w:val="1"/>
  </w:num>
  <w:num w:numId="30" w16cid:durableId="1866283126">
    <w:abstractNumId w:val="0"/>
  </w:num>
  <w:num w:numId="31" w16cid:durableId="508374261">
    <w:abstractNumId w:val="9"/>
  </w:num>
  <w:num w:numId="32" w16cid:durableId="980574359">
    <w:abstractNumId w:val="7"/>
  </w:num>
  <w:num w:numId="33" w16cid:durableId="1208298637">
    <w:abstractNumId w:val="6"/>
  </w:num>
  <w:num w:numId="34" w16cid:durableId="1843202502">
    <w:abstractNumId w:val="5"/>
  </w:num>
  <w:num w:numId="35" w16cid:durableId="1919319259">
    <w:abstractNumId w:val="4"/>
  </w:num>
  <w:num w:numId="36" w16cid:durableId="2132740981">
    <w:abstractNumId w:val="8"/>
  </w:num>
  <w:num w:numId="37" w16cid:durableId="1369526641">
    <w:abstractNumId w:val="3"/>
  </w:num>
  <w:num w:numId="38" w16cid:durableId="932207028">
    <w:abstractNumId w:val="2"/>
  </w:num>
  <w:num w:numId="39" w16cid:durableId="705176190">
    <w:abstractNumId w:val="1"/>
  </w:num>
  <w:num w:numId="40" w16cid:durableId="852495273">
    <w:abstractNumId w:val="0"/>
  </w:num>
  <w:num w:numId="41" w16cid:durableId="619342552">
    <w:abstractNumId w:val="10"/>
  </w:num>
  <w:num w:numId="42" w16cid:durableId="1699812314">
    <w:abstractNumId w:val="10"/>
  </w:num>
  <w:num w:numId="43" w16cid:durableId="1532574899">
    <w:abstractNumId w:val="10"/>
  </w:num>
  <w:num w:numId="44" w16cid:durableId="11522167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FR"/>
    <w:docVar w:name="dvnumam" w:val="0"/>
    <w:docVar w:name="dvpe" w:val="775.519"/>
    <w:docVar w:name="dvrapporteur" w:val="Rapporteur: "/>
    <w:docVar w:name="dvtitre" w:val="Résolution législative du Parlement européen du ... 2025 sur la proposition de règlement du Parlement européen et du Conseil modifiant le règlement (UE) 2023/1542 en ce qui concerne les obligations des opérateurs économiques liées aux politiques en matière de devoir de diligence à l’égard des batteries(COM(2025)0258 – C10-0089/2025 – 2025/0129(COD))"/>
  </w:docVars>
  <w:rsids>
    <w:rsidRoot w:val="007C2809"/>
    <w:rsid w:val="00002272"/>
    <w:rsid w:val="0000589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6708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E8D"/>
    <w:rsid w:val="004C0004"/>
    <w:rsid w:val="004C5D52"/>
    <w:rsid w:val="0050519A"/>
    <w:rsid w:val="005072A1"/>
    <w:rsid w:val="00514517"/>
    <w:rsid w:val="00545827"/>
    <w:rsid w:val="00560270"/>
    <w:rsid w:val="005C2568"/>
    <w:rsid w:val="005C3E50"/>
    <w:rsid w:val="005F1B17"/>
    <w:rsid w:val="006037C0"/>
    <w:rsid w:val="006631B6"/>
    <w:rsid w:val="00680577"/>
    <w:rsid w:val="006D07F7"/>
    <w:rsid w:val="006F74FA"/>
    <w:rsid w:val="00731ADD"/>
    <w:rsid w:val="00734777"/>
    <w:rsid w:val="00747932"/>
    <w:rsid w:val="00751A4A"/>
    <w:rsid w:val="00756632"/>
    <w:rsid w:val="00762C74"/>
    <w:rsid w:val="00786EC0"/>
    <w:rsid w:val="007C280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6C6E"/>
    <w:rsid w:val="00927F4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2906"/>
    <w:rsid w:val="00AB441E"/>
    <w:rsid w:val="00AB6293"/>
    <w:rsid w:val="00AD548B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322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4EA9C"/>
  <w15:chartTrackingRefBased/>
  <w15:docId w15:val="{82205F6E-9A7E-4EA6-BF26-830738B7E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A2906"/>
    <w:pPr>
      <w:spacing w:before="480" w:after="240"/>
    </w:pPr>
  </w:style>
  <w:style w:type="paragraph" w:customStyle="1" w:styleId="NormalBold">
    <w:name w:val="NormalBold"/>
    <w:basedOn w:val="Normal"/>
    <w:rsid w:val="00AA2906"/>
    <w:rPr>
      <w:b/>
    </w:rPr>
  </w:style>
  <w:style w:type="paragraph" w:customStyle="1" w:styleId="NormalHanging12a">
    <w:name w:val="NormalHanging12a"/>
    <w:basedOn w:val="Normal"/>
    <w:rsid w:val="00AA290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206708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927F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27F48"/>
    <w:rPr>
      <w:rFonts w:ascii="Segoe UI" w:hAnsi="Segoe UI" w:cs="Segoe UI"/>
      <w:sz w:val="18"/>
      <w:szCs w:val="18"/>
      <w:lang w:val="fr-FR"/>
    </w:rPr>
  </w:style>
  <w:style w:type="paragraph" w:customStyle="1" w:styleId="Datedadoption">
    <w:name w:val="Date d'adoption"/>
    <w:basedOn w:val="Normal"/>
    <w:next w:val="Normal"/>
    <w:rsid w:val="006D07F7"/>
    <w:pPr>
      <w:widowControl/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B46B4-4745-4CBF-B203-7E4C89EBB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309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DELECROIX Dorothee</cp:lastModifiedBy>
  <cp:revision>2</cp:revision>
  <cp:lastPrinted>2004-11-19T15:42:00Z</cp:lastPrinted>
  <dcterms:created xsi:type="dcterms:W3CDTF">2025-10-21T13:31:00Z</dcterms:created>
  <dcterms:modified xsi:type="dcterms:W3CDTF">2025-10-21T13:31:00Z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