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70E3" w14:paraId="6740A3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52317C" w14:textId="77777777" w:rsidR="00751A4A" w:rsidRPr="00B970E3" w:rsidRDefault="00FA7D47" w:rsidP="0010095E">
            <w:pPr>
              <w:pStyle w:val="EPName"/>
            </w:pPr>
            <w:r w:rsidRPr="00B970E3">
              <w:t>Europski parlament</w:t>
            </w:r>
          </w:p>
          <w:p w14:paraId="64413E82" w14:textId="77777777" w:rsidR="00751A4A" w:rsidRPr="00B970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70E3">
              <w:t>2024</w:t>
            </w:r>
            <w:r w:rsidR="00817416" w:rsidRPr="00B970E3">
              <w:t>-202</w:t>
            </w:r>
            <w:r w:rsidRPr="00B970E3">
              <w:t>9</w:t>
            </w:r>
          </w:p>
        </w:tc>
        <w:tc>
          <w:tcPr>
            <w:tcW w:w="2268" w:type="dxa"/>
            <w:shd w:val="clear" w:color="auto" w:fill="auto"/>
          </w:tcPr>
          <w:p w14:paraId="3607E09C" w14:textId="77777777" w:rsidR="00751A4A" w:rsidRPr="00B970E3" w:rsidRDefault="00187494" w:rsidP="0010095E">
            <w:pPr>
              <w:pStyle w:val="EPLogo"/>
            </w:pPr>
            <w:r w:rsidRPr="00B970E3">
              <w:rPr>
                <w:noProof/>
                <w:lang w:val="en-GB"/>
              </w:rPr>
              <w:drawing>
                <wp:inline distT="0" distB="0" distL="0" distR="0" wp14:anchorId="30E3E9E9" wp14:editId="329163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C4B622" w14:textId="77777777" w:rsidR="00D058B8" w:rsidRPr="00B970E3" w:rsidRDefault="00D058B8" w:rsidP="004C5D52">
      <w:pPr>
        <w:pStyle w:val="LineTop"/>
      </w:pPr>
    </w:p>
    <w:p w14:paraId="568BF9F0" w14:textId="77777777" w:rsidR="00680577" w:rsidRPr="00B970E3" w:rsidRDefault="00FA7D47" w:rsidP="00680577">
      <w:pPr>
        <w:pStyle w:val="EPBodyTA1"/>
      </w:pPr>
      <w:r w:rsidRPr="00B970E3">
        <w:t>USVOJENI TEKSTOVI</w:t>
      </w:r>
    </w:p>
    <w:p w14:paraId="53003FE2" w14:textId="77777777" w:rsidR="00D058B8" w:rsidRPr="00B970E3" w:rsidRDefault="00D058B8" w:rsidP="00D058B8">
      <w:pPr>
        <w:pStyle w:val="LineBottom"/>
      </w:pPr>
    </w:p>
    <w:p w14:paraId="4B9F96D2" w14:textId="77777777" w:rsidR="00FA7D47" w:rsidRPr="00B970E3" w:rsidRDefault="00FA7D47" w:rsidP="00FA7D47">
      <w:pPr>
        <w:pStyle w:val="ATHeading1"/>
      </w:pPr>
      <w:bookmarkStart w:id="0" w:name="TANumber"/>
      <w:r w:rsidRPr="00B970E3">
        <w:t>P10_TA(2025)0</w:t>
      </w:r>
      <w:r w:rsidR="00DF5B88">
        <w:t>16</w:t>
      </w:r>
      <w:bookmarkEnd w:id="0"/>
      <w:r w:rsidR="00582842">
        <w:t>4</w:t>
      </w:r>
    </w:p>
    <w:p w14:paraId="4469C856" w14:textId="77777777" w:rsidR="00FA7D47" w:rsidRPr="00B970E3" w:rsidRDefault="00FA7D47" w:rsidP="00FA7D47">
      <w:pPr>
        <w:pStyle w:val="ATHeading2"/>
      </w:pPr>
      <w:bookmarkStart w:id="1" w:name="title"/>
      <w:r w:rsidRPr="00B970E3">
        <w:t>Izmjena Uredbe (EU) 2023/1542 u vezi s obvezama gospodarskih subjekata koje se odnose na politike dužne pažnje u pogledu baterija</w:t>
      </w:r>
      <w:bookmarkEnd w:id="1"/>
    </w:p>
    <w:p w14:paraId="2937611D" w14:textId="77777777" w:rsidR="00FA7D47" w:rsidRPr="00B970E3" w:rsidRDefault="00FA7D47" w:rsidP="00FA7D47">
      <w:pPr>
        <w:rPr>
          <w:i/>
          <w:vanish/>
        </w:rPr>
      </w:pPr>
      <w:r w:rsidRPr="00B970E3">
        <w:rPr>
          <w:i/>
        </w:rPr>
        <w:fldChar w:fldCharType="begin"/>
      </w:r>
      <w:r w:rsidRPr="00B970E3">
        <w:rPr>
          <w:i/>
        </w:rPr>
        <w:instrText xml:space="preserve"> TC"(</w:instrText>
      </w:r>
      <w:bookmarkStart w:id="2" w:name="DocNumber"/>
      <w:r w:rsidRPr="00B970E3">
        <w:rPr>
          <w:i/>
        </w:rPr>
        <w:instrText>A10-0134/2025</w:instrText>
      </w:r>
      <w:bookmarkEnd w:id="2"/>
      <w:r w:rsidRPr="00B970E3">
        <w:rPr>
          <w:i/>
        </w:rPr>
        <w:instrText xml:space="preserve"> - Izvjestitelj: Antonio </w:instrText>
      </w:r>
      <w:proofErr w:type="spellStart"/>
      <w:r w:rsidRPr="00B970E3">
        <w:rPr>
          <w:i/>
        </w:rPr>
        <w:instrText>Decaro</w:instrText>
      </w:r>
      <w:proofErr w:type="spellEnd"/>
      <w:r w:rsidRPr="00B970E3">
        <w:rPr>
          <w:i/>
        </w:rPr>
        <w:instrText xml:space="preserve">)"\l3 \n&gt; \* MERGEFORMAT </w:instrText>
      </w:r>
      <w:r w:rsidRPr="00B970E3">
        <w:rPr>
          <w:i/>
        </w:rPr>
        <w:fldChar w:fldCharType="end"/>
      </w:r>
    </w:p>
    <w:p w14:paraId="4C954F28" w14:textId="77777777" w:rsidR="00FA7D47" w:rsidRPr="00B970E3" w:rsidRDefault="00FA7D47" w:rsidP="00FA7D47">
      <w:pPr>
        <w:rPr>
          <w:vanish/>
        </w:rPr>
      </w:pPr>
      <w:bookmarkStart w:id="3" w:name="Commission"/>
      <w:r w:rsidRPr="00B970E3">
        <w:rPr>
          <w:vanish/>
        </w:rPr>
        <w:t>Odbor za okoliš, klimu i sigurnost hrane</w:t>
      </w:r>
      <w:bookmarkEnd w:id="3"/>
    </w:p>
    <w:p w14:paraId="170A7F29" w14:textId="77777777" w:rsidR="00FA7D47" w:rsidRPr="00B970E3" w:rsidRDefault="00FA7D47" w:rsidP="00FA7D47">
      <w:pPr>
        <w:rPr>
          <w:vanish/>
        </w:rPr>
      </w:pPr>
      <w:bookmarkStart w:id="4" w:name="PE"/>
      <w:r w:rsidRPr="00B970E3">
        <w:rPr>
          <w:vanish/>
        </w:rPr>
        <w:t>PE775.519</w:t>
      </w:r>
      <w:bookmarkEnd w:id="4"/>
    </w:p>
    <w:p w14:paraId="08BD0244" w14:textId="77777777" w:rsidR="00FA7D47" w:rsidRPr="00B970E3" w:rsidRDefault="00FA7D47" w:rsidP="00FA7D47">
      <w:pPr>
        <w:pStyle w:val="ATHeading3"/>
      </w:pPr>
      <w:bookmarkStart w:id="5" w:name="Sujet"/>
      <w:r w:rsidRPr="00B970E3">
        <w:t>Zakonodavna rezoluc</w:t>
      </w:r>
      <w:r w:rsidR="00096098">
        <w:t>ija Europskog parlamenta od 10. srpnja</w:t>
      </w:r>
      <w:r w:rsidRPr="00B970E3">
        <w:t xml:space="preserve"> 2025. o Prijedlogu uredbe Europskog parlamenta i Vijeća o izmjeni Uredbe (EU) 2023/1542 u vezi s obvezama gospodarskih subjekata koje se odnose na politike dužne pažnje u pogledu baterija</w:t>
      </w:r>
      <w:bookmarkEnd w:id="5"/>
      <w:r w:rsidRPr="00B970E3">
        <w:t xml:space="preserve"> </w:t>
      </w:r>
      <w:bookmarkStart w:id="6" w:name="References"/>
      <w:r w:rsidRPr="00B970E3">
        <w:t>(COM(2025)0258 – C10-0089/2025 – 2025/0129(COD))</w:t>
      </w:r>
      <w:bookmarkEnd w:id="6"/>
    </w:p>
    <w:p w14:paraId="560CB149" w14:textId="77777777" w:rsidR="00FA7D47" w:rsidRPr="00B970E3" w:rsidRDefault="00FA7D47" w:rsidP="00FA7D47"/>
    <w:p w14:paraId="3FFA1B68" w14:textId="77777777" w:rsidR="00DA1345" w:rsidRPr="00B970E3" w:rsidRDefault="00DA1345" w:rsidP="00DA1345">
      <w:pPr>
        <w:pStyle w:val="NormalBold"/>
      </w:pPr>
      <w:bookmarkStart w:id="7" w:name="TextBodyBegin"/>
      <w:bookmarkEnd w:id="7"/>
      <w:r w:rsidRPr="00B970E3">
        <w:t>(Redovni zakonodavni postupak: prvo čitanje)</w:t>
      </w:r>
    </w:p>
    <w:p w14:paraId="78FA2F1B" w14:textId="77777777" w:rsidR="00DA1345" w:rsidRPr="00B970E3" w:rsidRDefault="00DA1345" w:rsidP="00DA1345">
      <w:pPr>
        <w:pStyle w:val="EPComma"/>
      </w:pPr>
      <w:r w:rsidRPr="00B970E3">
        <w:rPr>
          <w:i/>
        </w:rPr>
        <w:t>Europski parlament</w:t>
      </w:r>
      <w:r w:rsidRPr="00B970E3">
        <w:t>,</w:t>
      </w:r>
    </w:p>
    <w:p w14:paraId="30EE2635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Prijedlog Komisije upućen Europskom parlamentu i Vijeću (COM(2025)0258),</w:t>
      </w:r>
    </w:p>
    <w:p w14:paraId="3B3C7B6C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članak 294. stavak 2. i članak 114. Ugovora o funkcioniranju Europske unije, u skladu s kojima je Komisija podnijela Prijedlog Parlamentu (C10</w:t>
      </w:r>
      <w:r w:rsidRPr="00B970E3">
        <w:noBreakHyphen/>
        <w:t>0089/2025),</w:t>
      </w:r>
    </w:p>
    <w:p w14:paraId="1A57B29B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članak 294. stavak 3. Ugovora o funkcioniranju Europske unije,</w:t>
      </w:r>
    </w:p>
    <w:p w14:paraId="316BAC04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mišljenje Europskoga gospodarskog i socijalnog odbora od 18. lipnja 2025.</w:t>
      </w:r>
      <w:r w:rsidRPr="00B970E3">
        <w:rPr>
          <w:rStyle w:val="FootnoteReference"/>
        </w:rPr>
        <w:footnoteReference w:id="1"/>
      </w:r>
      <w:r w:rsidRPr="00B970E3">
        <w:t>,</w:t>
      </w:r>
    </w:p>
    <w:p w14:paraId="0AB2E8C7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članak 60. Poslovnika,</w:t>
      </w:r>
    </w:p>
    <w:p w14:paraId="0C98CD2C" w14:textId="77777777" w:rsidR="00DA1345" w:rsidRPr="00B970E3" w:rsidRDefault="00DA1345" w:rsidP="00DA1345">
      <w:pPr>
        <w:pStyle w:val="NormalHanging12a"/>
      </w:pPr>
      <w:r w:rsidRPr="00B970E3">
        <w:t>–</w:t>
      </w:r>
      <w:r w:rsidRPr="00B970E3">
        <w:tab/>
        <w:t>uzimajući u obzir izvješće Odbora za okoliš, klimu i sigurnost hrane (A10</w:t>
      </w:r>
      <w:r w:rsidRPr="00B970E3">
        <w:noBreakHyphen/>
      </w:r>
      <w:r w:rsidR="00DF5B88">
        <w:t>0134</w:t>
      </w:r>
      <w:r w:rsidRPr="00B970E3">
        <w:t>/2025),</w:t>
      </w:r>
    </w:p>
    <w:p w14:paraId="5D03D145" w14:textId="77777777" w:rsidR="00DA1345" w:rsidRPr="00B970E3" w:rsidRDefault="00DA1345" w:rsidP="00DA1345">
      <w:pPr>
        <w:pStyle w:val="NormalHanging12a"/>
      </w:pPr>
      <w:r w:rsidRPr="00B970E3">
        <w:t>1.</w:t>
      </w:r>
      <w:r w:rsidRPr="00B970E3">
        <w:tab/>
        <w:t xml:space="preserve">usvaja </w:t>
      </w:r>
      <w:r w:rsidR="00096098">
        <w:t xml:space="preserve">sljedeće </w:t>
      </w:r>
      <w:r w:rsidRPr="00B970E3">
        <w:t>stajalište u prvom čitanju;</w:t>
      </w:r>
    </w:p>
    <w:p w14:paraId="76803E6C" w14:textId="77777777" w:rsidR="00DA1345" w:rsidRPr="00B970E3" w:rsidRDefault="00DA1345" w:rsidP="00DA1345">
      <w:pPr>
        <w:pStyle w:val="NormalHanging12a"/>
      </w:pPr>
      <w:r w:rsidRPr="00B970E3">
        <w:t>2.</w:t>
      </w:r>
      <w:r w:rsidRPr="00B970E3">
        <w:tab/>
        <w:t>poziva Komisiju da predmet ponovno uputi Parlamentu ako zamijeni, bitno izmijeni ili namjerava bitno izmijeniti svoj Prijedlog;</w:t>
      </w:r>
    </w:p>
    <w:p w14:paraId="30E7A6D4" w14:textId="77777777" w:rsidR="00B970E3" w:rsidRDefault="00DA1345" w:rsidP="00B970E3">
      <w:pPr>
        <w:pStyle w:val="NormalHanging12a"/>
      </w:pPr>
      <w:r w:rsidRPr="00B970E3">
        <w:t>3.</w:t>
      </w:r>
      <w:r w:rsidRPr="00B970E3">
        <w:tab/>
        <w:t xml:space="preserve">nalaže svojoj predsjednici da stajalište Parlamenta proslijedi Vijeću, Komisiji i </w:t>
      </w:r>
      <w:r w:rsidRPr="00B970E3">
        <w:lastRenderedPageBreak/>
        <w:t>nacionalnim parlamentima.</w:t>
      </w:r>
    </w:p>
    <w:p w14:paraId="41F7D494" w14:textId="77777777" w:rsidR="00096098" w:rsidRDefault="00096098" w:rsidP="00B970E3">
      <w:pPr>
        <w:pStyle w:val="NormalHanging12a"/>
        <w:sectPr w:rsidR="00096098" w:rsidSect="00B970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A30921" w14:textId="77777777" w:rsidR="00096098" w:rsidRDefault="00096098" w:rsidP="00DF5B88">
      <w:pPr>
        <w:widowControl/>
        <w:spacing w:before="120" w:after="240"/>
        <w:rPr>
          <w:b/>
        </w:rPr>
      </w:pPr>
      <w:r w:rsidRPr="00AD0FC9">
        <w:rPr>
          <w:b/>
          <w:bCs/>
          <w:color w:val="000000"/>
        </w:rPr>
        <w:lastRenderedPageBreak/>
        <w:t>P10_TC1-COD(2025)0129</w:t>
      </w:r>
    </w:p>
    <w:p w14:paraId="18A22F40" w14:textId="77777777" w:rsidR="00096098" w:rsidRPr="00096098" w:rsidRDefault="00096098" w:rsidP="00DF5B88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2A6139">
        <w:rPr>
          <w:b/>
        </w:rPr>
        <w:t>Stajali</w:t>
      </w:r>
      <w:r w:rsidRPr="001725C1">
        <w:rPr>
          <w:b/>
        </w:rPr>
        <w:t>š</w:t>
      </w:r>
      <w:r w:rsidRPr="002A6139">
        <w:rPr>
          <w:b/>
        </w:rPr>
        <w:t>te</w:t>
      </w:r>
      <w:r w:rsidRPr="001725C1">
        <w:rPr>
          <w:b/>
        </w:rPr>
        <w:t xml:space="preserve"> </w:t>
      </w:r>
      <w:r w:rsidRPr="002A6139">
        <w:rPr>
          <w:b/>
        </w:rPr>
        <w:t>Europskog</w:t>
      </w:r>
      <w:r w:rsidRPr="001725C1">
        <w:rPr>
          <w:b/>
        </w:rPr>
        <w:t xml:space="preserve"> </w:t>
      </w:r>
      <w:r w:rsidRPr="002A6139">
        <w:rPr>
          <w:b/>
        </w:rPr>
        <w:t>parlamenta</w:t>
      </w:r>
      <w:r w:rsidRPr="001725C1">
        <w:rPr>
          <w:b/>
        </w:rPr>
        <w:t xml:space="preserve"> </w:t>
      </w:r>
      <w:r w:rsidRPr="002A6139">
        <w:rPr>
          <w:b/>
        </w:rPr>
        <w:t>usvojeno</w:t>
      </w:r>
      <w:r w:rsidRPr="001725C1">
        <w:rPr>
          <w:b/>
        </w:rPr>
        <w:t xml:space="preserve"> </w:t>
      </w:r>
      <w:r w:rsidRPr="002A6139">
        <w:rPr>
          <w:b/>
        </w:rPr>
        <w:t>u</w:t>
      </w:r>
      <w:r w:rsidRPr="001725C1">
        <w:rPr>
          <w:b/>
        </w:rPr>
        <w:t xml:space="preserve"> </w:t>
      </w:r>
      <w:r w:rsidRPr="002A6139">
        <w:rPr>
          <w:b/>
        </w:rPr>
        <w:t>prvom</w:t>
      </w:r>
      <w:r w:rsidRPr="001725C1">
        <w:rPr>
          <w:b/>
        </w:rPr>
        <w:t xml:space="preserve"> č</w:t>
      </w:r>
      <w:r w:rsidRPr="002A6139">
        <w:rPr>
          <w:b/>
        </w:rPr>
        <w:t>itanju</w:t>
      </w:r>
      <w:r>
        <w:rPr>
          <w:b/>
        </w:rPr>
        <w:t xml:space="preserve"> 10. srpnja 2025</w:t>
      </w:r>
      <w:r w:rsidRPr="001725C1">
        <w:rPr>
          <w:b/>
        </w:rPr>
        <w:t xml:space="preserve">. </w:t>
      </w:r>
      <w:r w:rsidRPr="002A6139">
        <w:rPr>
          <w:b/>
        </w:rPr>
        <w:t>radi</w:t>
      </w:r>
      <w:r w:rsidRPr="001725C1">
        <w:rPr>
          <w:b/>
        </w:rPr>
        <w:t xml:space="preserve"> </w:t>
      </w:r>
      <w:r w:rsidRPr="002A6139">
        <w:rPr>
          <w:b/>
        </w:rPr>
        <w:t>dono</w:t>
      </w:r>
      <w:r w:rsidRPr="001725C1">
        <w:rPr>
          <w:b/>
        </w:rPr>
        <w:t>š</w:t>
      </w:r>
      <w:r w:rsidRPr="002A6139">
        <w:rPr>
          <w:b/>
        </w:rPr>
        <w:t>enja</w:t>
      </w:r>
      <w:r w:rsidRPr="001725C1">
        <w:rPr>
          <w:b/>
        </w:rPr>
        <w:t xml:space="preserve"> </w:t>
      </w:r>
      <w:r>
        <w:rPr>
          <w:b/>
        </w:rPr>
        <w:t>Uredbe</w:t>
      </w:r>
      <w:r w:rsidRPr="001725C1">
        <w:rPr>
          <w:b/>
        </w:rPr>
        <w:t xml:space="preserve"> (</w:t>
      </w:r>
      <w:r w:rsidRPr="002A6139">
        <w:rPr>
          <w:b/>
        </w:rPr>
        <w:t>EU</w:t>
      </w:r>
      <w:r w:rsidRPr="001725C1">
        <w:rPr>
          <w:b/>
        </w:rPr>
        <w:t xml:space="preserve">) </w:t>
      </w:r>
      <w:r>
        <w:rPr>
          <w:b/>
        </w:rPr>
        <w:t>2025/...</w:t>
      </w:r>
      <w:r w:rsidRPr="001725C1">
        <w:rPr>
          <w:b/>
        </w:rPr>
        <w:t xml:space="preserve"> </w:t>
      </w:r>
      <w:r w:rsidRPr="002A6139">
        <w:rPr>
          <w:b/>
        </w:rPr>
        <w:t>Europskog</w:t>
      </w:r>
      <w:r w:rsidRPr="001725C1">
        <w:rPr>
          <w:b/>
        </w:rPr>
        <w:t xml:space="preserve"> </w:t>
      </w:r>
      <w:r w:rsidRPr="002A6139">
        <w:rPr>
          <w:b/>
        </w:rPr>
        <w:t>parlamenta</w:t>
      </w:r>
      <w:r w:rsidRPr="001725C1">
        <w:rPr>
          <w:b/>
        </w:rPr>
        <w:t xml:space="preserve"> </w:t>
      </w:r>
      <w:r w:rsidRPr="002A6139">
        <w:rPr>
          <w:b/>
        </w:rPr>
        <w:t>i</w:t>
      </w:r>
      <w:r w:rsidRPr="001725C1">
        <w:rPr>
          <w:b/>
        </w:rPr>
        <w:t xml:space="preserve"> </w:t>
      </w:r>
      <w:r w:rsidRPr="002A6139">
        <w:rPr>
          <w:b/>
        </w:rPr>
        <w:t>Vije</w:t>
      </w:r>
      <w:r w:rsidRPr="001725C1">
        <w:rPr>
          <w:b/>
        </w:rPr>
        <w:t>ć</w:t>
      </w:r>
      <w:r w:rsidRPr="002A6139">
        <w:rPr>
          <w:b/>
        </w:rPr>
        <w:t>a</w:t>
      </w:r>
      <w:r w:rsidRPr="001725C1">
        <w:rPr>
          <w:b/>
        </w:rPr>
        <w:t xml:space="preserve"> </w:t>
      </w:r>
      <w:r w:rsidRPr="00A1657D">
        <w:rPr>
          <w:b/>
          <w:snapToGrid w:val="0"/>
          <w:lang w:eastAsia="hr-HR"/>
        </w:rPr>
        <w:t xml:space="preserve">o </w:t>
      </w:r>
      <w:r w:rsidRPr="00096098">
        <w:rPr>
          <w:rFonts w:eastAsia="Calibri"/>
          <w:b/>
          <w:noProof/>
          <w:szCs w:val="22"/>
          <w:lang w:eastAsia="en-US"/>
        </w:rPr>
        <w:t>izmjeni Uredbe (EU) 2023/1542 u vezi s obvezama gospodarskih subjekata koje se odnose na politike dužne pažnje u pogledu baterija</w:t>
      </w:r>
    </w:p>
    <w:p w14:paraId="0EB0B7CE" w14:textId="77777777" w:rsidR="00F17B71" w:rsidRPr="00F17B71" w:rsidRDefault="00F17B71" w:rsidP="00F17B71">
      <w:pPr>
        <w:widowControl/>
        <w:spacing w:line="360" w:lineRule="auto"/>
        <w:rPr>
          <w:rFonts w:eastAsia="Calibri"/>
          <w:bCs/>
          <w:noProof/>
          <w:szCs w:val="22"/>
          <w:lang w:eastAsia="en-US"/>
        </w:rPr>
      </w:pPr>
    </w:p>
    <w:p w14:paraId="5B8A967D" w14:textId="1EF7EA5A" w:rsidR="00F17B71" w:rsidRPr="00F17B71" w:rsidRDefault="00F17B71" w:rsidP="00F17B71">
      <w:pPr>
        <w:widowControl/>
        <w:rPr>
          <w:rFonts w:eastAsia="Calibri"/>
          <w:i/>
          <w:szCs w:val="24"/>
          <w:lang w:eastAsia="en-US"/>
        </w:rPr>
      </w:pPr>
      <w:r w:rsidRPr="00F17B71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2025/1561.</w:t>
      </w:r>
      <w:r w:rsidRPr="00F17B71">
        <w:rPr>
          <w:rFonts w:eastAsia="Calibri"/>
          <w:i/>
          <w:szCs w:val="24"/>
          <w:lang w:eastAsia="en-US"/>
        </w:rPr>
        <w:t>)</w:t>
      </w:r>
    </w:p>
    <w:p w14:paraId="503CB549" w14:textId="77777777" w:rsidR="00F17B71" w:rsidRPr="00F17B71" w:rsidRDefault="00F17B71" w:rsidP="00F17B71">
      <w:pPr>
        <w:widowControl/>
        <w:spacing w:line="360" w:lineRule="auto"/>
        <w:rPr>
          <w:rFonts w:eastAsia="Calibri"/>
          <w:bCs/>
          <w:noProof/>
          <w:szCs w:val="22"/>
          <w:lang w:eastAsia="en-US"/>
        </w:rPr>
      </w:pPr>
    </w:p>
    <w:sectPr w:rsidR="00F17B71" w:rsidRPr="00F17B71" w:rsidSect="00B970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B5BDA" w14:textId="77777777" w:rsidR="00FA7D47" w:rsidRPr="00B970E3" w:rsidRDefault="00FA7D47">
      <w:r w:rsidRPr="00B970E3">
        <w:separator/>
      </w:r>
    </w:p>
  </w:endnote>
  <w:endnote w:type="continuationSeparator" w:id="0">
    <w:p w14:paraId="7AA73788" w14:textId="77777777" w:rsidR="00FA7D47" w:rsidRPr="00B970E3" w:rsidRDefault="00FA7D47">
      <w:r w:rsidRPr="00B97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5B2C" w14:textId="77777777" w:rsidR="00064002" w:rsidRPr="00B970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94A55" w14:textId="77777777" w:rsidR="00064002" w:rsidRPr="00B970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7AF59" w14:textId="77777777" w:rsidR="00064002" w:rsidRPr="00B970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D58A2" w14:textId="77777777" w:rsidR="00FA7D47" w:rsidRPr="00B970E3" w:rsidRDefault="00FA7D47">
      <w:r w:rsidRPr="00B970E3">
        <w:separator/>
      </w:r>
    </w:p>
  </w:footnote>
  <w:footnote w:type="continuationSeparator" w:id="0">
    <w:p w14:paraId="3DF3F759" w14:textId="77777777" w:rsidR="00FA7D47" w:rsidRPr="00B970E3" w:rsidRDefault="00FA7D47">
      <w:r w:rsidRPr="00B970E3">
        <w:continuationSeparator/>
      </w:r>
    </w:p>
  </w:footnote>
  <w:footnote w:id="1">
    <w:p w14:paraId="62CF108E" w14:textId="77777777" w:rsidR="00DA1345" w:rsidRPr="00B970E3" w:rsidRDefault="00DA1345" w:rsidP="00B970E3">
      <w:pPr>
        <w:pStyle w:val="FootnoteText"/>
        <w:ind w:left="567" w:hanging="567"/>
        <w:rPr>
          <w:sz w:val="24"/>
          <w:lang w:val="hr-HR"/>
        </w:rPr>
      </w:pPr>
      <w:r w:rsidRPr="00B970E3">
        <w:rPr>
          <w:rStyle w:val="FootnoteReference"/>
          <w:sz w:val="24"/>
          <w:lang w:val="hr-HR"/>
        </w:rPr>
        <w:footnoteRef/>
      </w:r>
      <w:r w:rsidR="00B970E3" w:rsidRPr="00B970E3">
        <w:rPr>
          <w:sz w:val="24"/>
          <w:lang w:val="hr-HR"/>
        </w:rPr>
        <w:t xml:space="preserve"> </w:t>
      </w:r>
      <w:r w:rsidR="00B970E3" w:rsidRPr="00B970E3">
        <w:rPr>
          <w:sz w:val="24"/>
          <w:lang w:val="hr-HR"/>
        </w:rPr>
        <w:tab/>
      </w:r>
      <w:r w:rsidRPr="00B970E3">
        <w:rPr>
          <w:sz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DCA1" w14:textId="77777777" w:rsidR="00064002" w:rsidRPr="00B970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F0E" w14:textId="77777777" w:rsidR="00064002" w:rsidRPr="00B970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8AAB" w14:textId="77777777" w:rsidR="00064002" w:rsidRPr="00B970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064702">
    <w:abstractNumId w:val="9"/>
  </w:num>
  <w:num w:numId="2" w16cid:durableId="692728142">
    <w:abstractNumId w:val="9"/>
  </w:num>
  <w:num w:numId="3" w16cid:durableId="1751659278">
    <w:abstractNumId w:val="7"/>
  </w:num>
  <w:num w:numId="4" w16cid:durableId="1220744257">
    <w:abstractNumId w:val="7"/>
  </w:num>
  <w:num w:numId="5" w16cid:durableId="385615897">
    <w:abstractNumId w:val="6"/>
  </w:num>
  <w:num w:numId="6" w16cid:durableId="805506390">
    <w:abstractNumId w:val="6"/>
  </w:num>
  <w:num w:numId="7" w16cid:durableId="1137721507">
    <w:abstractNumId w:val="5"/>
  </w:num>
  <w:num w:numId="8" w16cid:durableId="183710654">
    <w:abstractNumId w:val="5"/>
  </w:num>
  <w:num w:numId="9" w16cid:durableId="2130275153">
    <w:abstractNumId w:val="4"/>
  </w:num>
  <w:num w:numId="10" w16cid:durableId="2003198672">
    <w:abstractNumId w:val="4"/>
  </w:num>
  <w:num w:numId="11" w16cid:durableId="915020201">
    <w:abstractNumId w:val="8"/>
  </w:num>
  <w:num w:numId="12" w16cid:durableId="320819360">
    <w:abstractNumId w:val="8"/>
  </w:num>
  <w:num w:numId="13" w16cid:durableId="888035560">
    <w:abstractNumId w:val="3"/>
  </w:num>
  <w:num w:numId="14" w16cid:durableId="915020077">
    <w:abstractNumId w:val="3"/>
  </w:num>
  <w:num w:numId="15" w16cid:durableId="311057945">
    <w:abstractNumId w:val="2"/>
  </w:num>
  <w:num w:numId="16" w16cid:durableId="1645887987">
    <w:abstractNumId w:val="2"/>
  </w:num>
  <w:num w:numId="17" w16cid:durableId="1277785847">
    <w:abstractNumId w:val="1"/>
  </w:num>
  <w:num w:numId="18" w16cid:durableId="792678400">
    <w:abstractNumId w:val="1"/>
  </w:num>
  <w:num w:numId="19" w16cid:durableId="12533619">
    <w:abstractNumId w:val="0"/>
  </w:num>
  <w:num w:numId="20" w16cid:durableId="1624993939">
    <w:abstractNumId w:val="0"/>
  </w:num>
  <w:num w:numId="21" w16cid:durableId="792480348">
    <w:abstractNumId w:val="9"/>
  </w:num>
  <w:num w:numId="22" w16cid:durableId="359474911">
    <w:abstractNumId w:val="7"/>
  </w:num>
  <w:num w:numId="23" w16cid:durableId="759372056">
    <w:abstractNumId w:val="6"/>
  </w:num>
  <w:num w:numId="24" w16cid:durableId="1527517641">
    <w:abstractNumId w:val="5"/>
  </w:num>
  <w:num w:numId="25" w16cid:durableId="850875509">
    <w:abstractNumId w:val="4"/>
  </w:num>
  <w:num w:numId="26" w16cid:durableId="820004799">
    <w:abstractNumId w:val="8"/>
  </w:num>
  <w:num w:numId="27" w16cid:durableId="879245664">
    <w:abstractNumId w:val="3"/>
  </w:num>
  <w:num w:numId="28" w16cid:durableId="126826292">
    <w:abstractNumId w:val="2"/>
  </w:num>
  <w:num w:numId="29" w16cid:durableId="1681270042">
    <w:abstractNumId w:val="1"/>
  </w:num>
  <w:num w:numId="30" w16cid:durableId="1446386072">
    <w:abstractNumId w:val="0"/>
  </w:num>
  <w:num w:numId="31" w16cid:durableId="992567233">
    <w:abstractNumId w:val="9"/>
  </w:num>
  <w:num w:numId="32" w16cid:durableId="1497843392">
    <w:abstractNumId w:val="7"/>
  </w:num>
  <w:num w:numId="33" w16cid:durableId="179245412">
    <w:abstractNumId w:val="6"/>
  </w:num>
  <w:num w:numId="34" w16cid:durableId="1437872933">
    <w:abstractNumId w:val="5"/>
  </w:num>
  <w:num w:numId="35" w16cid:durableId="155190372">
    <w:abstractNumId w:val="4"/>
  </w:num>
  <w:num w:numId="36" w16cid:durableId="592009104">
    <w:abstractNumId w:val="8"/>
  </w:num>
  <w:num w:numId="37" w16cid:durableId="1294097742">
    <w:abstractNumId w:val="3"/>
  </w:num>
  <w:num w:numId="38" w16cid:durableId="1293555750">
    <w:abstractNumId w:val="2"/>
  </w:num>
  <w:num w:numId="39" w16cid:durableId="1018894087">
    <w:abstractNumId w:val="1"/>
  </w:num>
  <w:num w:numId="40" w16cid:durableId="470903481">
    <w:abstractNumId w:val="0"/>
  </w:num>
  <w:num w:numId="41" w16cid:durableId="2116290449">
    <w:abstractNumId w:val="10"/>
  </w:num>
  <w:num w:numId="42" w16cid:durableId="2036419224">
    <w:abstractNumId w:val="10"/>
  </w:num>
  <w:num w:numId="43" w16cid:durableId="2114397976">
    <w:abstractNumId w:val="10"/>
  </w:num>
  <w:num w:numId="44" w16cid:durableId="1000038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HR"/>
    <w:docVar w:name="dvnumam" w:val="0"/>
    <w:docVar w:name="dvpe" w:val="775.519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23/1542 u vezi s obvezama gospodarskih subjekata koje se odnose na politike dužne pažnje u pogledu baterija(COM(2025)0258 – C10-0089/2025 – 2025/0129(COD))"/>
  </w:docVars>
  <w:rsids>
    <w:rsidRoot w:val="00FA7D47"/>
    <w:rsid w:val="00002272"/>
    <w:rsid w:val="00064002"/>
    <w:rsid w:val="000677B9"/>
    <w:rsid w:val="000831BA"/>
    <w:rsid w:val="0009609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01C"/>
    <w:rsid w:val="00582842"/>
    <w:rsid w:val="005C2568"/>
    <w:rsid w:val="005F1B17"/>
    <w:rsid w:val="006037C0"/>
    <w:rsid w:val="006631B6"/>
    <w:rsid w:val="00680577"/>
    <w:rsid w:val="0068464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4B7"/>
    <w:rsid w:val="00AE0928"/>
    <w:rsid w:val="00AF3B82"/>
    <w:rsid w:val="00B12E95"/>
    <w:rsid w:val="00B22876"/>
    <w:rsid w:val="00B558F0"/>
    <w:rsid w:val="00B970E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345"/>
    <w:rsid w:val="00DA7FCD"/>
    <w:rsid w:val="00DD250C"/>
    <w:rsid w:val="00DF5B8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B71"/>
    <w:rsid w:val="00F5134D"/>
    <w:rsid w:val="00F74202"/>
    <w:rsid w:val="00F87713"/>
    <w:rsid w:val="00FA7D4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A408"/>
  <w15:chartTrackingRefBased/>
  <w15:docId w15:val="{C99FCAE9-A620-41CE-8C7C-3CF8C7C5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1345"/>
    <w:pPr>
      <w:spacing w:before="480" w:after="240"/>
    </w:pPr>
  </w:style>
  <w:style w:type="paragraph" w:customStyle="1" w:styleId="NormalBold">
    <w:name w:val="NormalBold"/>
    <w:basedOn w:val="Normal"/>
    <w:rsid w:val="00DA1345"/>
    <w:rPr>
      <w:b/>
    </w:rPr>
  </w:style>
  <w:style w:type="paragraph" w:customStyle="1" w:styleId="NormalHanging12a">
    <w:name w:val="NormalHanging12a"/>
    <w:basedOn w:val="Normal"/>
    <w:rsid w:val="00DA1345"/>
    <w:pPr>
      <w:spacing w:after="240"/>
      <w:ind w:left="567" w:hanging="567"/>
    </w:pPr>
  </w:style>
  <w:style w:type="character" w:customStyle="1" w:styleId="Hyperlink1">
    <w:name w:val="Hyperlink1"/>
    <w:basedOn w:val="DefaultParagraphFont"/>
    <w:uiPriority w:val="99"/>
    <w:unhideWhenUsed/>
    <w:rsid w:val="00096098"/>
    <w:rPr>
      <w:color w:val="0563C1"/>
      <w:u w:val="single"/>
    </w:rPr>
  </w:style>
  <w:style w:type="character" w:styleId="Hyperlink">
    <w:name w:val="Hyperlink"/>
    <w:basedOn w:val="DefaultParagraphFont"/>
    <w:rsid w:val="000960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096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609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00D07-CBE1-4A27-8D8B-6C5660125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2025-10-22T14:36:00Z</dcterms:created>
  <dcterms:modified xsi:type="dcterms:W3CDTF">2025-10-22T14:36:00Z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