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5DC4" w14:paraId="54E89D15" w14:textId="77777777" w:rsidTr="0010095E">
        <w:trPr>
          <w:trHeight w:hRule="exact" w:val="1418"/>
        </w:trPr>
        <w:tc>
          <w:tcPr>
            <w:tcW w:w="6804" w:type="dxa"/>
            <w:shd w:val="clear" w:color="auto" w:fill="auto"/>
            <w:vAlign w:val="center"/>
          </w:tcPr>
          <w:p w14:paraId="21F46658" w14:textId="77777777" w:rsidR="00751A4A" w:rsidRPr="00EA5DC4" w:rsidRDefault="00300BBB" w:rsidP="0010095E">
            <w:pPr>
              <w:pStyle w:val="EPName"/>
            </w:pPr>
            <w:r w:rsidRPr="00EA5DC4">
              <w:t>Europos Parlamentas</w:t>
            </w:r>
          </w:p>
          <w:p w14:paraId="38070A52" w14:textId="77777777" w:rsidR="00751A4A" w:rsidRPr="00EA5DC4" w:rsidRDefault="005F1B17" w:rsidP="005F1B17">
            <w:pPr>
              <w:pStyle w:val="EPTerm"/>
              <w:rPr>
                <w:rStyle w:val="HideTWBExt"/>
                <w:noProof w:val="0"/>
                <w:vanish w:val="0"/>
                <w:color w:val="auto"/>
              </w:rPr>
            </w:pPr>
            <w:r w:rsidRPr="00EA5DC4">
              <w:t>2024</w:t>
            </w:r>
            <w:r w:rsidR="00817416" w:rsidRPr="00EA5DC4">
              <w:t>-202</w:t>
            </w:r>
            <w:r w:rsidRPr="00EA5DC4">
              <w:t>9</w:t>
            </w:r>
          </w:p>
        </w:tc>
        <w:tc>
          <w:tcPr>
            <w:tcW w:w="2268" w:type="dxa"/>
            <w:shd w:val="clear" w:color="auto" w:fill="auto"/>
          </w:tcPr>
          <w:p w14:paraId="0123C927" w14:textId="77777777" w:rsidR="00751A4A" w:rsidRPr="00EA5DC4" w:rsidRDefault="00187494" w:rsidP="0010095E">
            <w:pPr>
              <w:pStyle w:val="EPLogo"/>
            </w:pPr>
            <w:r w:rsidRPr="00EA5DC4">
              <w:rPr>
                <w:noProof/>
                <w:lang w:val="en-GB"/>
              </w:rPr>
              <w:drawing>
                <wp:inline distT="0" distB="0" distL="0" distR="0" wp14:anchorId="754886BF" wp14:editId="7A6655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DF0625" w14:textId="77777777" w:rsidR="00D058B8" w:rsidRPr="00EA5DC4" w:rsidRDefault="00D058B8" w:rsidP="004C5D52">
      <w:pPr>
        <w:pStyle w:val="LineTop"/>
      </w:pPr>
    </w:p>
    <w:p w14:paraId="58FBA4BD" w14:textId="77777777" w:rsidR="00680577" w:rsidRPr="00EA5DC4" w:rsidRDefault="00300BBB" w:rsidP="00680577">
      <w:pPr>
        <w:pStyle w:val="EPBodyTA1"/>
      </w:pPr>
      <w:r w:rsidRPr="00EA5DC4">
        <w:t>PRIIMTI TEKSTAI</w:t>
      </w:r>
    </w:p>
    <w:p w14:paraId="48EBC4B2" w14:textId="77777777" w:rsidR="00D058B8" w:rsidRPr="00EA5DC4" w:rsidRDefault="00D058B8" w:rsidP="00D058B8">
      <w:pPr>
        <w:pStyle w:val="LineBottom"/>
      </w:pPr>
    </w:p>
    <w:p w14:paraId="17E5B8EF" w14:textId="77777777" w:rsidR="00300BBB" w:rsidRPr="00EA5DC4" w:rsidRDefault="00300BBB" w:rsidP="00300BBB">
      <w:pPr>
        <w:pStyle w:val="ATHeading1"/>
      </w:pPr>
      <w:bookmarkStart w:id="0" w:name="TANumber"/>
      <w:r w:rsidRPr="00EA5DC4">
        <w:t>P10_TA(2025)0</w:t>
      </w:r>
      <w:r w:rsidR="00E90928">
        <w:t>164</w:t>
      </w:r>
      <w:bookmarkEnd w:id="0"/>
    </w:p>
    <w:p w14:paraId="62F45B40" w14:textId="77777777" w:rsidR="00300BBB" w:rsidRPr="00EA5DC4" w:rsidRDefault="00300BBB" w:rsidP="00300BBB">
      <w:pPr>
        <w:pStyle w:val="ATHeading2"/>
      </w:pPr>
      <w:bookmarkStart w:id="1" w:name="title"/>
      <w:r w:rsidRPr="00EA5DC4">
        <w:t>Reglamento (ES) 2023/1542 dalinis keitimas dėl ekonominės veiklos vykdytojų pareigų, susijusių su baterijų išsamaus patikrinimo politika</w:t>
      </w:r>
      <w:bookmarkEnd w:id="1"/>
    </w:p>
    <w:p w14:paraId="535D8974" w14:textId="77777777" w:rsidR="00300BBB" w:rsidRPr="00EA5DC4" w:rsidRDefault="00300BBB" w:rsidP="00300BBB">
      <w:pPr>
        <w:rPr>
          <w:i/>
          <w:vanish/>
        </w:rPr>
      </w:pPr>
      <w:r w:rsidRPr="00EA5DC4">
        <w:rPr>
          <w:i/>
        </w:rPr>
        <w:fldChar w:fldCharType="begin"/>
      </w:r>
      <w:r w:rsidRPr="00EA5DC4">
        <w:rPr>
          <w:i/>
        </w:rPr>
        <w:instrText xml:space="preserve"> TC"(</w:instrText>
      </w:r>
      <w:bookmarkStart w:id="2" w:name="DocNumber"/>
      <w:r w:rsidRPr="00EA5DC4">
        <w:rPr>
          <w:i/>
        </w:rPr>
        <w:instrText>A10-0134/2025</w:instrText>
      </w:r>
      <w:bookmarkEnd w:id="2"/>
      <w:r w:rsidRPr="00EA5DC4">
        <w:rPr>
          <w:i/>
        </w:rPr>
        <w:instrText xml:space="preserve"> - Pranešėjas: Antonio Decaro)"\l3 \n&gt; \* MERGEFORMAT </w:instrText>
      </w:r>
      <w:r w:rsidRPr="00EA5DC4">
        <w:rPr>
          <w:i/>
        </w:rPr>
        <w:fldChar w:fldCharType="end"/>
      </w:r>
    </w:p>
    <w:p w14:paraId="466F13DD" w14:textId="77777777" w:rsidR="00300BBB" w:rsidRPr="00EA5DC4" w:rsidRDefault="00300BBB" w:rsidP="00300BBB">
      <w:pPr>
        <w:rPr>
          <w:vanish/>
        </w:rPr>
      </w:pPr>
      <w:bookmarkStart w:id="3" w:name="Commission"/>
      <w:r w:rsidRPr="00EA5DC4">
        <w:rPr>
          <w:vanish/>
        </w:rPr>
        <w:t>Aplinkos, klimato ir maisto saugos komitetas</w:t>
      </w:r>
      <w:bookmarkEnd w:id="3"/>
    </w:p>
    <w:p w14:paraId="2E59CE44" w14:textId="77777777" w:rsidR="00300BBB" w:rsidRPr="00EA5DC4" w:rsidRDefault="00300BBB" w:rsidP="00300BBB">
      <w:pPr>
        <w:rPr>
          <w:vanish/>
        </w:rPr>
      </w:pPr>
      <w:bookmarkStart w:id="4" w:name="PE"/>
      <w:r w:rsidRPr="00EA5DC4">
        <w:rPr>
          <w:vanish/>
        </w:rPr>
        <w:t>PE775.519</w:t>
      </w:r>
      <w:bookmarkEnd w:id="4"/>
    </w:p>
    <w:p w14:paraId="464ADD65" w14:textId="77777777" w:rsidR="00300BBB" w:rsidRPr="00EA5DC4" w:rsidRDefault="00300BBB" w:rsidP="00300BBB">
      <w:pPr>
        <w:pStyle w:val="ATHeading3"/>
      </w:pPr>
      <w:bookmarkStart w:id="5" w:name="Sujet"/>
      <w:r w:rsidRPr="00EA5DC4">
        <w:t>2025 m. liepos 10 d. Europos Parlamento teisėkūros rezoliucija dėl pasiūlymo dėl Europos Parlamento ir Tarybos reglamento, kuriuo dėl ekonominės veiklos vykdytojų pareigų, susijusių su baterijų išsamaus patikrinimo politika, iš dalies keičiamas Reglamentas (ES) 2023/1542</w:t>
      </w:r>
      <w:bookmarkEnd w:id="5"/>
      <w:r w:rsidRPr="00EA5DC4">
        <w:t xml:space="preserve"> </w:t>
      </w:r>
      <w:bookmarkStart w:id="6" w:name="References"/>
      <w:r w:rsidRPr="00EA5DC4">
        <w:t>(COM(2025)0258 – C10-0089/2025 – 2025/0129(COD))</w:t>
      </w:r>
      <w:bookmarkEnd w:id="6"/>
    </w:p>
    <w:p w14:paraId="411C4B9A" w14:textId="77777777" w:rsidR="00300BBB" w:rsidRPr="00EA5DC4" w:rsidRDefault="00300BBB" w:rsidP="00300BBB"/>
    <w:p w14:paraId="758D199A" w14:textId="77777777" w:rsidR="00117F58" w:rsidRPr="00EA5DC4" w:rsidRDefault="00117F58" w:rsidP="00117F58">
      <w:pPr>
        <w:pStyle w:val="NormalBold"/>
      </w:pPr>
      <w:bookmarkStart w:id="7" w:name="TextBodyBegin"/>
      <w:bookmarkEnd w:id="7"/>
      <w:r w:rsidRPr="00EA5DC4">
        <w:t>(Įprasta teisėkūros procedūra: pirmasis svarstymas)</w:t>
      </w:r>
    </w:p>
    <w:p w14:paraId="411C0DCD" w14:textId="77777777" w:rsidR="00117F58" w:rsidRPr="00EA5DC4" w:rsidRDefault="00117F58" w:rsidP="00117F58">
      <w:pPr>
        <w:pStyle w:val="EPComma"/>
      </w:pPr>
      <w:r w:rsidRPr="00EA5DC4">
        <w:rPr>
          <w:i/>
        </w:rPr>
        <w:t>Europos Parlamentas</w:t>
      </w:r>
      <w:r w:rsidRPr="00EA5DC4">
        <w:t>,</w:t>
      </w:r>
    </w:p>
    <w:p w14:paraId="6C4A37D4" w14:textId="77777777" w:rsidR="00117F58" w:rsidRPr="00EA5DC4" w:rsidRDefault="00117F58" w:rsidP="00117F58">
      <w:pPr>
        <w:pStyle w:val="NormalHanging12a"/>
      </w:pPr>
      <w:r w:rsidRPr="00EA5DC4">
        <w:t>–</w:t>
      </w:r>
      <w:r w:rsidRPr="00EA5DC4">
        <w:tab/>
        <w:t>atsižvelgdamas į Komisijos pasiūlymą Europos Parlamentui ir Tarybai (COM(2025)0258),</w:t>
      </w:r>
    </w:p>
    <w:p w14:paraId="764CAF5B" w14:textId="77777777" w:rsidR="00117F58" w:rsidRPr="00EA5DC4" w:rsidRDefault="00117F58" w:rsidP="00117F58">
      <w:pPr>
        <w:pStyle w:val="NormalHanging12a"/>
      </w:pPr>
      <w:r w:rsidRPr="00EA5DC4">
        <w:t>–</w:t>
      </w:r>
      <w:r w:rsidRPr="00EA5DC4">
        <w:tab/>
        <w:t>atsižvelgdamas į Sutarties dėl Europos Sąjungos veikimo 294 straipsnio 2 dalį ir 114 straipsnį, pagal kuriuos Komisija pateikė pasiūlymą Parlamentui (C10</w:t>
      </w:r>
      <w:r w:rsidRPr="00EA5DC4">
        <w:noBreakHyphen/>
        <w:t>0089/2025),</w:t>
      </w:r>
    </w:p>
    <w:p w14:paraId="76F03343" w14:textId="77777777" w:rsidR="00117F58" w:rsidRPr="00EA5DC4" w:rsidRDefault="00117F58" w:rsidP="00117F58">
      <w:pPr>
        <w:pStyle w:val="NormalHanging12a"/>
      </w:pPr>
      <w:r w:rsidRPr="00EA5DC4">
        <w:t>–</w:t>
      </w:r>
      <w:r w:rsidRPr="00EA5DC4">
        <w:tab/>
        <w:t>atsižvelgdamas į Sutarties dėl Europos Sąjungos veikimo 294 straipsnio 3 dalį,</w:t>
      </w:r>
    </w:p>
    <w:p w14:paraId="77EB7F42" w14:textId="77777777" w:rsidR="00117F58" w:rsidRPr="00EA5DC4" w:rsidRDefault="00117F58" w:rsidP="00117F58">
      <w:pPr>
        <w:pStyle w:val="NormalHanging12a"/>
      </w:pPr>
      <w:r w:rsidRPr="00EA5DC4">
        <w:t>–</w:t>
      </w:r>
      <w:r w:rsidRPr="00EA5DC4">
        <w:tab/>
        <w:t>atsižvelgdamas į 2025 m. birželio 18 d. Europos ekonomikos ir socialinių reikalų komiteto nuomonę</w:t>
      </w:r>
      <w:r w:rsidRPr="00EA5DC4">
        <w:rPr>
          <w:rStyle w:val="FootnoteReference"/>
        </w:rPr>
        <w:footnoteReference w:id="1"/>
      </w:r>
      <w:r w:rsidRPr="00EA5DC4">
        <w:t>,</w:t>
      </w:r>
    </w:p>
    <w:p w14:paraId="207DF2CD" w14:textId="77777777" w:rsidR="00117F58" w:rsidRPr="00EA5DC4" w:rsidRDefault="00117F58" w:rsidP="00117F58">
      <w:pPr>
        <w:pStyle w:val="NormalHanging12a"/>
      </w:pPr>
      <w:r w:rsidRPr="00EA5DC4">
        <w:t>–</w:t>
      </w:r>
      <w:r w:rsidRPr="00EA5DC4">
        <w:tab/>
        <w:t>atsižvelgdamas į Darbo tvarkos taisyklių 60 straipsnį,</w:t>
      </w:r>
    </w:p>
    <w:p w14:paraId="1AD864A3" w14:textId="77777777" w:rsidR="00117F58" w:rsidRPr="00EA5DC4" w:rsidRDefault="00117F58" w:rsidP="00117F58">
      <w:pPr>
        <w:pStyle w:val="NormalHanging12a"/>
      </w:pPr>
      <w:r w:rsidRPr="00EA5DC4">
        <w:t>–</w:t>
      </w:r>
      <w:r w:rsidRPr="00EA5DC4">
        <w:tab/>
        <w:t>atsižvelgdamas į Aplinkos, klimato ir maisto saugos komiteto pranešimą (A10-0134/2025),</w:t>
      </w:r>
    </w:p>
    <w:p w14:paraId="7A998399" w14:textId="77777777" w:rsidR="00117F58" w:rsidRPr="00EA5DC4" w:rsidRDefault="00117F58" w:rsidP="00117F58">
      <w:pPr>
        <w:pStyle w:val="NormalHanging12a"/>
      </w:pPr>
      <w:r w:rsidRPr="00EA5DC4">
        <w:t>1.</w:t>
      </w:r>
      <w:r w:rsidRPr="00EA5DC4">
        <w:tab/>
        <w:t xml:space="preserve">priima per pirmąjį svarstymą </w:t>
      </w:r>
      <w:r w:rsidR="00AA06DE" w:rsidRPr="007D2601">
        <w:t>toliau pateiktą poziciją</w:t>
      </w:r>
      <w:r w:rsidRPr="00EA5DC4">
        <w:t>;</w:t>
      </w:r>
    </w:p>
    <w:p w14:paraId="6E5A823C" w14:textId="77777777" w:rsidR="00117F58" w:rsidRPr="00EA5DC4" w:rsidRDefault="00117F58" w:rsidP="00117F58">
      <w:pPr>
        <w:pStyle w:val="NormalHanging12a"/>
      </w:pPr>
      <w:r w:rsidRPr="00EA5DC4">
        <w:t>2.</w:t>
      </w:r>
      <w:r w:rsidRPr="00EA5DC4">
        <w:tab/>
        <w:t>ragina Komisiją dar kartą perduoti klausimą svarstyti Parlamentui, jei ji savo pasiūlymą pakeičia nauju tekstu, jį keičia iš esmės arba ketina jį keisti iš esmės;</w:t>
      </w:r>
    </w:p>
    <w:p w14:paraId="2143292A" w14:textId="77777777" w:rsidR="00AA06DE" w:rsidRDefault="00613554" w:rsidP="00EA5DC4">
      <w:pPr>
        <w:pStyle w:val="NormalHanging12a"/>
        <w:sectPr w:rsidR="00AA06DE" w:rsidSect="00EA5DC4">
          <w:footnotePr>
            <w:numRestart w:val="eachSect"/>
          </w:footnotePr>
          <w:endnotePr>
            <w:numFmt w:val="decimal"/>
          </w:endnotePr>
          <w:pgSz w:w="11906" w:h="16838" w:code="9"/>
          <w:pgMar w:top="1134" w:right="1418" w:bottom="1418" w:left="1418" w:header="1134" w:footer="567" w:gutter="0"/>
          <w:cols w:space="720"/>
          <w:noEndnote/>
          <w:docGrid w:linePitch="326"/>
        </w:sectPr>
      </w:pPr>
      <w:r>
        <w:t>3</w:t>
      </w:r>
      <w:r w:rsidR="00117F58" w:rsidRPr="00EA5DC4">
        <w:t>.</w:t>
      </w:r>
      <w:r w:rsidR="00117F58" w:rsidRPr="00EA5DC4">
        <w:tab/>
        <w:t xml:space="preserve">paveda Pirmininkei perduoti Parlamento poziciją Tarybai, Komisijai ir nacionaliniams </w:t>
      </w:r>
      <w:r w:rsidR="00117F58" w:rsidRPr="00EA5DC4">
        <w:lastRenderedPageBreak/>
        <w:t>parlamentams.</w:t>
      </w:r>
    </w:p>
    <w:p w14:paraId="288F035B" w14:textId="77777777" w:rsidR="00AA06DE" w:rsidRPr="00AD0FC9" w:rsidRDefault="00AA06DE" w:rsidP="009B6C79">
      <w:pPr>
        <w:autoSpaceDE w:val="0"/>
        <w:autoSpaceDN w:val="0"/>
        <w:adjustRightInd w:val="0"/>
        <w:spacing w:after="240"/>
        <w:rPr>
          <w:b/>
          <w:bCs/>
          <w:color w:val="000000"/>
        </w:rPr>
      </w:pPr>
      <w:r w:rsidRPr="00AD0FC9">
        <w:rPr>
          <w:b/>
          <w:bCs/>
          <w:color w:val="000000"/>
        </w:rPr>
        <w:lastRenderedPageBreak/>
        <w:t>P10_TC1-COD(2025)0129</w:t>
      </w:r>
    </w:p>
    <w:p w14:paraId="11807E65" w14:textId="1B2C7675" w:rsidR="00613554" w:rsidRPr="00613554" w:rsidRDefault="00AA06DE" w:rsidP="009B6C79">
      <w:pPr>
        <w:pStyle w:val="NormalHanging12a"/>
        <w:ind w:left="0" w:firstLine="0"/>
        <w:rPr>
          <w:rFonts w:eastAsia="Calibri"/>
          <w:b/>
          <w:noProof/>
          <w:szCs w:val="22"/>
          <w:lang w:eastAsia="en-US"/>
        </w:rPr>
      </w:pPr>
      <w:r w:rsidRPr="00FB453E">
        <w:rPr>
          <w:b/>
          <w:szCs w:val="24"/>
        </w:rPr>
        <w:t xml:space="preserve">Europos </w:t>
      </w:r>
      <w:r w:rsidRPr="00FB453E">
        <w:rPr>
          <w:b/>
          <w:bCs/>
          <w:szCs w:val="24"/>
        </w:rPr>
        <w:t>Parlamento</w:t>
      </w:r>
      <w:r w:rsidRPr="00FB453E">
        <w:rPr>
          <w:b/>
          <w:szCs w:val="24"/>
        </w:rPr>
        <w:t xml:space="preserve"> pozicija, priimta 2025 m. </w:t>
      </w:r>
      <w:r>
        <w:rPr>
          <w:b/>
          <w:szCs w:val="24"/>
        </w:rPr>
        <w:t xml:space="preserve">liepos </w:t>
      </w:r>
      <w:r w:rsidR="00E90928">
        <w:rPr>
          <w:b/>
          <w:szCs w:val="24"/>
        </w:rPr>
        <w:t xml:space="preserve">10 </w:t>
      </w:r>
      <w:r w:rsidRPr="00FB453E">
        <w:rPr>
          <w:b/>
          <w:szCs w:val="24"/>
        </w:rPr>
        <w:t>d. per pirmąjį svarstymą, siekiant priimti Europos Parlamento ir Tarybos reglament</w:t>
      </w:r>
      <w:r>
        <w:rPr>
          <w:b/>
          <w:szCs w:val="24"/>
        </w:rPr>
        <w:t>ą</w:t>
      </w:r>
      <w:r w:rsidRPr="00FB453E">
        <w:rPr>
          <w:rFonts w:eastAsia="Calibri"/>
          <w:b/>
          <w:noProof/>
          <w:szCs w:val="22"/>
          <w:lang w:eastAsia="en-US"/>
        </w:rPr>
        <w:t xml:space="preserve"> (ES) 2025/...</w:t>
      </w:r>
      <w:r w:rsidR="009B6C79">
        <w:rPr>
          <w:rFonts w:eastAsia="Calibri"/>
          <w:b/>
          <w:noProof/>
          <w:szCs w:val="22"/>
          <w:lang w:eastAsia="en-US"/>
        </w:rPr>
        <w:t>,</w:t>
      </w:r>
      <w:r w:rsidRPr="00FB453E">
        <w:rPr>
          <w:rFonts w:eastAsia="Calibri"/>
          <w:b/>
          <w:noProof/>
          <w:szCs w:val="22"/>
          <w:lang w:eastAsia="en-US"/>
        </w:rPr>
        <w:t xml:space="preserve"> </w:t>
      </w:r>
      <w:r w:rsidR="009B6C79" w:rsidRPr="009B6C79">
        <w:rPr>
          <w:rFonts w:eastAsia="Calibri"/>
          <w:b/>
          <w:noProof/>
          <w:szCs w:val="22"/>
          <w:lang w:eastAsia="en-US"/>
        </w:rPr>
        <w:t>kuriuo iš dalies keičiamas Reglamentas (ES) 2023/1542, kiek tai susiję su ekonominės veiklos vykdytojų pareigomis, susijusiomis su baterijų išsamaus patikrinimo politika</w:t>
      </w:r>
    </w:p>
    <w:p w14:paraId="5EBC34F5" w14:textId="09D42D44" w:rsidR="00613554" w:rsidRPr="009B6C79" w:rsidRDefault="009B6C79" w:rsidP="009B6C79">
      <w:pPr>
        <w:widowControl/>
        <w:spacing w:after="240"/>
        <w:rPr>
          <w:rFonts w:eastAsia="Calibri"/>
          <w:bCs/>
          <w:i/>
          <w:noProof/>
          <w:szCs w:val="22"/>
          <w:lang w:eastAsia="en-US"/>
        </w:rPr>
      </w:pPr>
      <w:r w:rsidRPr="009B6C79">
        <w:rPr>
          <w:rFonts w:eastAsia="Calibri"/>
          <w:bCs/>
          <w:i/>
          <w:noProof/>
          <w:szCs w:val="22"/>
          <w:lang w:eastAsia="en-US"/>
        </w:rPr>
        <w:t>(Kadangi Parlamentas ir Taryba pasiekė susitarimą, Parlamento pozicija atitinka galutinį teisės aktą, Reglamentą (ES) 2025/15</w:t>
      </w:r>
      <w:r>
        <w:rPr>
          <w:rFonts w:eastAsia="Calibri"/>
          <w:bCs/>
          <w:i/>
          <w:noProof/>
          <w:szCs w:val="22"/>
          <w:lang w:eastAsia="en-US"/>
        </w:rPr>
        <w:t>61</w:t>
      </w:r>
      <w:r w:rsidRPr="009B6C79">
        <w:rPr>
          <w:rFonts w:eastAsia="Calibri"/>
          <w:bCs/>
          <w:i/>
          <w:noProof/>
          <w:szCs w:val="22"/>
          <w:lang w:eastAsia="en-US"/>
        </w:rPr>
        <w:t>.)</w:t>
      </w:r>
    </w:p>
    <w:sectPr w:rsidR="00613554" w:rsidRPr="009B6C79" w:rsidSect="00EA5D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CD5F8" w14:textId="77777777" w:rsidR="00300BBB" w:rsidRPr="00EA5DC4" w:rsidRDefault="00300BBB">
      <w:r w:rsidRPr="00EA5DC4">
        <w:separator/>
      </w:r>
    </w:p>
  </w:endnote>
  <w:endnote w:type="continuationSeparator" w:id="0">
    <w:p w14:paraId="6912AEF0" w14:textId="77777777" w:rsidR="00300BBB" w:rsidRPr="00EA5DC4" w:rsidRDefault="00300BBB">
      <w:r w:rsidRPr="00EA5D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A043A" w14:textId="77777777" w:rsidR="00300BBB" w:rsidRPr="00EA5DC4" w:rsidRDefault="00300BBB">
      <w:r w:rsidRPr="00EA5DC4">
        <w:separator/>
      </w:r>
    </w:p>
  </w:footnote>
  <w:footnote w:type="continuationSeparator" w:id="0">
    <w:p w14:paraId="7319F1B4" w14:textId="77777777" w:rsidR="00300BBB" w:rsidRPr="00EA5DC4" w:rsidRDefault="00300BBB">
      <w:r w:rsidRPr="00EA5DC4">
        <w:continuationSeparator/>
      </w:r>
    </w:p>
  </w:footnote>
  <w:footnote w:id="1">
    <w:p w14:paraId="0EFCDE15" w14:textId="77777777" w:rsidR="00117F58" w:rsidRPr="00EA5DC4" w:rsidRDefault="00117F58" w:rsidP="00EA5DC4">
      <w:pPr>
        <w:pStyle w:val="FootnoteText"/>
        <w:ind w:left="567" w:hanging="567"/>
        <w:rPr>
          <w:sz w:val="24"/>
          <w:lang w:val="lt-LT"/>
        </w:rPr>
      </w:pPr>
      <w:r w:rsidRPr="00EA5DC4">
        <w:rPr>
          <w:rStyle w:val="FootnoteReference"/>
          <w:sz w:val="24"/>
          <w:lang w:val="lt-LT"/>
        </w:rPr>
        <w:footnoteRef/>
      </w:r>
      <w:r w:rsidR="00EA5DC4" w:rsidRPr="00EA5DC4">
        <w:rPr>
          <w:sz w:val="24"/>
          <w:lang w:val="lt-LT"/>
        </w:rPr>
        <w:t xml:space="preserve"> </w:t>
      </w:r>
      <w:r w:rsidR="00EA5DC4" w:rsidRPr="00EA5DC4">
        <w:rPr>
          <w:sz w:val="24"/>
          <w:lang w:val="lt-LT"/>
        </w:rPr>
        <w:tab/>
      </w:r>
      <w:r w:rsidRPr="00EA5DC4">
        <w:rPr>
          <w:sz w:val="24"/>
          <w:lang w:val="lt-LT"/>
        </w:rPr>
        <w:t>Dar nepaskelbta Oficialiajame leidinyje.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7764650">
    <w:abstractNumId w:val="9"/>
  </w:num>
  <w:num w:numId="2" w16cid:durableId="1078018940">
    <w:abstractNumId w:val="9"/>
  </w:num>
  <w:num w:numId="3" w16cid:durableId="1811363805">
    <w:abstractNumId w:val="7"/>
  </w:num>
  <w:num w:numId="4" w16cid:durableId="2046785733">
    <w:abstractNumId w:val="7"/>
  </w:num>
  <w:num w:numId="5" w16cid:durableId="679426326">
    <w:abstractNumId w:val="6"/>
  </w:num>
  <w:num w:numId="6" w16cid:durableId="2070568172">
    <w:abstractNumId w:val="6"/>
  </w:num>
  <w:num w:numId="7" w16cid:durableId="1024864293">
    <w:abstractNumId w:val="5"/>
  </w:num>
  <w:num w:numId="8" w16cid:durableId="1648582840">
    <w:abstractNumId w:val="5"/>
  </w:num>
  <w:num w:numId="9" w16cid:durableId="924648672">
    <w:abstractNumId w:val="4"/>
  </w:num>
  <w:num w:numId="10" w16cid:durableId="265115551">
    <w:abstractNumId w:val="4"/>
  </w:num>
  <w:num w:numId="11" w16cid:durableId="699160613">
    <w:abstractNumId w:val="8"/>
  </w:num>
  <w:num w:numId="12" w16cid:durableId="13963193">
    <w:abstractNumId w:val="8"/>
  </w:num>
  <w:num w:numId="13" w16cid:durableId="724179709">
    <w:abstractNumId w:val="3"/>
  </w:num>
  <w:num w:numId="14" w16cid:durableId="1429499710">
    <w:abstractNumId w:val="3"/>
  </w:num>
  <w:num w:numId="15" w16cid:durableId="229385569">
    <w:abstractNumId w:val="2"/>
  </w:num>
  <w:num w:numId="16" w16cid:durableId="1904220557">
    <w:abstractNumId w:val="2"/>
  </w:num>
  <w:num w:numId="17" w16cid:durableId="2114352809">
    <w:abstractNumId w:val="1"/>
  </w:num>
  <w:num w:numId="18" w16cid:durableId="1674648481">
    <w:abstractNumId w:val="1"/>
  </w:num>
  <w:num w:numId="19" w16cid:durableId="1392460557">
    <w:abstractNumId w:val="0"/>
  </w:num>
  <w:num w:numId="20" w16cid:durableId="907224171">
    <w:abstractNumId w:val="0"/>
  </w:num>
  <w:num w:numId="21" w16cid:durableId="1982880823">
    <w:abstractNumId w:val="9"/>
  </w:num>
  <w:num w:numId="22" w16cid:durableId="2075010111">
    <w:abstractNumId w:val="7"/>
  </w:num>
  <w:num w:numId="23" w16cid:durableId="1464075745">
    <w:abstractNumId w:val="6"/>
  </w:num>
  <w:num w:numId="24" w16cid:durableId="957100518">
    <w:abstractNumId w:val="5"/>
  </w:num>
  <w:num w:numId="25" w16cid:durableId="1458791978">
    <w:abstractNumId w:val="4"/>
  </w:num>
  <w:num w:numId="26" w16cid:durableId="119804919">
    <w:abstractNumId w:val="8"/>
  </w:num>
  <w:num w:numId="27" w16cid:durableId="343702558">
    <w:abstractNumId w:val="3"/>
  </w:num>
  <w:num w:numId="28" w16cid:durableId="2081057585">
    <w:abstractNumId w:val="2"/>
  </w:num>
  <w:num w:numId="29" w16cid:durableId="2090419326">
    <w:abstractNumId w:val="1"/>
  </w:num>
  <w:num w:numId="30" w16cid:durableId="1778914680">
    <w:abstractNumId w:val="0"/>
  </w:num>
  <w:num w:numId="31" w16cid:durableId="546987431">
    <w:abstractNumId w:val="9"/>
  </w:num>
  <w:num w:numId="32" w16cid:durableId="676925420">
    <w:abstractNumId w:val="7"/>
  </w:num>
  <w:num w:numId="33" w16cid:durableId="88813304">
    <w:abstractNumId w:val="6"/>
  </w:num>
  <w:num w:numId="34" w16cid:durableId="467548642">
    <w:abstractNumId w:val="5"/>
  </w:num>
  <w:num w:numId="35" w16cid:durableId="497186962">
    <w:abstractNumId w:val="4"/>
  </w:num>
  <w:num w:numId="36" w16cid:durableId="850418270">
    <w:abstractNumId w:val="8"/>
  </w:num>
  <w:num w:numId="37" w16cid:durableId="193738579">
    <w:abstractNumId w:val="3"/>
  </w:num>
  <w:num w:numId="38" w16cid:durableId="1413622493">
    <w:abstractNumId w:val="2"/>
  </w:num>
  <w:num w:numId="39" w16cid:durableId="1937055190">
    <w:abstractNumId w:val="1"/>
  </w:num>
  <w:num w:numId="40" w16cid:durableId="487331707">
    <w:abstractNumId w:val="0"/>
  </w:num>
  <w:num w:numId="41" w16cid:durableId="1622616313">
    <w:abstractNumId w:val="10"/>
  </w:num>
  <w:num w:numId="42" w16cid:durableId="1909803897">
    <w:abstractNumId w:val="10"/>
  </w:num>
  <w:num w:numId="43" w16cid:durableId="294798809">
    <w:abstractNumId w:val="10"/>
  </w:num>
  <w:num w:numId="44" w16cid:durableId="1384862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4/2025"/>
    <w:docVar w:name="dvlangue" w:val="LT"/>
    <w:docVar w:name="dvnumam" w:val="0"/>
    <w:docVar w:name="dvpe" w:val="775.519"/>
    <w:docVar w:name="dvrapporteur" w:val="Pranešėjas: "/>
    <w:docVar w:name="dvstar" w:val="***I"/>
    <w:docVar w:name="dvtitre" w:val="2025 m. liepos 10 d. Europos Parlamento teisėkūros rezoliucija dėl pasiūlymo dėl Europos Parlamento ir Tarybos reglamento, kuriuo dėl ekonominės veiklos vykdytojų pareigų, susijusių su baterijų išsamaus patikrinimo politika, iš dalies keičiamas Reglamentas (ES) 2023/1542(COM(2025)0258 – C10-0089/2025 – 2025/0129(COD))"/>
  </w:docVars>
  <w:rsids>
    <w:rsidRoot w:val="00300BBB"/>
    <w:rsid w:val="00002272"/>
    <w:rsid w:val="00064002"/>
    <w:rsid w:val="000677B9"/>
    <w:rsid w:val="000831BA"/>
    <w:rsid w:val="000A42CC"/>
    <w:rsid w:val="000E7DD9"/>
    <w:rsid w:val="0010095E"/>
    <w:rsid w:val="00117F58"/>
    <w:rsid w:val="00125B37"/>
    <w:rsid w:val="00175057"/>
    <w:rsid w:val="00187494"/>
    <w:rsid w:val="001F32AE"/>
    <w:rsid w:val="002767FF"/>
    <w:rsid w:val="002B18FE"/>
    <w:rsid w:val="002B5493"/>
    <w:rsid w:val="00300BBB"/>
    <w:rsid w:val="00343214"/>
    <w:rsid w:val="00361C00"/>
    <w:rsid w:val="00395FA1"/>
    <w:rsid w:val="003C59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355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08E"/>
    <w:rsid w:val="008C2AC6"/>
    <w:rsid w:val="00930C23"/>
    <w:rsid w:val="0093193B"/>
    <w:rsid w:val="009509D8"/>
    <w:rsid w:val="00950B64"/>
    <w:rsid w:val="00981893"/>
    <w:rsid w:val="009B6C79"/>
    <w:rsid w:val="009D71B1"/>
    <w:rsid w:val="00A1687D"/>
    <w:rsid w:val="00A43E52"/>
    <w:rsid w:val="00A4678D"/>
    <w:rsid w:val="00A76B99"/>
    <w:rsid w:val="00A778C7"/>
    <w:rsid w:val="00AA06D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259"/>
    <w:rsid w:val="00D56C11"/>
    <w:rsid w:val="00D834A0"/>
    <w:rsid w:val="00D872DF"/>
    <w:rsid w:val="00D91E21"/>
    <w:rsid w:val="00DA7FCD"/>
    <w:rsid w:val="00E365E1"/>
    <w:rsid w:val="00E820A4"/>
    <w:rsid w:val="00E90928"/>
    <w:rsid w:val="00EA5C5C"/>
    <w:rsid w:val="00EA5DC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EEDEE"/>
  <w15:chartTrackingRefBased/>
  <w15:docId w15:val="{2F5AE3D4-5489-48AB-BE18-71497270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7F58"/>
    <w:pPr>
      <w:spacing w:before="480" w:after="240"/>
    </w:pPr>
  </w:style>
  <w:style w:type="paragraph" w:customStyle="1" w:styleId="NormalBold">
    <w:name w:val="NormalBold"/>
    <w:basedOn w:val="Normal"/>
    <w:rsid w:val="00117F58"/>
    <w:rPr>
      <w:b/>
    </w:rPr>
  </w:style>
  <w:style w:type="paragraph" w:customStyle="1" w:styleId="NormalHanging12a">
    <w:name w:val="NormalHanging12a"/>
    <w:basedOn w:val="Normal"/>
    <w:rsid w:val="00117F58"/>
    <w:pPr>
      <w:spacing w:after="240"/>
      <w:ind w:left="567" w:hanging="567"/>
    </w:pPr>
  </w:style>
  <w:style w:type="paragraph" w:styleId="BalloonText">
    <w:name w:val="Balloon Text"/>
    <w:basedOn w:val="Normal"/>
    <w:link w:val="BalloonTextChar"/>
    <w:rsid w:val="00AA06DE"/>
    <w:rPr>
      <w:rFonts w:ascii="Segoe UI" w:hAnsi="Segoe UI" w:cs="Segoe UI"/>
      <w:sz w:val="18"/>
      <w:szCs w:val="18"/>
    </w:rPr>
  </w:style>
  <w:style w:type="character" w:customStyle="1" w:styleId="BalloonTextChar">
    <w:name w:val="Balloon Text Char"/>
    <w:basedOn w:val="DefaultParagraphFont"/>
    <w:link w:val="BalloonText"/>
    <w:rsid w:val="00AA06DE"/>
    <w:rPr>
      <w:rFonts w:ascii="Segoe UI" w:hAnsi="Segoe UI" w:cs="Segoe UI"/>
      <w:sz w:val="18"/>
      <w:szCs w:val="18"/>
      <w:lang w:val="lt-LT"/>
    </w:rPr>
  </w:style>
  <w:style w:type="paragraph" w:customStyle="1" w:styleId="FootnoteText1">
    <w:name w:val="Footnote Text1"/>
    <w:basedOn w:val="Normal"/>
    <w:next w:val="FootnoteText"/>
    <w:uiPriority w:val="99"/>
    <w:semiHidden/>
    <w:unhideWhenUsed/>
    <w:rsid w:val="00613554"/>
    <w:pPr>
      <w:widowControl/>
      <w:jc w:val="both"/>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B9BEF-B762-4D1F-A73E-5A90A32D5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243</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2025-10-21T10:38:00Z</dcterms:created>
  <dcterms:modified xsi:type="dcterms:W3CDTF">2025-10-21T10:38:00Z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P10_TA(2025)0164_</vt:lpwstr>
  </property>
  <property fmtid="{D5CDD505-2E9C-101B-9397-08002B2CF9AE}" pid="4" name="&lt;Type&gt;">
    <vt:lpwstr>RR</vt:lpwstr>
  </property>
</Properties>
</file>