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A27D3" w14:paraId="308622E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81417FB" w14:textId="77777777" w:rsidR="00751A4A" w:rsidRPr="00EA27D3" w:rsidRDefault="00313846" w:rsidP="0010095E">
            <w:pPr>
              <w:pStyle w:val="EPName"/>
            </w:pPr>
            <w:r w:rsidRPr="00EA27D3">
              <w:t>Eiropas Parlaments</w:t>
            </w:r>
          </w:p>
          <w:p w14:paraId="05E89A48" w14:textId="77777777" w:rsidR="00751A4A" w:rsidRPr="00EA27D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A27D3">
              <w:t>2024</w:t>
            </w:r>
            <w:r w:rsidR="00817416" w:rsidRPr="00EA27D3">
              <w:t>-202</w:t>
            </w:r>
            <w:r w:rsidRPr="00EA27D3">
              <w:t>9</w:t>
            </w:r>
          </w:p>
        </w:tc>
        <w:tc>
          <w:tcPr>
            <w:tcW w:w="2268" w:type="dxa"/>
            <w:shd w:val="clear" w:color="auto" w:fill="auto"/>
          </w:tcPr>
          <w:p w14:paraId="47736212" w14:textId="77777777" w:rsidR="00751A4A" w:rsidRPr="00EA27D3" w:rsidRDefault="00187494" w:rsidP="0010095E">
            <w:pPr>
              <w:pStyle w:val="EPLogo"/>
            </w:pPr>
            <w:r w:rsidRPr="00EA27D3">
              <w:rPr>
                <w:noProof/>
                <w:lang w:val="en-GB"/>
              </w:rPr>
              <w:drawing>
                <wp:inline distT="0" distB="0" distL="0" distR="0" wp14:anchorId="3A33A0A4" wp14:editId="69A6893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F6EEDC" w14:textId="77777777" w:rsidR="00D058B8" w:rsidRPr="00EA27D3" w:rsidRDefault="00D058B8" w:rsidP="004C5D52">
      <w:pPr>
        <w:pStyle w:val="LineTop"/>
      </w:pPr>
    </w:p>
    <w:p w14:paraId="30364511" w14:textId="77777777" w:rsidR="00680577" w:rsidRPr="00EA27D3" w:rsidRDefault="00313846" w:rsidP="00680577">
      <w:pPr>
        <w:pStyle w:val="EPBodyTA1"/>
      </w:pPr>
      <w:r w:rsidRPr="00EA27D3">
        <w:t>PIEŅEMTIE TEKSTI</w:t>
      </w:r>
    </w:p>
    <w:p w14:paraId="2D045A2B" w14:textId="77777777" w:rsidR="00D058B8" w:rsidRPr="00EA27D3" w:rsidRDefault="00D058B8" w:rsidP="00D058B8">
      <w:pPr>
        <w:pStyle w:val="LineBottom"/>
      </w:pPr>
    </w:p>
    <w:p w14:paraId="1B03F7EB" w14:textId="77777777" w:rsidR="00313846" w:rsidRPr="00EA27D3" w:rsidRDefault="00313846" w:rsidP="00313846">
      <w:pPr>
        <w:pStyle w:val="ATHeading1"/>
      </w:pPr>
      <w:bookmarkStart w:id="0" w:name="TANumber"/>
      <w:r w:rsidRPr="00EA27D3">
        <w:t>P10_TA(2025)0</w:t>
      </w:r>
      <w:r w:rsidR="00EA27D3" w:rsidRPr="00EA27D3">
        <w:t>164</w:t>
      </w:r>
      <w:bookmarkEnd w:id="0"/>
    </w:p>
    <w:p w14:paraId="024AB31D" w14:textId="77777777" w:rsidR="00313846" w:rsidRPr="00EA27D3" w:rsidRDefault="00115312" w:rsidP="00115312">
      <w:pPr>
        <w:pStyle w:val="ATHeading2"/>
      </w:pPr>
      <w:bookmarkStart w:id="1" w:name="title"/>
      <w:r w:rsidRPr="00EA27D3">
        <w:t>Grozījumi Regulā (ES) 2023/1542 attiecībā uz ekonomikas operatoru pienākumiem saistībā ar bateriju pienācīgas pārbaudes politiku</w:t>
      </w:r>
      <w:bookmarkEnd w:id="1"/>
    </w:p>
    <w:p w14:paraId="06C6109E" w14:textId="77777777" w:rsidR="00313846" w:rsidRPr="00EA27D3" w:rsidRDefault="00313846" w:rsidP="00313846">
      <w:pPr>
        <w:rPr>
          <w:i/>
          <w:vanish/>
        </w:rPr>
      </w:pPr>
      <w:r w:rsidRPr="00EA27D3">
        <w:rPr>
          <w:i/>
        </w:rPr>
        <w:fldChar w:fldCharType="begin"/>
      </w:r>
      <w:r w:rsidRPr="00EA27D3">
        <w:rPr>
          <w:i/>
        </w:rPr>
        <w:instrText xml:space="preserve"> TC"(</w:instrText>
      </w:r>
      <w:bookmarkStart w:id="2" w:name="DocNumber"/>
      <w:r w:rsidRPr="00EA27D3">
        <w:rPr>
          <w:i/>
        </w:rPr>
        <w:instrText>A10-0134/2025</w:instrText>
      </w:r>
      <w:bookmarkEnd w:id="2"/>
      <w:r w:rsidRPr="00EA27D3">
        <w:rPr>
          <w:i/>
        </w:rPr>
        <w:instrText xml:space="preserve"> - Referents: Antonio </w:instrText>
      </w:r>
      <w:proofErr w:type="spellStart"/>
      <w:r w:rsidRPr="00EA27D3">
        <w:rPr>
          <w:i/>
        </w:rPr>
        <w:instrText>Decaro</w:instrText>
      </w:r>
      <w:proofErr w:type="spellEnd"/>
      <w:r w:rsidRPr="00EA27D3">
        <w:rPr>
          <w:i/>
        </w:rPr>
        <w:instrText xml:space="preserve">)"\l3 \n&gt; \* MERGEFORMAT </w:instrText>
      </w:r>
      <w:r w:rsidRPr="00EA27D3">
        <w:rPr>
          <w:i/>
        </w:rPr>
        <w:fldChar w:fldCharType="end"/>
      </w:r>
    </w:p>
    <w:p w14:paraId="77782FE6" w14:textId="77777777" w:rsidR="00313846" w:rsidRPr="00EA27D3" w:rsidRDefault="00313846" w:rsidP="00313846">
      <w:pPr>
        <w:rPr>
          <w:vanish/>
        </w:rPr>
      </w:pPr>
      <w:bookmarkStart w:id="3" w:name="Commission"/>
      <w:r w:rsidRPr="00EA27D3">
        <w:rPr>
          <w:vanish/>
        </w:rPr>
        <w:t>Vides, klimata un pārtikas nekaitīguma komiteja</w:t>
      </w:r>
      <w:bookmarkEnd w:id="3"/>
    </w:p>
    <w:p w14:paraId="58D28BB8" w14:textId="77777777" w:rsidR="00313846" w:rsidRPr="00EA27D3" w:rsidRDefault="00313846" w:rsidP="00313846">
      <w:pPr>
        <w:rPr>
          <w:vanish/>
        </w:rPr>
      </w:pPr>
      <w:bookmarkStart w:id="4" w:name="PE"/>
      <w:r w:rsidRPr="00EA27D3">
        <w:rPr>
          <w:vanish/>
        </w:rPr>
        <w:t>PE775.519</w:t>
      </w:r>
      <w:bookmarkEnd w:id="4"/>
    </w:p>
    <w:p w14:paraId="2047089B" w14:textId="77777777" w:rsidR="00313846" w:rsidRPr="00EA27D3" w:rsidRDefault="00313846" w:rsidP="00313846">
      <w:pPr>
        <w:pStyle w:val="ATHeading3"/>
      </w:pPr>
      <w:bookmarkStart w:id="5" w:name="Sujet"/>
      <w:r w:rsidRPr="00EA27D3">
        <w:t xml:space="preserve">Eiropas Parlamenta 2025. gada </w:t>
      </w:r>
      <w:r w:rsidR="00115312" w:rsidRPr="00EA27D3">
        <w:t>10. jūlija</w:t>
      </w:r>
      <w:r w:rsidRPr="00EA27D3">
        <w:t xml:space="preserve"> normatīvā rezolūcija par priekšlikumu Eiropas Parlamenta un Padomes regulai, ar ko Regulu (ES) 2023/1542 groza attiecībā uz ekonomikas operatoru pienākumiem saistībā ar bateriju pienācīgas pārbaudes politiku</w:t>
      </w:r>
      <w:bookmarkEnd w:id="5"/>
      <w:r w:rsidRPr="00EA27D3">
        <w:t xml:space="preserve"> </w:t>
      </w:r>
      <w:bookmarkStart w:id="6" w:name="References"/>
      <w:r w:rsidRPr="00EA27D3">
        <w:t>(COM(2025)0258 – C10-0089/2025 – 2025/0129(COD))</w:t>
      </w:r>
      <w:bookmarkEnd w:id="6"/>
    </w:p>
    <w:p w14:paraId="6021F853" w14:textId="77777777" w:rsidR="00D13074" w:rsidRPr="00EA27D3" w:rsidRDefault="00D13074" w:rsidP="00D13074">
      <w:pPr>
        <w:pStyle w:val="NormalBold"/>
      </w:pPr>
      <w:bookmarkStart w:id="7" w:name="TextBodyBegin"/>
      <w:bookmarkEnd w:id="7"/>
      <w:r w:rsidRPr="00EA27D3">
        <w:t>(Parastā likumdošanas procedūra: pirmais lasījums)</w:t>
      </w:r>
    </w:p>
    <w:p w14:paraId="12407613" w14:textId="77777777" w:rsidR="00D13074" w:rsidRPr="00EA27D3" w:rsidRDefault="00D13074" w:rsidP="00D13074">
      <w:pPr>
        <w:pStyle w:val="EPComma"/>
      </w:pPr>
      <w:r w:rsidRPr="00EA27D3">
        <w:rPr>
          <w:i/>
        </w:rPr>
        <w:t>Eiropas Parlaments</w:t>
      </w:r>
      <w:r w:rsidRPr="00EA27D3">
        <w:t>,</w:t>
      </w:r>
    </w:p>
    <w:p w14:paraId="4DFE7C49" w14:textId="77777777" w:rsidR="00D13074" w:rsidRPr="00EA27D3" w:rsidRDefault="00D13074" w:rsidP="00D13074">
      <w:pPr>
        <w:pStyle w:val="NormalHanging12a"/>
      </w:pPr>
      <w:r w:rsidRPr="00EA27D3">
        <w:t>–</w:t>
      </w:r>
      <w:r w:rsidRPr="00EA27D3">
        <w:tab/>
        <w:t>ņemot vērā Komisijas priekšlikumu Eiropas Parlamentam un Padomei (COM(2025)0258),</w:t>
      </w:r>
    </w:p>
    <w:p w14:paraId="36F2DE01" w14:textId="77777777" w:rsidR="00D13074" w:rsidRPr="00EA27D3" w:rsidRDefault="00D13074" w:rsidP="00D13074">
      <w:pPr>
        <w:pStyle w:val="NormalHanging12a"/>
      </w:pPr>
      <w:r w:rsidRPr="00EA27D3">
        <w:t>–</w:t>
      </w:r>
      <w:r w:rsidRPr="00EA27D3">
        <w:tab/>
        <w:t>ņemot vērā Līguma par Eiropas Savienības darbību 294. panta 2. punktu un 114. pantu, saskaņā ar kuriem Komisija tam ir iesniegusi priekšlikumu (C10</w:t>
      </w:r>
      <w:r w:rsidRPr="00EA27D3">
        <w:noBreakHyphen/>
        <w:t>0089/2025),</w:t>
      </w:r>
    </w:p>
    <w:p w14:paraId="1E3B8BE8" w14:textId="77777777" w:rsidR="00D13074" w:rsidRPr="00EA27D3" w:rsidRDefault="00D13074" w:rsidP="00D13074">
      <w:pPr>
        <w:pStyle w:val="NormalHanging12a"/>
      </w:pPr>
      <w:r w:rsidRPr="00EA27D3">
        <w:t>–</w:t>
      </w:r>
      <w:r w:rsidRPr="00EA27D3">
        <w:tab/>
        <w:t>ņemot vērā Līguma par Eiropas Savienības darbību 294. panta 3. punktu,</w:t>
      </w:r>
    </w:p>
    <w:p w14:paraId="6D72F7F4" w14:textId="77777777" w:rsidR="00D13074" w:rsidRPr="00EA27D3" w:rsidRDefault="00D13074" w:rsidP="00D13074">
      <w:pPr>
        <w:pStyle w:val="NormalHanging12a"/>
      </w:pPr>
      <w:r w:rsidRPr="00EA27D3">
        <w:t>–</w:t>
      </w:r>
      <w:r w:rsidRPr="00EA27D3">
        <w:tab/>
        <w:t>ņemot vērā Eiropas Ekonomikas un sociālo lietu komitejas 2025. gada 18. jūnija atzinumu</w:t>
      </w:r>
      <w:r w:rsidRPr="00EA27D3">
        <w:rPr>
          <w:rStyle w:val="FootnoteReference"/>
        </w:rPr>
        <w:footnoteReference w:id="1"/>
      </w:r>
      <w:r w:rsidRPr="00EA27D3">
        <w:t>,</w:t>
      </w:r>
    </w:p>
    <w:p w14:paraId="6E9F4014" w14:textId="77777777" w:rsidR="00D13074" w:rsidRPr="00EA27D3" w:rsidRDefault="00D13074" w:rsidP="00D13074">
      <w:pPr>
        <w:pStyle w:val="NormalHanging12a"/>
      </w:pPr>
      <w:r w:rsidRPr="00EA27D3">
        <w:t>–</w:t>
      </w:r>
      <w:r w:rsidRPr="00EA27D3">
        <w:tab/>
        <w:t>ņemot vērā Reglamenta 60. pantu,</w:t>
      </w:r>
    </w:p>
    <w:p w14:paraId="6E6A2398" w14:textId="77777777" w:rsidR="00D13074" w:rsidRPr="00EA27D3" w:rsidRDefault="00D13074" w:rsidP="00D13074">
      <w:pPr>
        <w:pStyle w:val="NormalHanging12a"/>
      </w:pPr>
      <w:r w:rsidRPr="00EA27D3">
        <w:t>–</w:t>
      </w:r>
      <w:r w:rsidRPr="00EA27D3">
        <w:tab/>
        <w:t>ņemot vērā Vides, klimata un pārtikas nekaitīguma komitejas ziņojumu (A10-0134/2025),</w:t>
      </w:r>
    </w:p>
    <w:p w14:paraId="78E46072" w14:textId="77777777" w:rsidR="00D13074" w:rsidRPr="00EA27D3" w:rsidRDefault="00D13074" w:rsidP="00D13074">
      <w:pPr>
        <w:pStyle w:val="NormalHanging12a"/>
      </w:pPr>
      <w:r w:rsidRPr="00EA27D3">
        <w:t>1.</w:t>
      </w:r>
      <w:r w:rsidRPr="00EA27D3">
        <w:tab/>
        <w:t>pieņem pirmajā lasījumā</w:t>
      </w:r>
      <w:r w:rsidR="00DA23DD" w:rsidRPr="00EA27D3">
        <w:t xml:space="preserve"> turp</w:t>
      </w:r>
      <w:r w:rsidR="0092323E" w:rsidRPr="00EA27D3">
        <w:t>m</w:t>
      </w:r>
      <w:r w:rsidR="00DA23DD" w:rsidRPr="00EA27D3">
        <w:t>āk izklāstīto nostāju</w:t>
      </w:r>
      <w:r w:rsidRPr="00EA27D3">
        <w:t>;</w:t>
      </w:r>
    </w:p>
    <w:p w14:paraId="6C54FAB6" w14:textId="77777777" w:rsidR="00D13074" w:rsidRPr="00EA27D3" w:rsidRDefault="00D13074" w:rsidP="00D13074">
      <w:pPr>
        <w:pStyle w:val="NormalHanging12a"/>
      </w:pPr>
      <w:r w:rsidRPr="00EA27D3">
        <w:t>2.</w:t>
      </w:r>
      <w:r w:rsidRPr="00EA27D3">
        <w:tab/>
        <w:t>prasa Komisijai priekšlikumu Parlamentam iesniegt vēlreiz, ja tā savu priekšlikumu aizstāj, būtiski groza vai ir paredzējusi to būtiski grozīt;</w:t>
      </w:r>
    </w:p>
    <w:p w14:paraId="1322F75B" w14:textId="77777777" w:rsidR="00DA23DD" w:rsidRPr="00EA27D3" w:rsidRDefault="009C2932" w:rsidP="00DA23DD">
      <w:pPr>
        <w:pStyle w:val="NormalHanging12a"/>
        <w:sectPr w:rsidR="00DA23DD" w:rsidRPr="00EA27D3" w:rsidSect="00E1493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>
        <w:t>3</w:t>
      </w:r>
      <w:r w:rsidR="00D13074" w:rsidRPr="00EA27D3">
        <w:t>.</w:t>
      </w:r>
      <w:r w:rsidR="00D13074" w:rsidRPr="00EA27D3">
        <w:tab/>
        <w:t>uzdod priekšsēdētājai Parlamenta nostāju nosūtīt Padomei</w:t>
      </w:r>
      <w:r w:rsidR="00DA23DD" w:rsidRPr="00EA27D3">
        <w:t xml:space="preserve"> un </w:t>
      </w:r>
      <w:r w:rsidR="00D13074" w:rsidRPr="00EA27D3">
        <w:t xml:space="preserve">Komisijai, kā arī </w:t>
      </w:r>
      <w:r w:rsidR="00D13074" w:rsidRPr="00EA27D3">
        <w:lastRenderedPageBreak/>
        <w:t>dalībvalstu parlamentiem.</w:t>
      </w:r>
    </w:p>
    <w:p w14:paraId="3F780C71" w14:textId="77777777" w:rsidR="00DA23DD" w:rsidRPr="00EA27D3" w:rsidRDefault="00DA23DD" w:rsidP="00DA23DD">
      <w:pPr>
        <w:pStyle w:val="Normal12Hanging"/>
        <w:tabs>
          <w:tab w:val="left" w:pos="357"/>
        </w:tabs>
        <w:spacing w:before="120" w:after="120"/>
        <w:ind w:left="0" w:firstLine="0"/>
        <w:rPr>
          <w:b/>
        </w:rPr>
      </w:pPr>
      <w:r w:rsidRPr="00EA27D3">
        <w:rPr>
          <w:b/>
        </w:rPr>
        <w:lastRenderedPageBreak/>
        <w:t>P10_TC1-COD(2025)0129</w:t>
      </w:r>
    </w:p>
    <w:p w14:paraId="7B820F3B" w14:textId="77777777" w:rsidR="00DA23DD" w:rsidRPr="00EA27D3" w:rsidRDefault="00DA23DD" w:rsidP="00DA23DD">
      <w:pPr>
        <w:pStyle w:val="Titreobjet"/>
        <w:spacing w:before="240" w:after="120" w:line="240" w:lineRule="auto"/>
        <w:jc w:val="left"/>
        <w:rPr>
          <w:rFonts w:eastAsia="Calibri"/>
          <w:noProof/>
          <w:szCs w:val="22"/>
        </w:rPr>
      </w:pPr>
      <w:r w:rsidRPr="00EA27D3">
        <w:t xml:space="preserve">Eiropas Parlamenta nostāja, pieņemta pirmajā lasījumā 2025. gada 10. jūlijā, lai pieņemtu Eiropas Parlamenta un Padomes Regulu (ES) 2025/..., ar ko </w:t>
      </w:r>
      <w:r w:rsidRPr="00EA27D3">
        <w:rPr>
          <w:rFonts w:eastAsia="Calibri"/>
          <w:noProof/>
          <w:szCs w:val="22"/>
        </w:rPr>
        <w:t>Regulu (ES) 2023/1542 groza attiecībā uz ekonomikas operatoru pienākumiem saistībā ar bateriju pienācīgas pārbaudes politiku</w:t>
      </w:r>
    </w:p>
    <w:p w14:paraId="0BDE6B3F" w14:textId="789C5210" w:rsidR="00F6292E" w:rsidRDefault="00F6292E" w:rsidP="00F6292E">
      <w:pPr>
        <w:rPr>
          <w:i/>
        </w:rPr>
      </w:pPr>
      <w:r w:rsidRPr="003E6639">
        <w:rPr>
          <w:i/>
        </w:rPr>
        <w:t xml:space="preserve">(Tā kā starp Parlamentu un Padomi tika panākta vienošanās, Parlamenta nostāja atbilst galīgajam tiesību aktam </w:t>
      </w:r>
      <w:r w:rsidRPr="0088774B">
        <w:rPr>
          <w:i/>
        </w:rPr>
        <w:t>Regulai (ES) 2025/</w:t>
      </w:r>
      <w:r w:rsidR="004846AB">
        <w:rPr>
          <w:i/>
        </w:rPr>
        <w:t>1561</w:t>
      </w:r>
      <w:r w:rsidRPr="0088774B">
        <w:rPr>
          <w:i/>
        </w:rPr>
        <w:t>.)</w:t>
      </w:r>
    </w:p>
    <w:p w14:paraId="7C433ACC" w14:textId="77777777" w:rsidR="00E365E1" w:rsidRPr="00EA27D3" w:rsidRDefault="00E365E1" w:rsidP="00EA27D3">
      <w:pPr>
        <w:pStyle w:val="NormalHanging12a"/>
        <w:ind w:left="0" w:firstLine="0"/>
      </w:pPr>
    </w:p>
    <w:sectPr w:rsidR="00E365E1" w:rsidRPr="00EA27D3" w:rsidSect="00E1493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ABF0C" w14:textId="77777777" w:rsidR="00313846" w:rsidRPr="00E1493B" w:rsidRDefault="00313846">
      <w:r w:rsidRPr="00E1493B">
        <w:separator/>
      </w:r>
    </w:p>
  </w:endnote>
  <w:endnote w:type="continuationSeparator" w:id="0">
    <w:p w14:paraId="31FF97E9" w14:textId="77777777" w:rsidR="00313846" w:rsidRPr="00E1493B" w:rsidRDefault="00313846">
      <w:r w:rsidRPr="00E149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FB6A9" w14:textId="77777777" w:rsidR="00064002" w:rsidRPr="00E1493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EC909" w14:textId="77777777" w:rsidR="00064002" w:rsidRPr="00E1493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3A59F" w14:textId="77777777" w:rsidR="00064002" w:rsidRPr="00E1493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F6B02" w14:textId="77777777" w:rsidR="00313846" w:rsidRPr="00E1493B" w:rsidRDefault="00313846">
      <w:r w:rsidRPr="00E1493B">
        <w:separator/>
      </w:r>
    </w:p>
  </w:footnote>
  <w:footnote w:type="continuationSeparator" w:id="0">
    <w:p w14:paraId="5BE4B363" w14:textId="77777777" w:rsidR="00313846" w:rsidRPr="00E1493B" w:rsidRDefault="00313846">
      <w:r w:rsidRPr="00E1493B">
        <w:continuationSeparator/>
      </w:r>
    </w:p>
  </w:footnote>
  <w:footnote w:id="1">
    <w:p w14:paraId="53EFE0F7" w14:textId="77777777" w:rsidR="00D13074" w:rsidRPr="00E1493B" w:rsidRDefault="00D13074" w:rsidP="00E1493B">
      <w:pPr>
        <w:pStyle w:val="FootnoteText"/>
        <w:ind w:left="567" w:hanging="567"/>
        <w:rPr>
          <w:sz w:val="24"/>
          <w:lang w:val="lv-LV"/>
        </w:rPr>
      </w:pPr>
      <w:r w:rsidRPr="00E1493B">
        <w:rPr>
          <w:rStyle w:val="FootnoteReference"/>
          <w:sz w:val="24"/>
          <w:lang w:val="lv-LV"/>
        </w:rPr>
        <w:footnoteRef/>
      </w:r>
      <w:r w:rsidR="00E1493B" w:rsidRPr="00E1493B">
        <w:rPr>
          <w:i/>
          <w:iCs/>
          <w:sz w:val="24"/>
          <w:lang w:val="lv-LV"/>
        </w:rPr>
        <w:t xml:space="preserve"> </w:t>
      </w:r>
      <w:r w:rsidR="00E1493B" w:rsidRPr="00E1493B">
        <w:rPr>
          <w:i/>
          <w:iCs/>
          <w:sz w:val="24"/>
          <w:lang w:val="lv-LV"/>
        </w:rPr>
        <w:tab/>
      </w:r>
      <w:r w:rsidRPr="00E1493B">
        <w:rPr>
          <w:i/>
          <w:iCs/>
          <w:sz w:val="24"/>
          <w:lang w:val="lv-LV"/>
        </w:rPr>
        <w:t>Oficiālajā Vēstnesī</w:t>
      </w:r>
      <w:r w:rsidRPr="00E1493B">
        <w:rPr>
          <w:sz w:val="24"/>
          <w:lang w:val="lv-LV"/>
        </w:rPr>
        <w:t xml:space="preserve"> vēl nav publicēts.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8B495" w14:textId="77777777" w:rsidR="00064002" w:rsidRPr="00E1493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1E7FD" w14:textId="77777777" w:rsidR="00064002" w:rsidRPr="00E1493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9BC4A" w14:textId="77777777" w:rsidR="00064002" w:rsidRPr="00E1493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67344693">
    <w:abstractNumId w:val="9"/>
  </w:num>
  <w:num w:numId="2" w16cid:durableId="1907109383">
    <w:abstractNumId w:val="9"/>
  </w:num>
  <w:num w:numId="3" w16cid:durableId="8337968">
    <w:abstractNumId w:val="7"/>
  </w:num>
  <w:num w:numId="4" w16cid:durableId="215970614">
    <w:abstractNumId w:val="7"/>
  </w:num>
  <w:num w:numId="5" w16cid:durableId="784036330">
    <w:abstractNumId w:val="6"/>
  </w:num>
  <w:num w:numId="6" w16cid:durableId="794981023">
    <w:abstractNumId w:val="6"/>
  </w:num>
  <w:num w:numId="7" w16cid:durableId="34238841">
    <w:abstractNumId w:val="5"/>
  </w:num>
  <w:num w:numId="8" w16cid:durableId="1093041716">
    <w:abstractNumId w:val="5"/>
  </w:num>
  <w:num w:numId="9" w16cid:durableId="1837456397">
    <w:abstractNumId w:val="4"/>
  </w:num>
  <w:num w:numId="10" w16cid:durableId="1590771047">
    <w:abstractNumId w:val="4"/>
  </w:num>
  <w:num w:numId="11" w16cid:durableId="1739591434">
    <w:abstractNumId w:val="8"/>
  </w:num>
  <w:num w:numId="12" w16cid:durableId="182406013">
    <w:abstractNumId w:val="8"/>
  </w:num>
  <w:num w:numId="13" w16cid:durableId="471556299">
    <w:abstractNumId w:val="3"/>
  </w:num>
  <w:num w:numId="14" w16cid:durableId="1147435862">
    <w:abstractNumId w:val="3"/>
  </w:num>
  <w:num w:numId="15" w16cid:durableId="724376656">
    <w:abstractNumId w:val="2"/>
  </w:num>
  <w:num w:numId="16" w16cid:durableId="793133198">
    <w:abstractNumId w:val="2"/>
  </w:num>
  <w:num w:numId="17" w16cid:durableId="2004122531">
    <w:abstractNumId w:val="1"/>
  </w:num>
  <w:num w:numId="18" w16cid:durableId="922181828">
    <w:abstractNumId w:val="1"/>
  </w:num>
  <w:num w:numId="19" w16cid:durableId="2111848237">
    <w:abstractNumId w:val="0"/>
  </w:num>
  <w:num w:numId="20" w16cid:durableId="1651835205">
    <w:abstractNumId w:val="0"/>
  </w:num>
  <w:num w:numId="21" w16cid:durableId="932083303">
    <w:abstractNumId w:val="9"/>
  </w:num>
  <w:num w:numId="22" w16cid:durableId="307055407">
    <w:abstractNumId w:val="7"/>
  </w:num>
  <w:num w:numId="23" w16cid:durableId="819737407">
    <w:abstractNumId w:val="6"/>
  </w:num>
  <w:num w:numId="24" w16cid:durableId="1648243687">
    <w:abstractNumId w:val="5"/>
  </w:num>
  <w:num w:numId="25" w16cid:durableId="1125389836">
    <w:abstractNumId w:val="4"/>
  </w:num>
  <w:num w:numId="26" w16cid:durableId="559102053">
    <w:abstractNumId w:val="8"/>
  </w:num>
  <w:num w:numId="27" w16cid:durableId="848255449">
    <w:abstractNumId w:val="3"/>
  </w:num>
  <w:num w:numId="28" w16cid:durableId="2022193996">
    <w:abstractNumId w:val="2"/>
  </w:num>
  <w:num w:numId="29" w16cid:durableId="1146819751">
    <w:abstractNumId w:val="1"/>
  </w:num>
  <w:num w:numId="30" w16cid:durableId="1480616163">
    <w:abstractNumId w:val="0"/>
  </w:num>
  <w:num w:numId="31" w16cid:durableId="1330861750">
    <w:abstractNumId w:val="9"/>
  </w:num>
  <w:num w:numId="32" w16cid:durableId="2101364070">
    <w:abstractNumId w:val="7"/>
  </w:num>
  <w:num w:numId="33" w16cid:durableId="277611359">
    <w:abstractNumId w:val="6"/>
  </w:num>
  <w:num w:numId="34" w16cid:durableId="485364219">
    <w:abstractNumId w:val="5"/>
  </w:num>
  <w:num w:numId="35" w16cid:durableId="85611765">
    <w:abstractNumId w:val="4"/>
  </w:num>
  <w:num w:numId="36" w16cid:durableId="1550653385">
    <w:abstractNumId w:val="8"/>
  </w:num>
  <w:num w:numId="37" w16cid:durableId="1157264339">
    <w:abstractNumId w:val="3"/>
  </w:num>
  <w:num w:numId="38" w16cid:durableId="1968580566">
    <w:abstractNumId w:val="2"/>
  </w:num>
  <w:num w:numId="39" w16cid:durableId="1424690690">
    <w:abstractNumId w:val="1"/>
  </w:num>
  <w:num w:numId="40" w16cid:durableId="1344091781">
    <w:abstractNumId w:val="0"/>
  </w:num>
  <w:num w:numId="41" w16cid:durableId="1519387983">
    <w:abstractNumId w:val="10"/>
  </w:num>
  <w:num w:numId="42" w16cid:durableId="1133447767">
    <w:abstractNumId w:val="10"/>
  </w:num>
  <w:num w:numId="43" w16cid:durableId="74212812">
    <w:abstractNumId w:val="10"/>
  </w:num>
  <w:num w:numId="44" w16cid:durableId="5794056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34/2025"/>
    <w:docVar w:name="dvlangue" w:val="LV"/>
    <w:docVar w:name="dvnumam" w:val="0"/>
    <w:docVar w:name="dvpe" w:val="775.519"/>
    <w:docVar w:name="dvrapporteur" w:val="Referents: "/>
    <w:docVar w:name="dvstar" w:val="***I"/>
    <w:docVar w:name="dvtitre" w:val="Eiropas Parlamenta 2025. gada XX. XXX normatīvā rezolūcija par priekšlikumu Eiropas Parlamenta un Padomes regulai, ar ko Regulu (ES) 2023/1542 groza attiecībā uz ekonomikas operatoru pienākumiem saistībā ar bateriju pienācīgas pārbaudes politiku(COM(2025)0258 – C10-0089/2025 – 2025/0129(COD))"/>
  </w:docVars>
  <w:rsids>
    <w:rsidRoot w:val="00313846"/>
    <w:rsid w:val="00002272"/>
    <w:rsid w:val="00064002"/>
    <w:rsid w:val="000677B9"/>
    <w:rsid w:val="000831BA"/>
    <w:rsid w:val="000A42CC"/>
    <w:rsid w:val="000E7DD9"/>
    <w:rsid w:val="0010095E"/>
    <w:rsid w:val="00115312"/>
    <w:rsid w:val="00125B37"/>
    <w:rsid w:val="00187494"/>
    <w:rsid w:val="001F32AE"/>
    <w:rsid w:val="002767FF"/>
    <w:rsid w:val="002B18FE"/>
    <w:rsid w:val="002B5493"/>
    <w:rsid w:val="00313846"/>
    <w:rsid w:val="00343214"/>
    <w:rsid w:val="00361C00"/>
    <w:rsid w:val="00395FA1"/>
    <w:rsid w:val="003E15D4"/>
    <w:rsid w:val="00411CCE"/>
    <w:rsid w:val="0041666E"/>
    <w:rsid w:val="00421060"/>
    <w:rsid w:val="00471C19"/>
    <w:rsid w:val="004846AB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323E"/>
    <w:rsid w:val="00930C23"/>
    <w:rsid w:val="0093193B"/>
    <w:rsid w:val="009509D8"/>
    <w:rsid w:val="00950B64"/>
    <w:rsid w:val="00981893"/>
    <w:rsid w:val="009C293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3074"/>
    <w:rsid w:val="00D56C11"/>
    <w:rsid w:val="00D834A0"/>
    <w:rsid w:val="00D872DF"/>
    <w:rsid w:val="00D91E21"/>
    <w:rsid w:val="00DA23DD"/>
    <w:rsid w:val="00DA7FCD"/>
    <w:rsid w:val="00E1493B"/>
    <w:rsid w:val="00E365E1"/>
    <w:rsid w:val="00E6584B"/>
    <w:rsid w:val="00E820A4"/>
    <w:rsid w:val="00EA27D3"/>
    <w:rsid w:val="00EB006A"/>
    <w:rsid w:val="00EB4772"/>
    <w:rsid w:val="00ED169E"/>
    <w:rsid w:val="00ED4235"/>
    <w:rsid w:val="00F04346"/>
    <w:rsid w:val="00F075DC"/>
    <w:rsid w:val="00F149E9"/>
    <w:rsid w:val="00F27222"/>
    <w:rsid w:val="00F5134D"/>
    <w:rsid w:val="00F6292E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469F4B"/>
  <w15:chartTrackingRefBased/>
  <w15:docId w15:val="{2717CF07-8CFF-45AE-AE4D-E76293C73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13074"/>
    <w:pPr>
      <w:spacing w:before="480" w:after="240"/>
    </w:pPr>
  </w:style>
  <w:style w:type="paragraph" w:customStyle="1" w:styleId="NormalBold">
    <w:name w:val="NormalBold"/>
    <w:basedOn w:val="Normal"/>
    <w:rsid w:val="00D13074"/>
    <w:rPr>
      <w:b/>
    </w:rPr>
  </w:style>
  <w:style w:type="paragraph" w:customStyle="1" w:styleId="NormalBold12a">
    <w:name w:val="NormalBold12a"/>
    <w:basedOn w:val="Normal"/>
    <w:rsid w:val="00D13074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D13074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1153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15312"/>
    <w:rPr>
      <w:rFonts w:ascii="Segoe UI" w:hAnsi="Segoe UI" w:cs="Segoe UI"/>
      <w:sz w:val="18"/>
      <w:szCs w:val="18"/>
      <w:lang w:val="lv-LV"/>
    </w:rPr>
  </w:style>
  <w:style w:type="paragraph" w:customStyle="1" w:styleId="AmNumberTabs">
    <w:name w:val="AmNumberTabs"/>
    <w:basedOn w:val="Normal"/>
    <w:rsid w:val="00DA23D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12Hanging">
    <w:name w:val="Normal12Hanging"/>
    <w:basedOn w:val="Normal"/>
    <w:link w:val="Normal12HangingChar"/>
    <w:rsid w:val="00DA23DD"/>
    <w:pPr>
      <w:spacing w:after="240"/>
      <w:ind w:left="357" w:hanging="357"/>
    </w:pPr>
  </w:style>
  <w:style w:type="character" w:customStyle="1" w:styleId="Normal12HangingChar">
    <w:name w:val="Normal12Hanging Char"/>
    <w:basedOn w:val="DefaultParagraphFont"/>
    <w:link w:val="Normal12Hanging"/>
    <w:rsid w:val="00DA23DD"/>
    <w:rPr>
      <w:sz w:val="24"/>
      <w:lang w:val="lv-LV"/>
    </w:rPr>
  </w:style>
  <w:style w:type="character" w:styleId="Hyperlink">
    <w:name w:val="Hyperlink"/>
    <w:basedOn w:val="DefaultParagraphFont"/>
    <w:uiPriority w:val="99"/>
    <w:unhideWhenUsed/>
    <w:rsid w:val="00DA23DD"/>
    <w:rPr>
      <w:color w:val="0563C1" w:themeColor="hyperlink"/>
      <w:u w:val="single"/>
    </w:rPr>
  </w:style>
  <w:style w:type="paragraph" w:customStyle="1" w:styleId="Titreobjet">
    <w:name w:val="Titre objet"/>
    <w:basedOn w:val="Normal"/>
    <w:next w:val="Normal"/>
    <w:rsid w:val="00DA23DD"/>
    <w:pPr>
      <w:widowControl/>
      <w:spacing w:before="360" w:after="360" w:line="360" w:lineRule="atLeast"/>
      <w:jc w:val="center"/>
    </w:pPr>
    <w:rPr>
      <w:b/>
      <w:szCs w:val="24"/>
      <w:lang w:eastAsia="en-US"/>
    </w:rPr>
  </w:style>
  <w:style w:type="character" w:styleId="FollowedHyperlink">
    <w:name w:val="FollowedHyperlink"/>
    <w:basedOn w:val="DefaultParagraphFont"/>
    <w:rsid w:val="009C29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5D071D-B542-4109-8212-209DEE505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230</Words>
  <Characters>1742</Characters>
  <Application>Microsoft Office Word</Application>
  <DocSecurity>0</DocSecurity>
  <Lines>67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Karina Pesa</dc:creator>
  <cp:keywords/>
  <cp:lastModifiedBy>SEMEDO Teresa</cp:lastModifiedBy>
  <cp:revision>2</cp:revision>
  <cp:lastPrinted>2004-11-19T15:42:00Z</cp:lastPrinted>
  <dcterms:created xsi:type="dcterms:W3CDTF">2026-02-06T16:39:00Z</dcterms:created>
  <dcterms:modified xsi:type="dcterms:W3CDTF">2026-02-06T16:39:00Z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P10_TA(2025)0164_</vt:lpwstr>
  </property>
  <property fmtid="{D5CDD505-2E9C-101B-9397-08002B2CF9AE}" pid="4" name="&lt;Type&gt;">
    <vt:lpwstr>RR</vt:lpwstr>
  </property>
</Properties>
</file>