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7407" w14:paraId="6539DD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A724FC" w14:textId="77777777" w:rsidR="00751A4A" w:rsidRPr="00517407" w:rsidRDefault="00AD2118" w:rsidP="0010095E">
            <w:pPr>
              <w:pStyle w:val="EPName"/>
            </w:pPr>
            <w:r w:rsidRPr="00517407">
              <w:t>Parlament Europejski</w:t>
            </w:r>
          </w:p>
          <w:p w14:paraId="6A4297D5" w14:textId="77777777" w:rsidR="00751A4A" w:rsidRPr="005174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7407">
              <w:t>2024</w:t>
            </w:r>
            <w:r w:rsidR="00817416" w:rsidRPr="00517407">
              <w:t>-202</w:t>
            </w:r>
            <w:r w:rsidRPr="00517407">
              <w:t>9</w:t>
            </w:r>
          </w:p>
        </w:tc>
        <w:tc>
          <w:tcPr>
            <w:tcW w:w="2268" w:type="dxa"/>
            <w:shd w:val="clear" w:color="auto" w:fill="auto"/>
          </w:tcPr>
          <w:p w14:paraId="17C7C0BD" w14:textId="77777777" w:rsidR="00751A4A" w:rsidRPr="00517407" w:rsidRDefault="00187494" w:rsidP="0010095E">
            <w:pPr>
              <w:pStyle w:val="EPLogo"/>
            </w:pPr>
            <w:r w:rsidRPr="00517407">
              <w:rPr>
                <w:noProof/>
                <w:lang w:eastAsia="ja-JP"/>
              </w:rPr>
              <w:drawing>
                <wp:inline distT="0" distB="0" distL="0" distR="0" wp14:anchorId="6312A7A9" wp14:editId="5DB6E8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023563" w14:textId="77777777" w:rsidR="00D058B8" w:rsidRPr="00517407" w:rsidRDefault="00D058B8" w:rsidP="004C5D52">
      <w:pPr>
        <w:pStyle w:val="LineTop"/>
      </w:pPr>
    </w:p>
    <w:p w14:paraId="07C714B3" w14:textId="77777777" w:rsidR="00680577" w:rsidRPr="00517407" w:rsidRDefault="00AD2118" w:rsidP="00680577">
      <w:pPr>
        <w:pStyle w:val="EPBodyTA1"/>
      </w:pPr>
      <w:r w:rsidRPr="00517407">
        <w:t>TEKSTY PRZYJĘTE</w:t>
      </w:r>
    </w:p>
    <w:p w14:paraId="7B71C2B5" w14:textId="77777777" w:rsidR="00D058B8" w:rsidRPr="00517407" w:rsidRDefault="00D058B8" w:rsidP="00D058B8">
      <w:pPr>
        <w:pStyle w:val="LineBottom"/>
      </w:pPr>
    </w:p>
    <w:p w14:paraId="564795FC" w14:textId="67653299" w:rsidR="00AD2118" w:rsidRPr="00517407" w:rsidRDefault="00AD2118" w:rsidP="00AD2118">
      <w:pPr>
        <w:pStyle w:val="ATHeading1"/>
      </w:pPr>
      <w:bookmarkStart w:id="0" w:name="TANumber"/>
      <w:r w:rsidRPr="00517407">
        <w:t>P10_TA(2025)0</w:t>
      </w:r>
      <w:bookmarkEnd w:id="0"/>
      <w:r w:rsidR="00263587">
        <w:t>164</w:t>
      </w:r>
    </w:p>
    <w:p w14:paraId="42F322C6" w14:textId="749FA95A" w:rsidR="00AD2118" w:rsidRPr="00517407" w:rsidRDefault="00AD2118" w:rsidP="00AD2118">
      <w:pPr>
        <w:pStyle w:val="ATHeading2"/>
      </w:pPr>
      <w:bookmarkStart w:id="1" w:name="title"/>
      <w:r w:rsidRPr="00517407">
        <w:t>Zmiana rozporządzenia (UE) 2023/1542 w odniesieniu do obowiązków podmiotów gospodarczych</w:t>
      </w:r>
      <w:r w:rsidR="00A7574B">
        <w:t xml:space="preserve"> </w:t>
      </w:r>
      <w:r w:rsidRPr="00517407">
        <w:t>dotyczących polityk w zakresie należytej staranności w odniesieniu do baterii</w:t>
      </w:r>
      <w:bookmarkEnd w:id="1"/>
    </w:p>
    <w:p w14:paraId="0489DE6D" w14:textId="77777777" w:rsidR="00AD2118" w:rsidRPr="00517407" w:rsidRDefault="00AD2118" w:rsidP="00AD2118">
      <w:pPr>
        <w:rPr>
          <w:i/>
          <w:vanish/>
        </w:rPr>
      </w:pPr>
      <w:r w:rsidRPr="00517407">
        <w:rPr>
          <w:i/>
        </w:rPr>
        <w:fldChar w:fldCharType="begin"/>
      </w:r>
      <w:r w:rsidRPr="00517407">
        <w:rPr>
          <w:i/>
        </w:rPr>
        <w:instrText xml:space="preserve"> TC"(</w:instrText>
      </w:r>
      <w:bookmarkStart w:id="2" w:name="DocNumber"/>
      <w:r w:rsidRPr="00517407">
        <w:rPr>
          <w:i/>
        </w:rPr>
        <w:instrText>A10-0134/2025</w:instrText>
      </w:r>
      <w:bookmarkEnd w:id="2"/>
      <w:r w:rsidRPr="00517407">
        <w:rPr>
          <w:i/>
        </w:rPr>
        <w:instrText xml:space="preserve"> - Sprawozdawca: Antonio Decaro)"\l3 \n&gt; \* MERGEFORMAT </w:instrText>
      </w:r>
      <w:r w:rsidRPr="00517407">
        <w:rPr>
          <w:i/>
        </w:rPr>
        <w:fldChar w:fldCharType="end"/>
      </w:r>
    </w:p>
    <w:p w14:paraId="38269C91" w14:textId="77777777" w:rsidR="00AD2118" w:rsidRPr="00517407" w:rsidRDefault="00AD2118" w:rsidP="00AD2118">
      <w:pPr>
        <w:rPr>
          <w:vanish/>
        </w:rPr>
      </w:pPr>
      <w:bookmarkStart w:id="3" w:name="Commission"/>
      <w:r w:rsidRPr="00517407">
        <w:rPr>
          <w:vanish/>
        </w:rPr>
        <w:t>Komisja Ochrony Środowiska Naturalnego, Klimatu i Bezpieczeństwa Żywności</w:t>
      </w:r>
      <w:bookmarkEnd w:id="3"/>
    </w:p>
    <w:p w14:paraId="3C513D85" w14:textId="77777777" w:rsidR="00AD2118" w:rsidRPr="00517407" w:rsidRDefault="00AD2118" w:rsidP="00AD2118">
      <w:pPr>
        <w:rPr>
          <w:vanish/>
        </w:rPr>
      </w:pPr>
      <w:bookmarkStart w:id="4" w:name="PE"/>
      <w:r w:rsidRPr="00517407">
        <w:rPr>
          <w:vanish/>
        </w:rPr>
        <w:t>PE775.519</w:t>
      </w:r>
      <w:bookmarkEnd w:id="4"/>
    </w:p>
    <w:p w14:paraId="13B1DECD" w14:textId="11EA2E22" w:rsidR="00AD2118" w:rsidRPr="00517407" w:rsidRDefault="00AD2118" w:rsidP="00AD2118">
      <w:pPr>
        <w:pStyle w:val="ATHeading3"/>
      </w:pPr>
      <w:bookmarkStart w:id="5" w:name="Sujet"/>
      <w:r w:rsidRPr="00517407">
        <w:t xml:space="preserve">Rezolucja ustawodawcza Parlamentu Europejskiego z dnia </w:t>
      </w:r>
      <w:r w:rsidR="00A7574B">
        <w:t>10 lipca</w:t>
      </w:r>
      <w:r w:rsidRPr="00517407">
        <w:t xml:space="preserve"> 2025 r. w sprawie wniosku dotyczącego rozporządzenia Parlamentu Europejskiego i Rady zmieniającego rozporządzenie (UE) 2023/1542 w odniesieniu do obowiązków podmiotów gospodarczych dotyczących polityk w zakresie należytej staranności w odniesieniu do baterii</w:t>
      </w:r>
      <w:bookmarkEnd w:id="5"/>
      <w:r w:rsidRPr="00517407">
        <w:t xml:space="preserve"> </w:t>
      </w:r>
      <w:bookmarkStart w:id="6" w:name="References"/>
      <w:r w:rsidRPr="00517407">
        <w:t>(COM(2025)0258 – C10-0089/2025 – 2025/0129(COD))</w:t>
      </w:r>
      <w:bookmarkEnd w:id="6"/>
    </w:p>
    <w:p w14:paraId="29BD1CE4" w14:textId="77777777" w:rsidR="00AD2118" w:rsidRPr="00517407" w:rsidRDefault="00AD2118" w:rsidP="00AD2118"/>
    <w:p w14:paraId="5442AC4C" w14:textId="77777777" w:rsidR="00D57D38" w:rsidRPr="00517407" w:rsidRDefault="00D57D38" w:rsidP="00D57D38">
      <w:pPr>
        <w:pStyle w:val="NormalBold"/>
      </w:pPr>
      <w:bookmarkStart w:id="7" w:name="TextBodyBegin"/>
      <w:bookmarkEnd w:id="7"/>
      <w:r w:rsidRPr="00517407">
        <w:t>(Zwykła procedura ustawodawcza: pierwsze czytanie)</w:t>
      </w:r>
    </w:p>
    <w:p w14:paraId="1CD8CFC8" w14:textId="77777777" w:rsidR="00D57D38" w:rsidRPr="00517407" w:rsidRDefault="00D57D38" w:rsidP="00D57D38">
      <w:pPr>
        <w:pStyle w:val="EPComma"/>
      </w:pPr>
      <w:r w:rsidRPr="00517407">
        <w:rPr>
          <w:i/>
          <w:iCs/>
        </w:rPr>
        <w:t>Parlament Europejski</w:t>
      </w:r>
      <w:r w:rsidRPr="00517407">
        <w:t>,</w:t>
      </w:r>
    </w:p>
    <w:p w14:paraId="44A7DBE9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wniosek Komisji przedstawiony Parlamentowi Europejskiemu i Radzie (COM(2025)0258),</w:t>
      </w:r>
    </w:p>
    <w:p w14:paraId="76AC5295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art. 294 ust. 2 oraz art. 114 Traktatu o funkcjonowaniu Unii Europejskiej, zgodnie z którymi wniosek został przedstawiony Parlamentowi przez Komisję (C10-0089/2025),</w:t>
      </w:r>
    </w:p>
    <w:p w14:paraId="4BE90F45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art. 294 ust. 3 Traktatu o funkcjonowaniu Unii Europejskiej,</w:t>
      </w:r>
    </w:p>
    <w:p w14:paraId="46FBAEB2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opinię Europejskiego Komitetu Ekonomiczno-Społecznego z dnia 18 czerwca 2025 r.</w:t>
      </w:r>
      <w:r w:rsidRPr="00517407">
        <w:rPr>
          <w:rStyle w:val="FootnoteReference"/>
        </w:rPr>
        <w:footnoteReference w:id="1"/>
      </w:r>
      <w:r w:rsidRPr="00517407">
        <w:t>,</w:t>
      </w:r>
    </w:p>
    <w:p w14:paraId="4069BA55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art. 60 Regulaminu,</w:t>
      </w:r>
    </w:p>
    <w:p w14:paraId="331E1649" w14:textId="77777777" w:rsidR="00D57D38" w:rsidRPr="00517407" w:rsidRDefault="00D57D38" w:rsidP="00D57D38">
      <w:pPr>
        <w:pStyle w:val="NormalHanging12a"/>
      </w:pPr>
      <w:r w:rsidRPr="00517407">
        <w:t>–</w:t>
      </w:r>
      <w:r w:rsidRPr="00517407">
        <w:tab/>
        <w:t>uwzględniając sprawozdanie Komisji Ochrony Środowiska Naturalnego, Klimatu i Bezpieczeństwa Żywności (A10-0134/2025),</w:t>
      </w:r>
    </w:p>
    <w:p w14:paraId="2449CC55" w14:textId="3DAA7DB3" w:rsidR="00D57D38" w:rsidRPr="00517407" w:rsidRDefault="00D57D38" w:rsidP="00D57D38">
      <w:pPr>
        <w:pStyle w:val="NormalHanging12a"/>
      </w:pPr>
      <w:r w:rsidRPr="00517407">
        <w:t>1.</w:t>
      </w:r>
      <w:r w:rsidRPr="00517407">
        <w:tab/>
        <w:t xml:space="preserve">zatwierdza </w:t>
      </w:r>
      <w:r w:rsidR="00A7574B">
        <w:t>poniższe</w:t>
      </w:r>
      <w:r w:rsidRPr="00517407">
        <w:t xml:space="preserve"> stanowisko w pierwszym czytaniu;</w:t>
      </w:r>
    </w:p>
    <w:p w14:paraId="3E309C3D" w14:textId="77777777" w:rsidR="00D57D38" w:rsidRPr="00517407" w:rsidRDefault="00D57D38" w:rsidP="00D57D38">
      <w:pPr>
        <w:pStyle w:val="NormalHanging12a"/>
      </w:pPr>
      <w:r w:rsidRPr="00517407">
        <w:t>2.</w:t>
      </w:r>
      <w:r w:rsidRPr="00517407">
        <w:tab/>
        <w:t xml:space="preserve">zwraca się do Komisji o ponowne przekazanie mu sprawy, jeśli zastąpi ona pierwotny </w:t>
      </w:r>
      <w:r w:rsidRPr="00517407">
        <w:lastRenderedPageBreak/>
        <w:t>wniosek, wprowadzi w nim istotne zmiany lub planuje ich wprowadzenie;</w:t>
      </w:r>
    </w:p>
    <w:p w14:paraId="1006D0BF" w14:textId="77777777" w:rsidR="00A7574B" w:rsidRDefault="00A7574B" w:rsidP="00517407">
      <w:pPr>
        <w:pStyle w:val="NormalHanging12a"/>
        <w:sectPr w:rsidR="00A7574B" w:rsidSect="005174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D57D38" w:rsidRPr="00517407">
        <w:t>.</w:t>
      </w:r>
      <w:r w:rsidR="00D57D38" w:rsidRPr="00517407">
        <w:tab/>
        <w:t xml:space="preserve">zobowiązuje swoją przewodniczącą do przekazania stanowiska Parlamentu Radzie i </w:t>
      </w:r>
      <w:r>
        <w:t>.</w:t>
      </w:r>
      <w:r w:rsidR="00D57D38" w:rsidRPr="00517407">
        <w:t>Komisji, a także parlamentom narodowym.</w:t>
      </w:r>
    </w:p>
    <w:p w14:paraId="2CA47A6F" w14:textId="77777777" w:rsidR="00A7574B" w:rsidRPr="00263587" w:rsidRDefault="00A7574B" w:rsidP="00A7574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63587">
        <w:rPr>
          <w:b/>
          <w:bCs/>
          <w:color w:val="000000"/>
        </w:rPr>
        <w:lastRenderedPageBreak/>
        <w:t>P10_TC1-COD(2025)0129</w:t>
      </w:r>
    </w:p>
    <w:p w14:paraId="3CF9C5C6" w14:textId="49E524D4" w:rsidR="00A7574B" w:rsidRDefault="00A7574B" w:rsidP="00A7574B">
      <w:pPr>
        <w:autoSpaceDE w:val="0"/>
        <w:autoSpaceDN w:val="0"/>
        <w:adjustRightInd w:val="0"/>
        <w:spacing w:before="120" w:after="120"/>
        <w:rPr>
          <w:b/>
        </w:rPr>
      </w:pPr>
      <w:r w:rsidRPr="00A7574B">
        <w:rPr>
          <w:b/>
        </w:rPr>
        <w:t>Stanowisko Parlamentu Europejskiego przyjęte w pierwszym czytaniu w dniu 10 lipca 2025 r. w celu przyjęcia rozporządzenia Parlamentu Europejskiego i Rady (UE) 2025/... zmieniającego rozporządzenie (UE) 2023/1542 w odniesieniu do obowiązków podmiotów gospodarczych dotyczących polityk w zakresie należytej staranności w odniesieniu do baterii</w:t>
      </w:r>
    </w:p>
    <w:p w14:paraId="1EAEDD27" w14:textId="77777777" w:rsidR="00881350" w:rsidRDefault="00881350" w:rsidP="00A7574B">
      <w:pPr>
        <w:autoSpaceDE w:val="0"/>
        <w:autoSpaceDN w:val="0"/>
        <w:adjustRightInd w:val="0"/>
        <w:spacing w:before="120" w:after="120"/>
        <w:rPr>
          <w:b/>
        </w:rPr>
      </w:pPr>
    </w:p>
    <w:p w14:paraId="4579E9CB" w14:textId="11ACF1E7" w:rsidR="00881350" w:rsidRPr="00A7574B" w:rsidRDefault="00881350" w:rsidP="00A7574B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1561</w:t>
      </w:r>
      <w:r>
        <w:rPr>
          <w:i/>
        </w:rPr>
        <w:t>.)</w:t>
      </w:r>
    </w:p>
    <w:sectPr w:rsidR="00881350" w:rsidRPr="00A7574B" w:rsidSect="005174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D0777" w14:textId="77777777" w:rsidR="00AD2118" w:rsidRPr="00517407" w:rsidRDefault="00AD2118">
      <w:r w:rsidRPr="00517407">
        <w:separator/>
      </w:r>
    </w:p>
  </w:endnote>
  <w:endnote w:type="continuationSeparator" w:id="0">
    <w:p w14:paraId="23B9467E" w14:textId="77777777" w:rsidR="00AD2118" w:rsidRPr="00517407" w:rsidRDefault="00AD2118">
      <w:r w:rsidRPr="005174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BF82" w14:textId="77777777" w:rsidR="00064002" w:rsidRPr="005174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1AE4" w14:textId="77777777" w:rsidR="00064002" w:rsidRPr="005174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A764" w14:textId="77777777" w:rsidR="00064002" w:rsidRPr="005174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5F85D" w14:textId="77777777" w:rsidR="00AD2118" w:rsidRPr="00517407" w:rsidRDefault="00AD2118">
      <w:r w:rsidRPr="00517407">
        <w:separator/>
      </w:r>
    </w:p>
  </w:footnote>
  <w:footnote w:type="continuationSeparator" w:id="0">
    <w:p w14:paraId="10D0B363" w14:textId="77777777" w:rsidR="00AD2118" w:rsidRPr="00517407" w:rsidRDefault="00AD2118">
      <w:r w:rsidRPr="00517407">
        <w:continuationSeparator/>
      </w:r>
    </w:p>
  </w:footnote>
  <w:footnote w:id="1">
    <w:p w14:paraId="2C81DC38" w14:textId="04D64117" w:rsidR="00D57D38" w:rsidRPr="00517407" w:rsidRDefault="00D57D38" w:rsidP="00517407">
      <w:pPr>
        <w:pStyle w:val="FootnoteText"/>
        <w:ind w:left="567" w:hanging="567"/>
        <w:rPr>
          <w:sz w:val="24"/>
          <w:lang w:val="pl-PL"/>
        </w:rPr>
      </w:pPr>
      <w:r w:rsidRPr="00517407">
        <w:rPr>
          <w:rStyle w:val="FootnoteReference"/>
          <w:sz w:val="24"/>
          <w:lang w:val="pl-PL"/>
        </w:rPr>
        <w:footnoteRef/>
      </w:r>
      <w:r w:rsidR="00517407" w:rsidRPr="00517407">
        <w:rPr>
          <w:sz w:val="24"/>
          <w:lang w:val="pl-PL"/>
        </w:rPr>
        <w:t xml:space="preserve"> </w:t>
      </w:r>
      <w:r w:rsidR="00517407" w:rsidRPr="00517407">
        <w:rPr>
          <w:sz w:val="24"/>
          <w:lang w:val="pl-PL"/>
        </w:rPr>
        <w:tab/>
      </w:r>
      <w:r w:rsidRPr="00517407">
        <w:rPr>
          <w:sz w:val="24"/>
          <w:lang w:val="pl-PL"/>
        </w:rPr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608C6" w14:textId="77777777" w:rsidR="00064002" w:rsidRPr="005174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6025" w14:textId="77777777" w:rsidR="00064002" w:rsidRPr="005174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E406" w14:textId="77777777" w:rsidR="00064002" w:rsidRPr="005174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6767181">
    <w:abstractNumId w:val="9"/>
  </w:num>
  <w:num w:numId="2" w16cid:durableId="436020011">
    <w:abstractNumId w:val="9"/>
  </w:num>
  <w:num w:numId="3" w16cid:durableId="983655522">
    <w:abstractNumId w:val="7"/>
  </w:num>
  <w:num w:numId="4" w16cid:durableId="557324326">
    <w:abstractNumId w:val="7"/>
  </w:num>
  <w:num w:numId="5" w16cid:durableId="1413966151">
    <w:abstractNumId w:val="6"/>
  </w:num>
  <w:num w:numId="6" w16cid:durableId="1055156131">
    <w:abstractNumId w:val="6"/>
  </w:num>
  <w:num w:numId="7" w16cid:durableId="550776319">
    <w:abstractNumId w:val="5"/>
  </w:num>
  <w:num w:numId="8" w16cid:durableId="722217929">
    <w:abstractNumId w:val="5"/>
  </w:num>
  <w:num w:numId="9" w16cid:durableId="2142843221">
    <w:abstractNumId w:val="4"/>
  </w:num>
  <w:num w:numId="10" w16cid:durableId="1485396102">
    <w:abstractNumId w:val="4"/>
  </w:num>
  <w:num w:numId="11" w16cid:durableId="1799373770">
    <w:abstractNumId w:val="8"/>
  </w:num>
  <w:num w:numId="12" w16cid:durableId="777985166">
    <w:abstractNumId w:val="8"/>
  </w:num>
  <w:num w:numId="13" w16cid:durableId="1527015470">
    <w:abstractNumId w:val="3"/>
  </w:num>
  <w:num w:numId="14" w16cid:durableId="640765143">
    <w:abstractNumId w:val="3"/>
  </w:num>
  <w:num w:numId="15" w16cid:durableId="1834685812">
    <w:abstractNumId w:val="2"/>
  </w:num>
  <w:num w:numId="16" w16cid:durableId="2137285212">
    <w:abstractNumId w:val="2"/>
  </w:num>
  <w:num w:numId="17" w16cid:durableId="663583722">
    <w:abstractNumId w:val="1"/>
  </w:num>
  <w:num w:numId="18" w16cid:durableId="2075472075">
    <w:abstractNumId w:val="1"/>
  </w:num>
  <w:num w:numId="19" w16cid:durableId="108163420">
    <w:abstractNumId w:val="0"/>
  </w:num>
  <w:num w:numId="20" w16cid:durableId="644159726">
    <w:abstractNumId w:val="0"/>
  </w:num>
  <w:num w:numId="21" w16cid:durableId="1451701895">
    <w:abstractNumId w:val="9"/>
  </w:num>
  <w:num w:numId="22" w16cid:durableId="892425468">
    <w:abstractNumId w:val="7"/>
  </w:num>
  <w:num w:numId="23" w16cid:durableId="706955479">
    <w:abstractNumId w:val="6"/>
  </w:num>
  <w:num w:numId="24" w16cid:durableId="1987275892">
    <w:abstractNumId w:val="5"/>
  </w:num>
  <w:num w:numId="25" w16cid:durableId="1733387962">
    <w:abstractNumId w:val="4"/>
  </w:num>
  <w:num w:numId="26" w16cid:durableId="734553012">
    <w:abstractNumId w:val="8"/>
  </w:num>
  <w:num w:numId="27" w16cid:durableId="1123966177">
    <w:abstractNumId w:val="3"/>
  </w:num>
  <w:num w:numId="28" w16cid:durableId="1669288572">
    <w:abstractNumId w:val="2"/>
  </w:num>
  <w:num w:numId="29" w16cid:durableId="1630671462">
    <w:abstractNumId w:val="1"/>
  </w:num>
  <w:num w:numId="30" w16cid:durableId="321783525">
    <w:abstractNumId w:val="0"/>
  </w:num>
  <w:num w:numId="31" w16cid:durableId="395007632">
    <w:abstractNumId w:val="9"/>
  </w:num>
  <w:num w:numId="32" w16cid:durableId="1241718465">
    <w:abstractNumId w:val="7"/>
  </w:num>
  <w:num w:numId="33" w16cid:durableId="1816797076">
    <w:abstractNumId w:val="6"/>
  </w:num>
  <w:num w:numId="34" w16cid:durableId="704522634">
    <w:abstractNumId w:val="5"/>
  </w:num>
  <w:num w:numId="35" w16cid:durableId="1085029779">
    <w:abstractNumId w:val="4"/>
  </w:num>
  <w:num w:numId="36" w16cid:durableId="423235008">
    <w:abstractNumId w:val="8"/>
  </w:num>
  <w:num w:numId="37" w16cid:durableId="757946509">
    <w:abstractNumId w:val="3"/>
  </w:num>
  <w:num w:numId="38" w16cid:durableId="115877447">
    <w:abstractNumId w:val="2"/>
  </w:num>
  <w:num w:numId="39" w16cid:durableId="1387148525">
    <w:abstractNumId w:val="1"/>
  </w:num>
  <w:num w:numId="40" w16cid:durableId="414480106">
    <w:abstractNumId w:val="0"/>
  </w:num>
  <w:num w:numId="41" w16cid:durableId="991985522">
    <w:abstractNumId w:val="10"/>
  </w:num>
  <w:num w:numId="42" w16cid:durableId="1095977132">
    <w:abstractNumId w:val="10"/>
  </w:num>
  <w:num w:numId="43" w16cid:durableId="1211917055">
    <w:abstractNumId w:val="10"/>
  </w:num>
  <w:num w:numId="44" w16cid:durableId="642275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4/2025"/>
    <w:docVar w:name="dvlangue" w:val="PL"/>
    <w:docVar w:name="dvnumam" w:val="0"/>
    <w:docVar w:name="dvpe" w:val="775.519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23/1542 w odniesieniu do obowiązków podmiotów gospodarczych dotyczących polityk w zakresie należytej staranności w odniesieniu do baterii(COM(2025)0258 – C10-0089/2025 – 2025/0129(COD))"/>
  </w:docVars>
  <w:rsids>
    <w:rsidRoot w:val="00AD21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587"/>
    <w:rsid w:val="002767FF"/>
    <w:rsid w:val="002B18FE"/>
    <w:rsid w:val="002B5493"/>
    <w:rsid w:val="00343214"/>
    <w:rsid w:val="003530CB"/>
    <w:rsid w:val="00361C00"/>
    <w:rsid w:val="00395FA1"/>
    <w:rsid w:val="003B1BD7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4E3610"/>
    <w:rsid w:val="0050519A"/>
    <w:rsid w:val="005072A1"/>
    <w:rsid w:val="00514517"/>
    <w:rsid w:val="0051740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661"/>
    <w:rsid w:val="00865F67"/>
    <w:rsid w:val="0088135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74B"/>
    <w:rsid w:val="00A778C7"/>
    <w:rsid w:val="00AB441E"/>
    <w:rsid w:val="00AB6293"/>
    <w:rsid w:val="00AD2118"/>
    <w:rsid w:val="00AE0928"/>
    <w:rsid w:val="00AF3B82"/>
    <w:rsid w:val="00B12E95"/>
    <w:rsid w:val="00B22876"/>
    <w:rsid w:val="00B558F0"/>
    <w:rsid w:val="00BC779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D38"/>
    <w:rsid w:val="00D77C9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F5D93"/>
  <w15:chartTrackingRefBased/>
  <w15:docId w15:val="{C5F5156E-2A72-447E-AD51-3D7C7672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7D38"/>
    <w:pPr>
      <w:spacing w:before="480" w:after="240"/>
    </w:pPr>
  </w:style>
  <w:style w:type="paragraph" w:customStyle="1" w:styleId="NormalBold">
    <w:name w:val="NormalBold"/>
    <w:basedOn w:val="Normal"/>
    <w:rsid w:val="00D57D38"/>
    <w:rPr>
      <w:b/>
    </w:rPr>
  </w:style>
  <w:style w:type="paragraph" w:customStyle="1" w:styleId="NormalHanging12a">
    <w:name w:val="NormalHanging12a"/>
    <w:basedOn w:val="Normal"/>
    <w:rsid w:val="00D57D3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7574B"/>
    <w:rPr>
      <w:color w:val="0563C1" w:themeColor="hyperlink"/>
      <w:u w:val="single"/>
    </w:rPr>
  </w:style>
  <w:style w:type="paragraph" w:customStyle="1" w:styleId="Rfrenceinterinstitutionnelle">
    <w:name w:val="Référence interinstitutionnelle"/>
    <w:basedOn w:val="Normal"/>
    <w:next w:val="Normal"/>
    <w:rsid w:val="00A7574B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Normal"/>
    <w:rsid w:val="00A7574B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A7574B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rsid w:val="00A7574B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A7574B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A7574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A7574B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2025-10-23T10:06:00Z</dcterms:created>
  <dcterms:modified xsi:type="dcterms:W3CDTF">2025-10-23T10:06:00Z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