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07B1" w14:paraId="127230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6154E9" w14:textId="77777777" w:rsidR="00751A4A" w:rsidRPr="00C907B1" w:rsidRDefault="00DC4875" w:rsidP="0010095E">
            <w:pPr>
              <w:pStyle w:val="EPName"/>
            </w:pPr>
            <w:r w:rsidRPr="00C907B1">
              <w:t>Parlamentul European</w:t>
            </w:r>
          </w:p>
          <w:p w14:paraId="59035479" w14:textId="77777777" w:rsidR="00751A4A" w:rsidRPr="00C907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07B1">
              <w:t>2024</w:t>
            </w:r>
            <w:r w:rsidR="00817416" w:rsidRPr="00C907B1">
              <w:t>-202</w:t>
            </w:r>
            <w:r w:rsidRPr="00C907B1">
              <w:t>9</w:t>
            </w:r>
          </w:p>
        </w:tc>
        <w:tc>
          <w:tcPr>
            <w:tcW w:w="2268" w:type="dxa"/>
            <w:shd w:val="clear" w:color="auto" w:fill="auto"/>
          </w:tcPr>
          <w:p w14:paraId="6FCC7A06" w14:textId="77777777" w:rsidR="00751A4A" w:rsidRPr="00C907B1" w:rsidRDefault="00187494" w:rsidP="0010095E">
            <w:pPr>
              <w:pStyle w:val="EPLogo"/>
            </w:pPr>
            <w:r w:rsidRPr="00C907B1">
              <w:rPr>
                <w:noProof/>
                <w:lang w:val="hu-HU" w:eastAsia="hu-HU"/>
              </w:rPr>
              <w:drawing>
                <wp:inline distT="0" distB="0" distL="0" distR="0" wp14:anchorId="0261FA01" wp14:editId="03C0A6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C4A68A" w14:textId="77777777" w:rsidR="00D058B8" w:rsidRPr="00C907B1" w:rsidRDefault="00D058B8" w:rsidP="004C5D52">
      <w:pPr>
        <w:pStyle w:val="LineTop"/>
      </w:pPr>
    </w:p>
    <w:p w14:paraId="3035DAD8" w14:textId="77777777" w:rsidR="00680577" w:rsidRPr="00C907B1" w:rsidRDefault="00DC4875" w:rsidP="00680577">
      <w:pPr>
        <w:pStyle w:val="EPBodyTA1"/>
      </w:pPr>
      <w:r w:rsidRPr="00C907B1">
        <w:t>TEXTE ADOPTATE</w:t>
      </w:r>
    </w:p>
    <w:p w14:paraId="1D195ABA" w14:textId="77777777" w:rsidR="00D058B8" w:rsidRPr="00C907B1" w:rsidRDefault="00D058B8" w:rsidP="00D058B8">
      <w:pPr>
        <w:pStyle w:val="LineBottom"/>
      </w:pPr>
    </w:p>
    <w:p w14:paraId="70BA4545" w14:textId="77777777" w:rsidR="00DC4875" w:rsidRPr="00C907B1" w:rsidRDefault="00DC4875" w:rsidP="00DC4875">
      <w:pPr>
        <w:pStyle w:val="ATHeading1"/>
      </w:pPr>
      <w:bookmarkStart w:id="0" w:name="TANumber"/>
      <w:r w:rsidRPr="00C907B1">
        <w:t>P10_TA(2025)</w:t>
      </w:r>
      <w:bookmarkEnd w:id="0"/>
      <w:r w:rsidR="00C907B1" w:rsidRPr="00C907B1">
        <w:t>0164</w:t>
      </w:r>
    </w:p>
    <w:p w14:paraId="35004EA5" w14:textId="77777777" w:rsidR="00DC4875" w:rsidRPr="00C907B1" w:rsidRDefault="00DC4875" w:rsidP="00DC4875">
      <w:pPr>
        <w:pStyle w:val="ATHeading2"/>
      </w:pPr>
      <w:bookmarkStart w:id="1" w:name="title"/>
      <w:r w:rsidRPr="00C907B1">
        <w:t>Modificarea Regulamentului (UE) 2023/1542 în ceea ce privește obligațiile operatorilor economici referitoare la politicile privind diligența necesară pentru baterii</w:t>
      </w:r>
      <w:bookmarkEnd w:id="1"/>
    </w:p>
    <w:p w14:paraId="67D5DD0A" w14:textId="77777777" w:rsidR="00DC4875" w:rsidRPr="00C907B1" w:rsidRDefault="00DC4875" w:rsidP="00DC4875">
      <w:pPr>
        <w:rPr>
          <w:i/>
          <w:vanish/>
        </w:rPr>
      </w:pPr>
      <w:r w:rsidRPr="00C907B1">
        <w:rPr>
          <w:i/>
        </w:rPr>
        <w:fldChar w:fldCharType="begin"/>
      </w:r>
      <w:r w:rsidRPr="00C907B1">
        <w:rPr>
          <w:i/>
        </w:rPr>
        <w:instrText xml:space="preserve"> TC"(</w:instrText>
      </w:r>
      <w:bookmarkStart w:id="2" w:name="DocNumber"/>
      <w:r w:rsidRPr="00C907B1">
        <w:rPr>
          <w:i/>
        </w:rPr>
        <w:instrText>A10-0134/2025</w:instrText>
      </w:r>
      <w:bookmarkEnd w:id="2"/>
      <w:r w:rsidRPr="00C907B1">
        <w:rPr>
          <w:i/>
        </w:rPr>
        <w:instrText xml:space="preserve"> - Raportor: Antonio </w:instrText>
      </w:r>
      <w:proofErr w:type="spellStart"/>
      <w:r w:rsidRPr="00C907B1">
        <w:rPr>
          <w:i/>
        </w:rPr>
        <w:instrText>Decaro</w:instrText>
      </w:r>
      <w:proofErr w:type="spellEnd"/>
      <w:r w:rsidRPr="00C907B1">
        <w:rPr>
          <w:i/>
        </w:rPr>
        <w:instrText xml:space="preserve">)"\l3 \n&gt; \* MERGEFORMAT </w:instrText>
      </w:r>
      <w:r w:rsidRPr="00C907B1">
        <w:rPr>
          <w:i/>
        </w:rPr>
        <w:fldChar w:fldCharType="end"/>
      </w:r>
    </w:p>
    <w:p w14:paraId="128DC551" w14:textId="77777777" w:rsidR="00DC4875" w:rsidRPr="00C907B1" w:rsidRDefault="00DC4875" w:rsidP="00DC4875">
      <w:pPr>
        <w:rPr>
          <w:vanish/>
        </w:rPr>
      </w:pPr>
      <w:bookmarkStart w:id="3" w:name="Commission"/>
      <w:r w:rsidRPr="00C907B1">
        <w:rPr>
          <w:vanish/>
        </w:rPr>
        <w:t>Comisia pentru mediu, climă și siguranță alimentară</w:t>
      </w:r>
      <w:bookmarkEnd w:id="3"/>
    </w:p>
    <w:p w14:paraId="63D7717E" w14:textId="77777777" w:rsidR="00DC4875" w:rsidRPr="00C907B1" w:rsidRDefault="00DC4875" w:rsidP="00DC4875">
      <w:pPr>
        <w:rPr>
          <w:vanish/>
        </w:rPr>
      </w:pPr>
      <w:bookmarkStart w:id="4" w:name="PE"/>
      <w:r w:rsidRPr="00C907B1">
        <w:rPr>
          <w:vanish/>
        </w:rPr>
        <w:t>PE775.519</w:t>
      </w:r>
      <w:bookmarkEnd w:id="4"/>
    </w:p>
    <w:p w14:paraId="5B29CA09" w14:textId="77777777" w:rsidR="00DC4875" w:rsidRPr="00C907B1" w:rsidRDefault="00DC4875" w:rsidP="00DC4875">
      <w:pPr>
        <w:pStyle w:val="ATHeading3"/>
      </w:pPr>
      <w:bookmarkStart w:id="5" w:name="Sujet"/>
      <w:r w:rsidRPr="00C907B1">
        <w:t>Rezoluția legislativă a Parlamentului European din 10 iulie 2025 referitoare la propunerea de regulament al Parlamentului European și al Consiliului de modificare a Regulamentului (UE) 2023/1542 în ceea ce privește obligațiile operatorilor economici referitoare la politicile privind diligența necesară pentru baterii</w:t>
      </w:r>
      <w:bookmarkEnd w:id="5"/>
      <w:r w:rsidRPr="00C907B1">
        <w:t xml:space="preserve"> </w:t>
      </w:r>
      <w:bookmarkStart w:id="6" w:name="References"/>
      <w:r w:rsidRPr="00C907B1">
        <w:t>(COM(2025)0258 – C10-0089/2025 – 2025/0129(COD))</w:t>
      </w:r>
      <w:bookmarkEnd w:id="6"/>
    </w:p>
    <w:p w14:paraId="6D389E3F" w14:textId="77777777" w:rsidR="00DC4875" w:rsidRPr="00C907B1" w:rsidRDefault="00DC4875" w:rsidP="00DC4875"/>
    <w:p w14:paraId="301BD511" w14:textId="77777777" w:rsidR="000D1550" w:rsidRPr="00C907B1" w:rsidRDefault="000D1550" w:rsidP="000D1550">
      <w:pPr>
        <w:pStyle w:val="NormalBold"/>
      </w:pPr>
      <w:bookmarkStart w:id="7" w:name="TextBodyBegin"/>
      <w:bookmarkEnd w:id="7"/>
      <w:r w:rsidRPr="00C907B1">
        <w:t>Procedura legislativă ordinară (prima lectură)</w:t>
      </w:r>
    </w:p>
    <w:p w14:paraId="36C9C285" w14:textId="77777777" w:rsidR="000D1550" w:rsidRPr="00C907B1" w:rsidRDefault="000D1550" w:rsidP="000D1550">
      <w:pPr>
        <w:pStyle w:val="EPComma"/>
      </w:pPr>
      <w:r w:rsidRPr="00C907B1">
        <w:rPr>
          <w:i/>
          <w:iCs/>
        </w:rPr>
        <w:t>Parlamentul European</w:t>
      </w:r>
      <w:r w:rsidRPr="00C907B1">
        <w:t>,</w:t>
      </w:r>
    </w:p>
    <w:p w14:paraId="75383DE2" w14:textId="77777777" w:rsidR="000D1550" w:rsidRPr="00C907B1" w:rsidRDefault="000D1550" w:rsidP="000D1550">
      <w:pPr>
        <w:pStyle w:val="NormalHanging12a"/>
      </w:pPr>
      <w:r w:rsidRPr="00C907B1">
        <w:t>–</w:t>
      </w:r>
      <w:r w:rsidRPr="00C907B1">
        <w:tab/>
        <w:t>având în vedere propunerea Comisiei prezentată Parlamentului European și Consiliului (COM(2025)0258),</w:t>
      </w:r>
    </w:p>
    <w:p w14:paraId="09AAF194" w14:textId="77777777" w:rsidR="000D1550" w:rsidRPr="00C907B1" w:rsidRDefault="000D1550" w:rsidP="000D1550">
      <w:pPr>
        <w:pStyle w:val="NormalHanging12a"/>
      </w:pPr>
      <w:r w:rsidRPr="00C907B1">
        <w:t>–</w:t>
      </w:r>
      <w:r w:rsidRPr="00C907B1">
        <w:tab/>
        <w:t>având în vedere articolul 294 alineatul (2) și articolul 114 din Tratatul privind funcționarea Uniunii Europene, în temeiul cărora propunerea a fost prezentată de către Comisie (C10</w:t>
      </w:r>
      <w:r w:rsidRPr="00C907B1">
        <w:noBreakHyphen/>
        <w:t>0089/2025),</w:t>
      </w:r>
    </w:p>
    <w:p w14:paraId="7E027295" w14:textId="77777777" w:rsidR="000D1550" w:rsidRPr="00C907B1" w:rsidRDefault="000D1550" w:rsidP="000D1550">
      <w:pPr>
        <w:pStyle w:val="NormalHanging12a"/>
      </w:pPr>
      <w:r w:rsidRPr="00C907B1">
        <w:t>–</w:t>
      </w:r>
      <w:r w:rsidRPr="00C907B1">
        <w:tab/>
        <w:t>având în vedere articolul 294 alineatul (3) din Tratatul privind funcționarea Uniunii Europene,</w:t>
      </w:r>
    </w:p>
    <w:p w14:paraId="3EF2CAB2" w14:textId="77777777" w:rsidR="000D1550" w:rsidRPr="00C907B1" w:rsidRDefault="000D1550" w:rsidP="000D1550">
      <w:pPr>
        <w:pStyle w:val="NormalHanging12a"/>
      </w:pPr>
      <w:r w:rsidRPr="00C907B1">
        <w:t>–</w:t>
      </w:r>
      <w:r w:rsidRPr="00C907B1">
        <w:tab/>
        <w:t>având în vedere avizul Comitetului Economic și Social European din 18 iunie 2025</w:t>
      </w:r>
      <w:r w:rsidRPr="00C907B1">
        <w:rPr>
          <w:rStyle w:val="FootnoteReference"/>
        </w:rPr>
        <w:footnoteReference w:id="1"/>
      </w:r>
      <w:r w:rsidRPr="00C907B1">
        <w:t>,</w:t>
      </w:r>
    </w:p>
    <w:p w14:paraId="0356DF37" w14:textId="77777777" w:rsidR="000D1550" w:rsidRPr="00C907B1" w:rsidRDefault="000D1550" w:rsidP="000D1550">
      <w:pPr>
        <w:pStyle w:val="NormalHanging12a"/>
      </w:pPr>
      <w:r w:rsidRPr="00C907B1">
        <w:t>–</w:t>
      </w:r>
      <w:r w:rsidRPr="00C907B1">
        <w:tab/>
        <w:t>având în vedere articolul 60 din Regulamentul său de procedură,</w:t>
      </w:r>
    </w:p>
    <w:p w14:paraId="36BDFE93" w14:textId="77777777" w:rsidR="000D1550" w:rsidRPr="00C907B1" w:rsidRDefault="000D1550" w:rsidP="000D1550">
      <w:pPr>
        <w:pStyle w:val="NormalHanging12a"/>
      </w:pPr>
      <w:r w:rsidRPr="00C907B1">
        <w:t>–</w:t>
      </w:r>
      <w:r w:rsidRPr="00C907B1">
        <w:tab/>
        <w:t>având în vedere raportul Comisiei pentru mediu, climă și siguranță alimentară (A10‑0134/2025),</w:t>
      </w:r>
    </w:p>
    <w:p w14:paraId="31DC0CB8" w14:textId="77777777" w:rsidR="000D1550" w:rsidRPr="00C907B1" w:rsidRDefault="000D1550" w:rsidP="000D1550">
      <w:pPr>
        <w:pStyle w:val="NormalHanging12a"/>
      </w:pPr>
      <w:r w:rsidRPr="00C907B1">
        <w:t>1.</w:t>
      </w:r>
      <w:r w:rsidRPr="00C907B1">
        <w:tab/>
        <w:t xml:space="preserve">adoptă poziția sa în primă lectură </w:t>
      </w:r>
      <w:r w:rsidR="00FA4B8A" w:rsidRPr="00C907B1">
        <w:t>prezentată în continuare</w:t>
      </w:r>
      <w:r w:rsidRPr="00C907B1">
        <w:t>;</w:t>
      </w:r>
    </w:p>
    <w:p w14:paraId="61E0B4FA" w14:textId="77777777" w:rsidR="000D1550" w:rsidRPr="00C907B1" w:rsidRDefault="000D1550" w:rsidP="000D1550">
      <w:pPr>
        <w:pStyle w:val="NormalHanging12a"/>
      </w:pPr>
      <w:r w:rsidRPr="00C907B1">
        <w:t>2.</w:t>
      </w:r>
      <w:r w:rsidRPr="00C907B1">
        <w:tab/>
        <w:t xml:space="preserve">invită Comisia să îl sesizeze din nou în cazul în care își înlocuiește, își modifică în mod </w:t>
      </w:r>
      <w:r w:rsidRPr="00C907B1">
        <w:lastRenderedPageBreak/>
        <w:t>substanțial sau intenționează să își modifice în mod substanțial propunerea;</w:t>
      </w:r>
    </w:p>
    <w:p w14:paraId="048BB543" w14:textId="77777777" w:rsidR="000D1550" w:rsidRPr="00C907B1" w:rsidRDefault="00FA4B8A" w:rsidP="000D1550">
      <w:pPr>
        <w:pStyle w:val="NormalHanging12a"/>
      </w:pPr>
      <w:r w:rsidRPr="00C907B1">
        <w:t>3</w:t>
      </w:r>
      <w:r w:rsidR="000D1550" w:rsidRPr="00C907B1">
        <w:t>.</w:t>
      </w:r>
      <w:r w:rsidR="000D1550" w:rsidRPr="00C907B1">
        <w:tab/>
        <w:t>încredințează Președintei sarcina de a transmite Consiliului și Comisiei, precum și parlamentelor naționale poziția Parlamentului.</w:t>
      </w:r>
    </w:p>
    <w:p w14:paraId="7EB58807" w14:textId="77777777" w:rsidR="000D1550" w:rsidRPr="00C907B1" w:rsidRDefault="000D1550" w:rsidP="000D1550"/>
    <w:p w14:paraId="153079B2" w14:textId="77777777" w:rsidR="000D1550" w:rsidRPr="00C907B1" w:rsidRDefault="000D1550" w:rsidP="000D1550">
      <w:pPr>
        <w:sectPr w:rsidR="000D1550" w:rsidRPr="00C907B1" w:rsidSect="0091417F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B94C98" w14:textId="77777777" w:rsidR="00FA4B8A" w:rsidRPr="00C907B1" w:rsidRDefault="00FA4B8A" w:rsidP="00FA4B8A">
      <w:pPr>
        <w:rPr>
          <w:b/>
        </w:rPr>
      </w:pPr>
      <w:r w:rsidRPr="00C907B1">
        <w:rPr>
          <w:b/>
        </w:rPr>
        <w:lastRenderedPageBreak/>
        <w:t>P10_TC1-COD(2025)0129</w:t>
      </w:r>
    </w:p>
    <w:p w14:paraId="02BC667F" w14:textId="77777777" w:rsidR="00FA4B8A" w:rsidRDefault="00FA4B8A" w:rsidP="00FA4B8A">
      <w:pPr>
        <w:spacing w:before="240"/>
        <w:rPr>
          <w:rFonts w:eastAsia="Calibri"/>
          <w:b/>
          <w:color w:val="000000"/>
          <w:szCs w:val="22"/>
        </w:rPr>
      </w:pPr>
      <w:r w:rsidRPr="00C907B1">
        <w:rPr>
          <w:b/>
        </w:rPr>
        <w:t xml:space="preserve">Poziția Parlamentului European adoptată în primă lectură la 10 iulie 2025 în vederea adoptării Regulamentului (UE) 2025/... al Parlamentului European și al Consiliului </w:t>
      </w:r>
      <w:r w:rsidRPr="00C907B1">
        <w:rPr>
          <w:rFonts w:eastAsia="Calibri"/>
          <w:b/>
          <w:color w:val="000000"/>
          <w:szCs w:val="22"/>
        </w:rPr>
        <w:t>de modificare a Regulamentului (UE) 2023/1542 în ceea ce privește obligațiile operatorilor economici referitoare la politicile privind diligența necesară pentru baterii</w:t>
      </w:r>
    </w:p>
    <w:p w14:paraId="7B5069F8" w14:textId="33FACAA0" w:rsidR="00C4387D" w:rsidRPr="00C4387D" w:rsidRDefault="00C4387D" w:rsidP="00C4387D">
      <w:pPr>
        <w:spacing w:before="480"/>
        <w:rPr>
          <w:rFonts w:eastAsia="Calibri"/>
          <w:b/>
          <w:bCs/>
          <w:color w:val="000000"/>
          <w:szCs w:val="22"/>
        </w:rPr>
      </w:pPr>
      <w:r w:rsidRPr="00C4387D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bCs/>
          <w:i/>
        </w:rPr>
        <w:t>1561</w:t>
      </w:r>
      <w:r w:rsidRPr="00C4387D">
        <w:rPr>
          <w:rStyle w:val="ATHeading3Char"/>
          <w:b w:val="0"/>
          <w:bCs/>
          <w:i/>
        </w:rPr>
        <w:t>.)</w:t>
      </w:r>
    </w:p>
    <w:sectPr w:rsidR="00C4387D" w:rsidRPr="00C4387D" w:rsidSect="009141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B9B0F" w14:textId="77777777" w:rsidR="00DC4875" w:rsidRPr="0091417F" w:rsidRDefault="00DC4875">
      <w:r w:rsidRPr="0091417F">
        <w:separator/>
      </w:r>
    </w:p>
  </w:endnote>
  <w:endnote w:type="continuationSeparator" w:id="0">
    <w:p w14:paraId="5E78FC40" w14:textId="77777777" w:rsidR="00DC4875" w:rsidRPr="0091417F" w:rsidRDefault="00DC4875">
      <w:r w:rsidRPr="009141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44E1" w14:textId="77777777" w:rsidR="000D1550" w:rsidRPr="0091417F" w:rsidRDefault="000D1550" w:rsidP="00A03AC3">
    <w:pPr>
      <w:pStyle w:val="EPFooter"/>
    </w:pPr>
    <w:r w:rsidRPr="0091417F">
      <w:t>PE</w:t>
    </w:r>
    <w:r w:rsidRPr="0091417F">
      <w:rPr>
        <w:rStyle w:val="HideTWBExt"/>
      </w:rPr>
      <w:t>&lt;</w:t>
    </w:r>
    <w:proofErr w:type="spellStart"/>
    <w:r w:rsidRPr="0091417F">
      <w:rPr>
        <w:rStyle w:val="HideTWBExt"/>
      </w:rPr>
      <w:t>NoPE</w:t>
    </w:r>
    <w:proofErr w:type="spellEnd"/>
    <w:r w:rsidRPr="0091417F">
      <w:rPr>
        <w:rStyle w:val="HideTWBExt"/>
      </w:rPr>
      <w:t>&gt;</w:t>
    </w:r>
    <w:r w:rsidRPr="0091417F">
      <w:t>775.519</w:t>
    </w:r>
    <w:r w:rsidRPr="0091417F">
      <w:rPr>
        <w:rStyle w:val="HideTWBExt"/>
      </w:rPr>
      <w:t>&lt;/</w:t>
    </w:r>
    <w:proofErr w:type="spellStart"/>
    <w:r w:rsidRPr="0091417F">
      <w:rPr>
        <w:rStyle w:val="HideTWBExt"/>
      </w:rPr>
      <w:t>NoPE</w:t>
    </w:r>
    <w:proofErr w:type="spellEnd"/>
    <w:r w:rsidRPr="0091417F">
      <w:rPr>
        <w:rStyle w:val="HideTWBExt"/>
      </w:rPr>
      <w:t>&gt;&lt;Version&gt;</w:t>
    </w:r>
    <w:r w:rsidRPr="0091417F">
      <w:t>v01-00</w:t>
    </w:r>
    <w:r w:rsidRPr="0091417F">
      <w:rPr>
        <w:rStyle w:val="HideTWBExt"/>
      </w:rPr>
      <w:t>&lt;/</w:t>
    </w:r>
    <w:proofErr w:type="spellStart"/>
    <w:r w:rsidRPr="0091417F">
      <w:rPr>
        <w:rStyle w:val="HideTWBExt"/>
      </w:rPr>
      <w:t>Version</w:t>
    </w:r>
    <w:proofErr w:type="spellEnd"/>
    <w:r w:rsidRPr="0091417F">
      <w:rPr>
        <w:rStyle w:val="HideTWBExt"/>
      </w:rPr>
      <w:t>&gt;</w:t>
    </w:r>
    <w:r w:rsidRPr="0091417F">
      <w:tab/>
    </w:r>
    <w:r w:rsidRPr="0091417F">
      <w:fldChar w:fldCharType="begin"/>
    </w:r>
    <w:r w:rsidRPr="0091417F">
      <w:instrText xml:space="preserve"> PAGE  \* MERGEFORMAT </w:instrText>
    </w:r>
    <w:r w:rsidRPr="0091417F">
      <w:fldChar w:fldCharType="separate"/>
    </w:r>
    <w:r w:rsidR="0091417F" w:rsidRPr="0091417F">
      <w:rPr>
        <w:noProof/>
      </w:rPr>
      <w:t>2</w:t>
    </w:r>
    <w:r w:rsidRPr="0091417F">
      <w:fldChar w:fldCharType="end"/>
    </w:r>
    <w:r w:rsidRPr="0091417F">
      <w:t>/</w:t>
    </w:r>
    <w:r w:rsidR="00C4387D">
      <w:fldChar w:fldCharType="begin"/>
    </w:r>
    <w:r w:rsidR="00C4387D">
      <w:instrText xml:space="preserve"> NUMPAGES  \* MERGEFORMAT </w:instrText>
    </w:r>
    <w:r w:rsidR="00C4387D">
      <w:fldChar w:fldCharType="separate"/>
    </w:r>
    <w:r w:rsidR="0091417F" w:rsidRPr="0091417F">
      <w:rPr>
        <w:noProof/>
      </w:rPr>
      <w:t>3</w:t>
    </w:r>
    <w:r w:rsidR="00C4387D">
      <w:rPr>
        <w:noProof/>
      </w:rPr>
      <w:fldChar w:fldCharType="end"/>
    </w:r>
    <w:r w:rsidRPr="0091417F">
      <w:tab/>
    </w:r>
    <w:r w:rsidRPr="0091417F">
      <w:rPr>
        <w:rStyle w:val="HideTWBExt"/>
      </w:rPr>
      <w:t>&lt;PathFdR&gt;</w:t>
    </w:r>
    <w:r w:rsidRPr="0091417F">
      <w:t>RR\1324591RO.docx</w:t>
    </w:r>
    <w:r w:rsidRPr="0091417F">
      <w:rPr>
        <w:rStyle w:val="HideTWBExt"/>
      </w:rPr>
      <w:t>&lt;/</w:t>
    </w:r>
    <w:proofErr w:type="spellStart"/>
    <w:r w:rsidRPr="0091417F">
      <w:rPr>
        <w:rStyle w:val="HideTWBExt"/>
      </w:rPr>
      <w:t>PathFdR</w:t>
    </w:r>
    <w:proofErr w:type="spellEnd"/>
    <w:r w:rsidRPr="0091417F">
      <w:rPr>
        <w:rStyle w:val="HideTWBExt"/>
      </w:rPr>
      <w:t>&gt;</w:t>
    </w:r>
  </w:p>
  <w:p w14:paraId="33AB4E0C" w14:textId="77777777" w:rsidR="000D1550" w:rsidRPr="0091417F" w:rsidRDefault="000D1550" w:rsidP="00A03AC3">
    <w:pPr>
      <w:pStyle w:val="EPFooter2"/>
    </w:pPr>
    <w:r w:rsidRPr="0091417F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D2FB9" w14:textId="77777777" w:rsidR="000D1550" w:rsidRPr="0091417F" w:rsidRDefault="000D1550" w:rsidP="00A03AC3">
    <w:pPr>
      <w:pStyle w:val="EPFooter"/>
    </w:pPr>
    <w:r w:rsidRPr="0091417F">
      <w:rPr>
        <w:rStyle w:val="HideTWBExt"/>
      </w:rPr>
      <w:t>&lt;PathFdR&gt;</w:t>
    </w:r>
    <w:r w:rsidRPr="0091417F">
      <w:t>RR\1324591RO.docx</w:t>
    </w:r>
    <w:r w:rsidRPr="0091417F">
      <w:rPr>
        <w:rStyle w:val="HideTWBExt"/>
      </w:rPr>
      <w:t>&lt;/</w:t>
    </w:r>
    <w:proofErr w:type="spellStart"/>
    <w:r w:rsidRPr="0091417F">
      <w:rPr>
        <w:rStyle w:val="HideTWBExt"/>
      </w:rPr>
      <w:t>PathFdR</w:t>
    </w:r>
    <w:proofErr w:type="spellEnd"/>
    <w:r w:rsidRPr="0091417F">
      <w:rPr>
        <w:rStyle w:val="HideTWBExt"/>
      </w:rPr>
      <w:t>&gt;</w:t>
    </w:r>
    <w:r w:rsidRPr="0091417F">
      <w:tab/>
    </w:r>
    <w:r w:rsidRPr="0091417F">
      <w:tab/>
      <w:t>PE</w:t>
    </w:r>
    <w:r w:rsidRPr="0091417F">
      <w:rPr>
        <w:rStyle w:val="HideTWBExt"/>
      </w:rPr>
      <w:t>&lt;</w:t>
    </w:r>
    <w:proofErr w:type="spellStart"/>
    <w:r w:rsidRPr="0091417F">
      <w:rPr>
        <w:rStyle w:val="HideTWBExt"/>
      </w:rPr>
      <w:t>NoPE</w:t>
    </w:r>
    <w:proofErr w:type="spellEnd"/>
    <w:r w:rsidRPr="0091417F">
      <w:rPr>
        <w:rStyle w:val="HideTWBExt"/>
      </w:rPr>
      <w:t>&gt;</w:t>
    </w:r>
    <w:r w:rsidRPr="0091417F">
      <w:t>775.519</w:t>
    </w:r>
    <w:r w:rsidRPr="0091417F">
      <w:rPr>
        <w:rStyle w:val="HideTWBExt"/>
      </w:rPr>
      <w:t>&lt;/</w:t>
    </w:r>
    <w:proofErr w:type="spellStart"/>
    <w:r w:rsidRPr="0091417F">
      <w:rPr>
        <w:rStyle w:val="HideTWBExt"/>
      </w:rPr>
      <w:t>NoPE</w:t>
    </w:r>
    <w:proofErr w:type="spellEnd"/>
    <w:r w:rsidRPr="0091417F">
      <w:rPr>
        <w:rStyle w:val="HideTWBExt"/>
      </w:rPr>
      <w:t>&gt;&lt;Version&gt;</w:t>
    </w:r>
    <w:r w:rsidRPr="0091417F">
      <w:t>v01-00</w:t>
    </w:r>
    <w:r w:rsidRPr="0091417F">
      <w:rPr>
        <w:rStyle w:val="HideTWBExt"/>
      </w:rPr>
      <w:t>&lt;/</w:t>
    </w:r>
    <w:proofErr w:type="spellStart"/>
    <w:r w:rsidRPr="0091417F">
      <w:rPr>
        <w:rStyle w:val="HideTWBExt"/>
      </w:rPr>
      <w:t>Version</w:t>
    </w:r>
    <w:proofErr w:type="spellEnd"/>
    <w:r w:rsidRPr="0091417F">
      <w:rPr>
        <w:rStyle w:val="HideTWBExt"/>
      </w:rPr>
      <w:t>&gt;</w:t>
    </w:r>
  </w:p>
  <w:p w14:paraId="648C9E67" w14:textId="77777777" w:rsidR="000D1550" w:rsidRPr="0091417F" w:rsidRDefault="000D1550" w:rsidP="00A03AC3">
    <w:pPr>
      <w:pStyle w:val="EPFooter2"/>
    </w:pPr>
    <w:r w:rsidRPr="0091417F">
      <w:t>RO</w:t>
    </w:r>
    <w:r w:rsidRPr="0091417F">
      <w:tab/>
    </w:r>
    <w:r w:rsidRPr="0091417F">
      <w:rPr>
        <w:b w:val="0"/>
        <w:i/>
        <w:color w:val="C0C0C0"/>
        <w:sz w:val="22"/>
      </w:rPr>
      <w:t>Unită în diversitate</w:t>
    </w:r>
    <w:r w:rsidRPr="0091417F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5B8EE" w14:textId="77777777" w:rsidR="00064002" w:rsidRPr="0091417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27A20" w14:textId="77777777" w:rsidR="00064002" w:rsidRPr="0091417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97F4" w14:textId="77777777" w:rsidR="00064002" w:rsidRPr="009141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E2A1D" w14:textId="77777777" w:rsidR="00DC4875" w:rsidRPr="0091417F" w:rsidRDefault="00DC4875">
      <w:r w:rsidRPr="0091417F">
        <w:separator/>
      </w:r>
    </w:p>
  </w:footnote>
  <w:footnote w:type="continuationSeparator" w:id="0">
    <w:p w14:paraId="32137051" w14:textId="77777777" w:rsidR="00DC4875" w:rsidRPr="0091417F" w:rsidRDefault="00DC4875">
      <w:r w:rsidRPr="0091417F">
        <w:continuationSeparator/>
      </w:r>
    </w:p>
  </w:footnote>
  <w:footnote w:id="1">
    <w:p w14:paraId="2CEB48C0" w14:textId="77777777" w:rsidR="000D1550" w:rsidRPr="0091417F" w:rsidRDefault="000D1550" w:rsidP="0091417F">
      <w:pPr>
        <w:pStyle w:val="FootnoteText"/>
        <w:ind w:left="567" w:hanging="567"/>
        <w:rPr>
          <w:sz w:val="24"/>
          <w:lang w:val="ro-RO"/>
        </w:rPr>
      </w:pPr>
      <w:r w:rsidRPr="0091417F">
        <w:rPr>
          <w:rStyle w:val="FootnoteReference"/>
          <w:sz w:val="24"/>
          <w:lang w:val="ro-RO"/>
        </w:rPr>
        <w:footnoteRef/>
      </w:r>
      <w:r w:rsidR="0091417F" w:rsidRPr="0091417F">
        <w:rPr>
          <w:sz w:val="24"/>
          <w:lang w:val="ro-RO"/>
        </w:rPr>
        <w:t xml:space="preserve"> </w:t>
      </w:r>
      <w:r w:rsidR="0091417F" w:rsidRPr="0091417F">
        <w:rPr>
          <w:sz w:val="24"/>
          <w:lang w:val="ro-RO"/>
        </w:rPr>
        <w:tab/>
      </w:r>
      <w:r w:rsidRPr="0091417F">
        <w:rPr>
          <w:sz w:val="24"/>
          <w:lang w:val="ro-RO"/>
        </w:rPr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F9773" w14:textId="77777777" w:rsidR="00064002" w:rsidRPr="009141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0EE53" w14:textId="77777777" w:rsidR="00064002" w:rsidRPr="009141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ABA9" w14:textId="77777777" w:rsidR="00064002" w:rsidRPr="009141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7982039">
    <w:abstractNumId w:val="9"/>
  </w:num>
  <w:num w:numId="2" w16cid:durableId="2097047408">
    <w:abstractNumId w:val="9"/>
  </w:num>
  <w:num w:numId="3" w16cid:durableId="1046828764">
    <w:abstractNumId w:val="7"/>
  </w:num>
  <w:num w:numId="4" w16cid:durableId="1622224178">
    <w:abstractNumId w:val="7"/>
  </w:num>
  <w:num w:numId="5" w16cid:durableId="1281231058">
    <w:abstractNumId w:val="6"/>
  </w:num>
  <w:num w:numId="6" w16cid:durableId="1192843108">
    <w:abstractNumId w:val="6"/>
  </w:num>
  <w:num w:numId="7" w16cid:durableId="2112817029">
    <w:abstractNumId w:val="5"/>
  </w:num>
  <w:num w:numId="8" w16cid:durableId="481431534">
    <w:abstractNumId w:val="5"/>
  </w:num>
  <w:num w:numId="9" w16cid:durableId="2051491620">
    <w:abstractNumId w:val="4"/>
  </w:num>
  <w:num w:numId="10" w16cid:durableId="1099519860">
    <w:abstractNumId w:val="4"/>
  </w:num>
  <w:num w:numId="11" w16cid:durableId="155996196">
    <w:abstractNumId w:val="8"/>
  </w:num>
  <w:num w:numId="12" w16cid:durableId="121581867">
    <w:abstractNumId w:val="8"/>
  </w:num>
  <w:num w:numId="13" w16cid:durableId="1930967556">
    <w:abstractNumId w:val="3"/>
  </w:num>
  <w:num w:numId="14" w16cid:durableId="86460732">
    <w:abstractNumId w:val="3"/>
  </w:num>
  <w:num w:numId="15" w16cid:durableId="1283076126">
    <w:abstractNumId w:val="2"/>
  </w:num>
  <w:num w:numId="16" w16cid:durableId="1726029875">
    <w:abstractNumId w:val="2"/>
  </w:num>
  <w:num w:numId="17" w16cid:durableId="1034233987">
    <w:abstractNumId w:val="1"/>
  </w:num>
  <w:num w:numId="18" w16cid:durableId="18360591">
    <w:abstractNumId w:val="1"/>
  </w:num>
  <w:num w:numId="19" w16cid:durableId="1300569633">
    <w:abstractNumId w:val="0"/>
  </w:num>
  <w:num w:numId="20" w16cid:durableId="1684238403">
    <w:abstractNumId w:val="0"/>
  </w:num>
  <w:num w:numId="21" w16cid:durableId="1879008866">
    <w:abstractNumId w:val="9"/>
  </w:num>
  <w:num w:numId="22" w16cid:durableId="1501460473">
    <w:abstractNumId w:val="7"/>
  </w:num>
  <w:num w:numId="23" w16cid:durableId="106701217">
    <w:abstractNumId w:val="6"/>
  </w:num>
  <w:num w:numId="24" w16cid:durableId="1942105483">
    <w:abstractNumId w:val="5"/>
  </w:num>
  <w:num w:numId="25" w16cid:durableId="51463936">
    <w:abstractNumId w:val="4"/>
  </w:num>
  <w:num w:numId="26" w16cid:durableId="1593732922">
    <w:abstractNumId w:val="8"/>
  </w:num>
  <w:num w:numId="27" w16cid:durableId="93405142">
    <w:abstractNumId w:val="3"/>
  </w:num>
  <w:num w:numId="28" w16cid:durableId="251160368">
    <w:abstractNumId w:val="2"/>
  </w:num>
  <w:num w:numId="29" w16cid:durableId="1465006998">
    <w:abstractNumId w:val="1"/>
  </w:num>
  <w:num w:numId="30" w16cid:durableId="2062240246">
    <w:abstractNumId w:val="0"/>
  </w:num>
  <w:num w:numId="31" w16cid:durableId="1106733516">
    <w:abstractNumId w:val="9"/>
  </w:num>
  <w:num w:numId="32" w16cid:durableId="1483111607">
    <w:abstractNumId w:val="7"/>
  </w:num>
  <w:num w:numId="33" w16cid:durableId="1039279964">
    <w:abstractNumId w:val="6"/>
  </w:num>
  <w:num w:numId="34" w16cid:durableId="78798297">
    <w:abstractNumId w:val="5"/>
  </w:num>
  <w:num w:numId="35" w16cid:durableId="703477630">
    <w:abstractNumId w:val="4"/>
  </w:num>
  <w:num w:numId="36" w16cid:durableId="1411656873">
    <w:abstractNumId w:val="8"/>
  </w:num>
  <w:num w:numId="37" w16cid:durableId="1518040917">
    <w:abstractNumId w:val="3"/>
  </w:num>
  <w:num w:numId="38" w16cid:durableId="177549085">
    <w:abstractNumId w:val="2"/>
  </w:num>
  <w:num w:numId="39" w16cid:durableId="1729720595">
    <w:abstractNumId w:val="1"/>
  </w:num>
  <w:num w:numId="40" w16cid:durableId="1287472102">
    <w:abstractNumId w:val="0"/>
  </w:num>
  <w:num w:numId="41" w16cid:durableId="1186139498">
    <w:abstractNumId w:val="10"/>
  </w:num>
  <w:num w:numId="42" w16cid:durableId="1169171081">
    <w:abstractNumId w:val="10"/>
  </w:num>
  <w:num w:numId="43" w16cid:durableId="1281372837">
    <w:abstractNumId w:val="10"/>
  </w:num>
  <w:num w:numId="44" w16cid:durableId="56169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RO"/>
    <w:docVar w:name="dvnumam" w:val="0"/>
    <w:docVar w:name="dvpe" w:val="775.519"/>
    <w:docVar w:name="dvrapporteur" w:val="Raportor: "/>
    <w:docVar w:name="dvstar" w:val="***I"/>
    <w:docVar w:name="dvtitre" w:val="Rezoluția legislativă a Parlamentului European din 10 iulie 2025 referitoare la propunerea de regulament al Parlamentului European și al Consiliului de modificare a Regulamentului (UE) 2023/1542 în ceea ce privește obligațiile operatorilor economici referitoare la politicile privind diligența necesară pentru baterii(COM(2025)0258 – C10-0089/2025 – 2025/0129(COD))"/>
  </w:docVars>
  <w:rsids>
    <w:rsidRoot w:val="00DC4875"/>
    <w:rsid w:val="00002272"/>
    <w:rsid w:val="00064002"/>
    <w:rsid w:val="000677B9"/>
    <w:rsid w:val="000831BA"/>
    <w:rsid w:val="000A42CC"/>
    <w:rsid w:val="000D155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A9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17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311"/>
    <w:rsid w:val="00B12E95"/>
    <w:rsid w:val="00B22876"/>
    <w:rsid w:val="00B558F0"/>
    <w:rsid w:val="00BA14AC"/>
    <w:rsid w:val="00BD48FE"/>
    <w:rsid w:val="00BD7BD8"/>
    <w:rsid w:val="00BE6ADC"/>
    <w:rsid w:val="00C05BFE"/>
    <w:rsid w:val="00C23CD4"/>
    <w:rsid w:val="00C4387D"/>
    <w:rsid w:val="00C61C0C"/>
    <w:rsid w:val="00C907B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87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B8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D46E3"/>
  <w15:chartTrackingRefBased/>
  <w15:docId w15:val="{A548783C-EFFF-4D41-B19D-F0F1E4FF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D15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D1550"/>
    <w:pPr>
      <w:spacing w:before="480" w:after="240"/>
    </w:pPr>
  </w:style>
  <w:style w:type="paragraph" w:customStyle="1" w:styleId="PageHeading">
    <w:name w:val="PageHeading"/>
    <w:basedOn w:val="Normal"/>
    <w:rsid w:val="000D15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D1550"/>
    <w:rPr>
      <w:b/>
    </w:rPr>
  </w:style>
  <w:style w:type="paragraph" w:customStyle="1" w:styleId="NormalHanging12a">
    <w:name w:val="NormalHanging12a"/>
    <w:basedOn w:val="Normal"/>
    <w:rsid w:val="000D155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D15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D1550"/>
    <w:rPr>
      <w:sz w:val="24"/>
      <w:lang w:val="ro-RO"/>
    </w:rPr>
  </w:style>
  <w:style w:type="paragraph" w:customStyle="1" w:styleId="EPFooter">
    <w:name w:val="EPFooter"/>
    <w:basedOn w:val="Normal"/>
    <w:rsid w:val="000D15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0D1550"/>
    <w:pPr>
      <w:spacing w:after="240"/>
    </w:pPr>
  </w:style>
  <w:style w:type="paragraph" w:customStyle="1" w:styleId="RollCallVotes">
    <w:name w:val="RollCallVotes"/>
    <w:basedOn w:val="Normal"/>
    <w:rsid w:val="000D155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D155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D155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D155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0D1550"/>
    <w:pPr>
      <w:spacing w:after="480"/>
    </w:pPr>
  </w:style>
  <w:style w:type="paragraph" w:customStyle="1" w:styleId="Footprint12b">
    <w:name w:val="Footprint12b"/>
    <w:basedOn w:val="Normal"/>
    <w:rsid w:val="000D1550"/>
    <w:pPr>
      <w:spacing w:before="240"/>
    </w:pPr>
    <w:rPr>
      <w:szCs w:val="24"/>
    </w:rPr>
  </w:style>
  <w:style w:type="paragraph" w:styleId="Footer">
    <w:name w:val="footer"/>
    <w:basedOn w:val="Normal"/>
    <w:link w:val="FooterChar"/>
    <w:rsid w:val="00FA4B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4B8A"/>
    <w:rPr>
      <w:sz w:val="24"/>
      <w:lang w:val="ro-RO"/>
    </w:rPr>
  </w:style>
  <w:style w:type="paragraph" w:styleId="BalloonText">
    <w:name w:val="Balloon Text"/>
    <w:basedOn w:val="Normal"/>
    <w:link w:val="BalloonTextChar"/>
    <w:rsid w:val="00FA4B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4B8A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rsid w:val="00FA4B8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A4B8A"/>
    <w:rPr>
      <w:color w:val="954F72" w:themeColor="followedHyperlink"/>
      <w:u w:val="single"/>
    </w:rPr>
  </w:style>
  <w:style w:type="character" w:customStyle="1" w:styleId="ATHeading3Char">
    <w:name w:val="AT Heading 3 Char"/>
    <w:link w:val="ATHeading3"/>
    <w:locked/>
    <w:rsid w:val="00C4387D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0A4E1-4D08-4789-A692-FE4B455F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Laura-Mirona</cp:lastModifiedBy>
  <cp:revision>2</cp:revision>
  <cp:lastPrinted>2004-11-19T15:42:00Z</cp:lastPrinted>
  <dcterms:created xsi:type="dcterms:W3CDTF">2025-10-27T11:36:00Z</dcterms:created>
  <dcterms:modified xsi:type="dcterms:W3CDTF">2025-10-27T11:36:00Z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