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0F51" w14:paraId="2A6AD5C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D88FC3" w14:textId="77777777" w:rsidR="00751A4A" w:rsidRPr="004F0F51" w:rsidRDefault="002A5245" w:rsidP="0010095E">
            <w:pPr>
              <w:pStyle w:val="EPName"/>
            </w:pPr>
            <w:r w:rsidRPr="004F0F51">
              <w:t>Parlament Europejski</w:t>
            </w:r>
          </w:p>
          <w:p w14:paraId="720FFCAF" w14:textId="77777777" w:rsidR="00751A4A" w:rsidRPr="004F0F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0F51">
              <w:t>2024</w:t>
            </w:r>
            <w:r w:rsidR="00817416" w:rsidRPr="004F0F51">
              <w:t>-202</w:t>
            </w:r>
            <w:r w:rsidRPr="004F0F51">
              <w:t>9</w:t>
            </w:r>
          </w:p>
        </w:tc>
        <w:tc>
          <w:tcPr>
            <w:tcW w:w="2268" w:type="dxa"/>
            <w:shd w:val="clear" w:color="auto" w:fill="auto"/>
          </w:tcPr>
          <w:p w14:paraId="6A5DC566" w14:textId="77777777" w:rsidR="00751A4A" w:rsidRPr="004F0F51" w:rsidRDefault="00187494" w:rsidP="0010095E">
            <w:pPr>
              <w:pStyle w:val="EPLogo"/>
            </w:pPr>
            <w:r w:rsidRPr="004F0F51">
              <w:rPr>
                <w:noProof/>
                <w:lang w:eastAsia="ja-JP"/>
              </w:rPr>
              <w:drawing>
                <wp:inline distT="0" distB="0" distL="0" distR="0" wp14:anchorId="121599A2" wp14:editId="61B3A5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976F68" w14:textId="77777777" w:rsidR="00D058B8" w:rsidRPr="004F0F51" w:rsidRDefault="00D058B8" w:rsidP="004C5D52">
      <w:pPr>
        <w:pStyle w:val="LineTop"/>
      </w:pPr>
    </w:p>
    <w:p w14:paraId="4F99D341" w14:textId="77777777" w:rsidR="00680577" w:rsidRPr="004F0F51" w:rsidRDefault="002A5245" w:rsidP="00680577">
      <w:pPr>
        <w:pStyle w:val="EPBodyTA1"/>
      </w:pPr>
      <w:r w:rsidRPr="004F0F51">
        <w:t>TEKSTY PRZYJĘTE</w:t>
      </w:r>
    </w:p>
    <w:p w14:paraId="5B4A42B9" w14:textId="77777777" w:rsidR="00D058B8" w:rsidRPr="004F0F51" w:rsidRDefault="00D058B8" w:rsidP="00D058B8">
      <w:pPr>
        <w:pStyle w:val="LineBottom"/>
      </w:pPr>
    </w:p>
    <w:p w14:paraId="4AEE9271" w14:textId="2EEB85C7" w:rsidR="002A5245" w:rsidRPr="004F0F51" w:rsidRDefault="002A5245" w:rsidP="002A5245">
      <w:pPr>
        <w:pStyle w:val="ATHeading1"/>
      </w:pPr>
      <w:bookmarkStart w:id="0" w:name="TANumber"/>
      <w:r w:rsidRPr="004F0F51">
        <w:t>P10_TA(2025)0</w:t>
      </w:r>
      <w:bookmarkEnd w:id="0"/>
      <w:r w:rsidR="009E448B">
        <w:t>165</w:t>
      </w:r>
    </w:p>
    <w:p w14:paraId="3D74CDB8" w14:textId="77777777" w:rsidR="002A5245" w:rsidRPr="004F0F51" w:rsidRDefault="002A5245" w:rsidP="002A5245">
      <w:pPr>
        <w:pStyle w:val="ATHeading2"/>
      </w:pPr>
      <w:bookmarkStart w:id="1" w:name="title"/>
      <w:r w:rsidRPr="004F0F51">
        <w:t>Przyszłość unijnego sektora biotechnologii i bioprodukcji: wykorzystanie badań naukowych,</w:t>
      </w:r>
    </w:p>
    <w:p w14:paraId="4504EF6C" w14:textId="77777777" w:rsidR="002A5245" w:rsidRPr="004F0F51" w:rsidRDefault="002A5245" w:rsidP="002A5245">
      <w:pPr>
        <w:pStyle w:val="ATHeading2"/>
      </w:pPr>
      <w:r w:rsidRPr="004F0F51">
        <w:t>pobudzenie innowacji i zwiększenie konkurencyjności</w:t>
      </w:r>
      <w:bookmarkEnd w:id="1"/>
    </w:p>
    <w:p w14:paraId="6961EB6E" w14:textId="77777777" w:rsidR="002A5245" w:rsidRPr="004F0F51" w:rsidRDefault="002A5245" w:rsidP="002A5245">
      <w:pPr>
        <w:rPr>
          <w:i/>
          <w:vanish/>
        </w:rPr>
      </w:pPr>
      <w:r w:rsidRPr="004F0F51">
        <w:rPr>
          <w:i/>
        </w:rPr>
        <w:fldChar w:fldCharType="begin"/>
      </w:r>
      <w:r w:rsidRPr="004F0F51">
        <w:rPr>
          <w:i/>
        </w:rPr>
        <w:instrText xml:space="preserve"> TC"(</w:instrText>
      </w:r>
      <w:bookmarkStart w:id="2" w:name="DocNumber"/>
      <w:r w:rsidRPr="004F0F51">
        <w:rPr>
          <w:i/>
        </w:rPr>
        <w:instrText>A10-0123/2025</w:instrText>
      </w:r>
      <w:bookmarkEnd w:id="2"/>
      <w:r w:rsidRPr="004F0F51">
        <w:rPr>
          <w:i/>
        </w:rPr>
        <w:instrText xml:space="preserve"> - Sprawozdawca: Hildegard Bentele)"\l3 \n&gt; \* MERGEFORMAT </w:instrText>
      </w:r>
      <w:r w:rsidRPr="004F0F51">
        <w:rPr>
          <w:i/>
        </w:rPr>
        <w:fldChar w:fldCharType="end"/>
      </w:r>
    </w:p>
    <w:p w14:paraId="6C91DC0F" w14:textId="77777777" w:rsidR="002A5245" w:rsidRPr="004F0F51" w:rsidRDefault="002A5245" w:rsidP="002A5245">
      <w:pPr>
        <w:rPr>
          <w:vanish/>
        </w:rPr>
      </w:pPr>
      <w:bookmarkStart w:id="3" w:name="Commission"/>
      <w:r w:rsidRPr="004F0F51">
        <w:rPr>
          <w:vanish/>
        </w:rPr>
        <w:t>Komisja Przemysłu, Badań Naukowych i Energii</w:t>
      </w:r>
      <w:bookmarkEnd w:id="3"/>
    </w:p>
    <w:p w14:paraId="32B42A61" w14:textId="77777777" w:rsidR="002A5245" w:rsidRPr="004F0F51" w:rsidRDefault="002A5245" w:rsidP="002A5245">
      <w:pPr>
        <w:rPr>
          <w:vanish/>
        </w:rPr>
      </w:pPr>
      <w:bookmarkStart w:id="4" w:name="PE"/>
      <w:r w:rsidRPr="004F0F51">
        <w:rPr>
          <w:vanish/>
        </w:rPr>
        <w:t>PE768.143</w:t>
      </w:r>
      <w:bookmarkEnd w:id="4"/>
    </w:p>
    <w:p w14:paraId="44CA99B0" w14:textId="662B1D70" w:rsidR="002A5245" w:rsidRPr="004F0F51" w:rsidRDefault="002A5245" w:rsidP="002A5245">
      <w:pPr>
        <w:pStyle w:val="ATHeading3"/>
      </w:pPr>
      <w:bookmarkStart w:id="5" w:name="Sujet"/>
      <w:r w:rsidRPr="004F0F51">
        <w:t xml:space="preserve">Rezolucja Parlamentu Europejskiego z dnia </w:t>
      </w:r>
      <w:r w:rsidR="00DB4E9F">
        <w:t>10 lipca</w:t>
      </w:r>
      <w:r w:rsidRPr="004F0F51">
        <w:t xml:space="preserve"> 2025 r. w sprawie przyszłości unijnego sektora biotechnologii i bioprodukcji: wykorzystanie badań naukowych, pobudzenie innowacji i zwiększenie konkurencyjności</w:t>
      </w:r>
      <w:bookmarkEnd w:id="5"/>
      <w:r w:rsidRPr="004F0F51">
        <w:t xml:space="preserve"> </w:t>
      </w:r>
      <w:bookmarkStart w:id="6" w:name="References"/>
      <w:r w:rsidRPr="004F0F51">
        <w:t>(2025/2008(INI))</w:t>
      </w:r>
      <w:bookmarkEnd w:id="6"/>
    </w:p>
    <w:p w14:paraId="47FE5A2B" w14:textId="77777777" w:rsidR="0038789F" w:rsidRPr="004F0F51" w:rsidRDefault="0038789F" w:rsidP="0038789F">
      <w:pPr>
        <w:pStyle w:val="EPComma"/>
      </w:pPr>
      <w:r w:rsidRPr="004F0F51">
        <w:rPr>
          <w:rStyle w:val="Italic"/>
        </w:rPr>
        <w:t>Parlament Europejski</w:t>
      </w:r>
      <w:r w:rsidRPr="004F0F51">
        <w:t>,</w:t>
      </w:r>
    </w:p>
    <w:p w14:paraId="03D5FBAA" w14:textId="77777777" w:rsidR="0038789F" w:rsidRPr="004F0F51" w:rsidRDefault="0038789F" w:rsidP="0038789F">
      <w:pPr>
        <w:pStyle w:val="NormalHanging12a"/>
      </w:pPr>
      <w:r w:rsidRPr="004F0F51">
        <w:t>–</w:t>
      </w:r>
      <w:r w:rsidRPr="004F0F51">
        <w:tab/>
        <w:t>uwzględniając Traktat o funkcjonowaniu Unii Europejskiej (TFUE), w szczególności jego art. 9, 151, 152, art. 153 ust. 1 i 2, a także jego art. 173 i 179, które dotyczą polityki przemysłowej i badań w UE i odnoszą się m.in. do konkurencyjności przemysłu Unii oraz wzmocnienia bazy naukowej i technologicznej Unii,</w:t>
      </w:r>
    </w:p>
    <w:p w14:paraId="43246CA5" w14:textId="77777777" w:rsidR="0038789F" w:rsidRPr="004F0F51" w:rsidRDefault="0038789F" w:rsidP="0038789F">
      <w:pPr>
        <w:pStyle w:val="NormalHanging12a"/>
      </w:pPr>
      <w:r w:rsidRPr="004F0F51">
        <w:t>–</w:t>
      </w:r>
      <w:r w:rsidRPr="004F0F51">
        <w:tab/>
        <w:t>uwzględniając Traktat o Unii Europejskiej, w szczególności jego art. 5 ust. 3 i Protokół nr 2 w sprawie stosowania zasad pomocniczości i proporcjonalności,</w:t>
      </w:r>
    </w:p>
    <w:p w14:paraId="6768BF25" w14:textId="77777777" w:rsidR="0038789F" w:rsidRPr="004F0F51" w:rsidRDefault="0038789F" w:rsidP="0038789F">
      <w:pPr>
        <w:pStyle w:val="NormalHanging12a"/>
      </w:pPr>
      <w:r w:rsidRPr="004F0F51">
        <w:t>–</w:t>
      </w:r>
      <w:r w:rsidRPr="004F0F51">
        <w:tab/>
        <w:t>uwzględniając komunikat Komisji z dnia 20 marca 2024 r. pt. „Budowanie przyszłości w zgodzie z naturą: pobudzanie rozwoju biotechnologii i bioprodukcji w UE” (</w:t>
      </w:r>
      <w:hyperlink r:id="rId9" w:history="1">
        <w:r w:rsidRPr="004F0F51">
          <w:rPr>
            <w:rStyle w:val="Hyperlink"/>
          </w:rPr>
          <w:t>COM(2024)0137</w:t>
        </w:r>
      </w:hyperlink>
      <w:r w:rsidRPr="004F0F51">
        <w:t>),</w:t>
      </w:r>
    </w:p>
    <w:p w14:paraId="3879DA0A" w14:textId="77777777" w:rsidR="0038789F" w:rsidRPr="004F0F51" w:rsidRDefault="0038789F" w:rsidP="0038789F">
      <w:pPr>
        <w:pStyle w:val="NormalHanging12a"/>
      </w:pPr>
      <w:r w:rsidRPr="004F0F51">
        <w:t>–</w:t>
      </w:r>
      <w:r w:rsidRPr="004F0F51">
        <w:tab/>
        <w:t xml:space="preserve">uwzględniając sprawozdanie Maria </w:t>
      </w:r>
      <w:proofErr w:type="spellStart"/>
      <w:r w:rsidRPr="004F0F51">
        <w:t>Draghiego</w:t>
      </w:r>
      <w:proofErr w:type="spellEnd"/>
      <w:r w:rsidRPr="004F0F51">
        <w:t xml:space="preserve"> z dnia 9 września 2024 r. na temat przyszłości europejskiej konkurencyjności,</w:t>
      </w:r>
    </w:p>
    <w:p w14:paraId="35AE852E" w14:textId="77777777" w:rsidR="0038789F" w:rsidRPr="004F0F51" w:rsidRDefault="0038789F" w:rsidP="0038789F">
      <w:pPr>
        <w:pStyle w:val="NormalHanging12a"/>
      </w:pPr>
      <w:r w:rsidRPr="004F0F51">
        <w:t>–</w:t>
      </w:r>
      <w:r w:rsidRPr="004F0F51">
        <w:tab/>
        <w:t>uwzględniając komunikat Komisji z dnia 29 stycznia 2025 r. pt. „Kompas konkurencyjności dla UE” (</w:t>
      </w:r>
      <w:hyperlink r:id="rId10" w:history="1">
        <w:r w:rsidRPr="004F0F51">
          <w:rPr>
            <w:rStyle w:val="Hyperlink"/>
          </w:rPr>
          <w:t>COM(2025)0030</w:t>
        </w:r>
      </w:hyperlink>
      <w:r w:rsidRPr="004F0F51">
        <w:t>),</w:t>
      </w:r>
    </w:p>
    <w:p w14:paraId="0337FD7F" w14:textId="77777777" w:rsidR="0038789F" w:rsidRPr="004F0F51" w:rsidRDefault="0038789F" w:rsidP="0038789F">
      <w:pPr>
        <w:pStyle w:val="NormalHanging12a"/>
      </w:pPr>
      <w:r w:rsidRPr="004F0F51">
        <w:t>–</w:t>
      </w:r>
      <w:r w:rsidRPr="004F0F51">
        <w:tab/>
        <w:t>uwzględniając komunikat Komisji z dnia 26 lutego 2025 r. pt. „Pakt dla czystego przemysłu: wspólny plan działania na rzecz konkurencyjności i dekarbonizacji” (</w:t>
      </w:r>
      <w:hyperlink r:id="rId11" w:history="1">
        <w:r w:rsidRPr="004F0F51">
          <w:rPr>
            <w:rStyle w:val="Hyperlink"/>
          </w:rPr>
          <w:t>COM(2025)0085</w:t>
        </w:r>
      </w:hyperlink>
      <w:r w:rsidRPr="004F0F51">
        <w:t>),</w:t>
      </w:r>
    </w:p>
    <w:p w14:paraId="1604A511" w14:textId="77777777" w:rsidR="0038789F" w:rsidRPr="004F0F51" w:rsidRDefault="0038789F" w:rsidP="0038789F">
      <w:pPr>
        <w:pStyle w:val="NormalHanging12a"/>
      </w:pPr>
      <w:r w:rsidRPr="004F0F51">
        <w:t>–</w:t>
      </w:r>
      <w:r w:rsidRPr="004F0F51">
        <w:tab/>
        <w:t>uwzględniając komunikat Komisji z dnia 11 grudnia 2019 r. pt. „Europejski Zielony Ład” (COM(2019)0640),</w:t>
      </w:r>
    </w:p>
    <w:p w14:paraId="4B3D2BEF" w14:textId="77777777" w:rsidR="0038789F" w:rsidRPr="004F0F51" w:rsidRDefault="0038789F" w:rsidP="0038789F">
      <w:pPr>
        <w:pStyle w:val="NormalHanging12a"/>
      </w:pPr>
      <w:r w:rsidRPr="004F0F51">
        <w:lastRenderedPageBreak/>
        <w:t>–</w:t>
      </w:r>
      <w:r w:rsidRPr="004F0F51">
        <w:tab/>
        <w:t xml:space="preserve">uwzględniając sprawozdanie Enrica </w:t>
      </w:r>
      <w:proofErr w:type="spellStart"/>
      <w:r w:rsidRPr="004F0F51">
        <w:t>Letty</w:t>
      </w:r>
      <w:proofErr w:type="spellEnd"/>
      <w:r w:rsidRPr="004F0F51">
        <w:t xml:space="preserve"> z dnia 10 kwietnia 2024 r. pt. „Much </w:t>
      </w:r>
      <w:proofErr w:type="spellStart"/>
      <w:r w:rsidRPr="004F0F51">
        <w:t>more</w:t>
      </w:r>
      <w:proofErr w:type="spellEnd"/>
      <w:r w:rsidRPr="004F0F51">
        <w:t xml:space="preserve"> </w:t>
      </w:r>
      <w:proofErr w:type="spellStart"/>
      <w:r w:rsidRPr="004F0F51">
        <w:t>than</w:t>
      </w:r>
      <w:proofErr w:type="spellEnd"/>
      <w:r w:rsidRPr="004F0F51">
        <w:t xml:space="preserve"> a market” [Znacznie więcej niż rynek],</w:t>
      </w:r>
    </w:p>
    <w:p w14:paraId="04CB477F" w14:textId="77777777" w:rsidR="0038789F" w:rsidRPr="004F0F51" w:rsidRDefault="0038789F" w:rsidP="0038789F">
      <w:pPr>
        <w:pStyle w:val="NormalHanging12a"/>
      </w:pPr>
      <w:r w:rsidRPr="004F0F51">
        <w:t>–</w:t>
      </w:r>
      <w:r w:rsidRPr="004F0F51">
        <w:tab/>
        <w:t>uwzględniając komunikat Komisji z dnia 19 lutego 2025 r. pt. „Wizja dla rolnictwa i żywności – Wspólne kształtowanie unijnego sektora rolnego i spożywczego, atrakcyjnego dla przyszłych pokoleń” (COM(2025)0075),</w:t>
      </w:r>
    </w:p>
    <w:p w14:paraId="0582742F" w14:textId="77777777" w:rsidR="0038789F" w:rsidRPr="004F0F51" w:rsidRDefault="0038789F" w:rsidP="0038789F">
      <w:pPr>
        <w:pStyle w:val="NormalHanging12a"/>
      </w:pPr>
      <w:r w:rsidRPr="004F0F51">
        <w:t>–</w:t>
      </w:r>
      <w:r w:rsidRPr="004F0F51">
        <w:tab/>
        <w:t>uwzględniając art. 55 i art. 148 ust. 2 Regulaminu,</w:t>
      </w:r>
    </w:p>
    <w:p w14:paraId="78AFE685" w14:textId="77777777" w:rsidR="0038789F" w:rsidRPr="004F0F51" w:rsidRDefault="0038789F" w:rsidP="0038789F">
      <w:pPr>
        <w:pStyle w:val="NormalHanging12a"/>
      </w:pPr>
      <w:r w:rsidRPr="004F0F51">
        <w:t>–</w:t>
      </w:r>
      <w:r w:rsidRPr="004F0F51">
        <w:tab/>
        <w:t>uwzględniając sprawozdanie Komisji Przemysłu, Badań Naukowych i Energii (A10-0123/2025),</w:t>
      </w:r>
    </w:p>
    <w:p w14:paraId="0F2B660B" w14:textId="77777777" w:rsidR="0038789F" w:rsidRPr="004F0F51" w:rsidRDefault="0038789F" w:rsidP="0038789F">
      <w:pPr>
        <w:pStyle w:val="NormalHanging12a"/>
        <w:ind w:left="720" w:hanging="720"/>
      </w:pPr>
      <w:r w:rsidRPr="004F0F51">
        <w:t>A.</w:t>
      </w:r>
      <w:r w:rsidRPr="004F0F51">
        <w:tab/>
        <w:t xml:space="preserve">mając na uwadze, że unijny sektor biotechnologii i bioprodukcji jest uznawany za jeden z 10 sektorów technologii mających strategiczne znaczenie dla konkurencyjności, bezpieczeństwa gospodarczego i zrównoważonego rozwoju Europy; mając na uwadze, że sektor ten charakteryzuje się bardzo wysoką wydajnością, wzrostem i zatrudnieniem i zapewnia globalnie konkurencyjne, najnowocześniejsze rozwiązania w dziedzinie opieki zdrowotnej, nauk przyrodniczych, produkcji i transformacji przemysłowej, zrównoważonej bioprodukcji, energii i bezpieczeństwa żywnościowego; mając na uwadze, że biotechnologia i bioprodukcja stanowią ważne czynniki umożliwiające rozwój </w:t>
      </w:r>
      <w:proofErr w:type="spellStart"/>
      <w:r w:rsidRPr="004F0F51">
        <w:t>biogospodarki</w:t>
      </w:r>
      <w:proofErr w:type="spellEnd"/>
      <w:r w:rsidRPr="004F0F51">
        <w:t xml:space="preserve"> w ogóle; mając na uwadze, że biotechnologia i bioprodukcja mogą pomóc w zwiększeniu strategicznej autonomii, odporności i gospodarki o obiegu zamkniętym UE poprzez zmniejszenie zależności przemysłu od surowców kopalnych i innych zależności zewnętrznych w różnych sektorach; mając na uwadze, że sektor biotechnologii i bioprodukcji nadal napotyka przeszkody regulacyjne i finansowe, ponadto jego rozwój utrudnia niedokończony rynek wewnętrzny; mając na uwadze, że Komisja ma przedstawić europejski akt w sprawie biotechnologii, zaktualizowaną unijną strategię dotyczącą </w:t>
      </w:r>
      <w:proofErr w:type="spellStart"/>
      <w:r w:rsidRPr="004F0F51">
        <w:t>biogospodarki</w:t>
      </w:r>
      <w:proofErr w:type="spellEnd"/>
      <w:r w:rsidRPr="004F0F51">
        <w:t>, unijną strategię na rzecz nauk biologicznych, europejski plan na rzecz innowacji oraz unijny akt w sprawie gospodarki o obiegu zamkniętym;</w:t>
      </w:r>
    </w:p>
    <w:p w14:paraId="0EF672DD" w14:textId="77777777" w:rsidR="0038789F" w:rsidRPr="004F0F51" w:rsidRDefault="0038789F" w:rsidP="0038789F">
      <w:pPr>
        <w:pStyle w:val="NormalHanging12a"/>
        <w:ind w:left="720" w:hanging="720"/>
      </w:pPr>
      <w:r w:rsidRPr="004F0F51">
        <w:t>B.</w:t>
      </w:r>
      <w:r w:rsidRPr="004F0F51">
        <w:tab/>
        <w:t>mając na uwadze, że według Organizacji Współpracy Gospodarczej i Rozwoju (OECD) biotechnologia jest definiowana jako zastosowanie nauki i technologii do organizmów żywych, jak również ich części, produktów i modeli w celu zmiany materii żywej lub nieożywionej, aby tworzyć wiedzę, dobra i usługi; mając na uwadze, że bioprodukcja nie jest jasno zdefiniowana i dlatego Komisja powinna zaproponować taką definicję; mając na uwadze, że definicja bioprodukcji powinna wytrzymywać próbę czasu, być otwarta na rozwój naukowy i technologiczny oraz neutralna pod względem technologicznym, tak aby szeroko obejmować zastosowanie biotechnologii lub innych technologii do produkcji produktów i rozwiązań opartych na materiałach pochodzenia biologicznego, włączając w to m.in. procesy chemiczne, mechaniczne lub termiczne;</w:t>
      </w:r>
    </w:p>
    <w:p w14:paraId="1FA14AF9" w14:textId="77777777" w:rsidR="0038789F" w:rsidRPr="004F0F51" w:rsidRDefault="0038789F" w:rsidP="0038789F">
      <w:pPr>
        <w:pStyle w:val="NormalHanging12a"/>
        <w:ind w:left="720" w:hanging="720"/>
      </w:pPr>
      <w:r w:rsidRPr="004F0F51">
        <w:t>C.</w:t>
      </w:r>
      <w:r w:rsidRPr="004F0F51">
        <w:tab/>
        <w:t>mając na uwadze, że branże biotechnologii i bioprodukcji odgrywają wiodącą rolę w opracowywaniu i wdrażaniu przełomowych innowacji w opiece zdrowotnej, takich jak szczepionki oparte na mRNA; mając na uwadze, że procesy biotechnologiczne mogą być wykorzystywane do wytwarzania aktywnych składników farmaceutycznych i kluczowych surowców do produkcji leków;</w:t>
      </w:r>
    </w:p>
    <w:p w14:paraId="09C5FF43" w14:textId="77777777" w:rsidR="0038789F" w:rsidRPr="004F0F51" w:rsidRDefault="0038789F" w:rsidP="0038789F">
      <w:pPr>
        <w:pStyle w:val="NormalHanging12a"/>
        <w:ind w:left="720" w:hanging="720"/>
      </w:pPr>
      <w:r w:rsidRPr="004F0F51">
        <w:lastRenderedPageBreak/>
        <w:t>D.</w:t>
      </w:r>
      <w:r w:rsidRPr="004F0F51">
        <w:tab/>
        <w:t>mając na uwadze, że pandemia COVID-19 uwypukliła znaczenie posiadania solidnych łańcuchów wartości surowców i zdolności produkcyjnych w Europie, aby zapewnić bezpieczeństwo dostaw kluczowych produktów i złagodzić niedobory, na przykład podstawowych leków;</w:t>
      </w:r>
    </w:p>
    <w:p w14:paraId="0BDE67CA" w14:textId="77777777" w:rsidR="0038789F" w:rsidRPr="004F0F51" w:rsidRDefault="0038789F" w:rsidP="0038789F">
      <w:pPr>
        <w:pStyle w:val="NormalHanging12a"/>
        <w:ind w:left="720" w:hanging="720"/>
      </w:pPr>
      <w:r w:rsidRPr="004F0F51">
        <w:t>E.</w:t>
      </w:r>
      <w:r w:rsidRPr="004F0F51">
        <w:tab/>
        <w:t>mając na uwadze, że sztuczna inteligencja (AI) może przyczynić się do rozwoju innowacji w dziedzinie biotechnologii – np. w medycynie spersonalizowanej i odkrywaniu leków – przynosząc korzyści zdrowotne i środowiskowe; mając na uwadze, że wykorzystanie AI w biotechnologii może również stwarzać wyzwania i zagrożenia etyczne związane z ochroną danych prywatnych, którym należy zaradzić w celu utrzymania zaufania i akceptacji społecznej;</w:t>
      </w:r>
    </w:p>
    <w:p w14:paraId="6E405791" w14:textId="77777777" w:rsidR="0038789F" w:rsidRPr="004F0F51" w:rsidRDefault="0038789F" w:rsidP="0038789F">
      <w:pPr>
        <w:pStyle w:val="NormalHanging12a"/>
        <w:ind w:left="720" w:hanging="720"/>
      </w:pPr>
      <w:r w:rsidRPr="004F0F51">
        <w:t>F.</w:t>
      </w:r>
      <w:r w:rsidRPr="004F0F51">
        <w:tab/>
        <w:t>mając na uwadze, że biotechnologia ma zastosowanie w różnych aspektach rolnictwa opartego na hodowli zwierząt i uprawie roślin, a także pośrednio poprzez wykorzystanie w takich działaniach jak gospodarka odpadami;</w:t>
      </w:r>
    </w:p>
    <w:p w14:paraId="356C55CE" w14:textId="77777777" w:rsidR="0038789F" w:rsidRPr="004F0F51" w:rsidRDefault="0038789F" w:rsidP="0038789F">
      <w:pPr>
        <w:pStyle w:val="NormalHanging12a"/>
        <w:ind w:left="720" w:hanging="720"/>
      </w:pPr>
      <w:r w:rsidRPr="004F0F51">
        <w:t>G.</w:t>
      </w:r>
      <w:r w:rsidRPr="004F0F51">
        <w:tab/>
        <w:t>mając na uwadze, że biotechnologia może poprawić odporność lasów, a w przypadku bioprodukcji sektor leśny może oferować produkowane w sposób zrównoważony, odnawialne i nadające się do recyklingu surowce, które można wykorzystać w innowacyjnych produktach, materiałach i zastosowaniach o wysokiej wartości;</w:t>
      </w:r>
    </w:p>
    <w:p w14:paraId="18248AB1" w14:textId="77777777" w:rsidR="0038789F" w:rsidRPr="004F0F51" w:rsidRDefault="0038789F" w:rsidP="0038789F">
      <w:pPr>
        <w:pStyle w:val="NormalHanging12a"/>
        <w:ind w:left="720" w:hanging="720"/>
      </w:pPr>
      <w:r w:rsidRPr="004F0F51">
        <w:t>H.</w:t>
      </w:r>
      <w:r w:rsidRPr="004F0F51">
        <w:tab/>
        <w:t xml:space="preserve">mając na uwadze, że UE jest światowym liderem w dziedzinie badań naukowych i bioprodukcji, jednak jej potencjał pozostaje niewykorzystany z powodu braku odpowiednio skoordynowanych ram politycznych, które umożliwiłyby skuteczne zwiększenie skali innowacji, przyciągnięcie inwestycji i komercjalizację nowych technologii; mając na uwadze, że zasada „jedno więcej – jedno mniej” gwarantuje, iż bierze się pod uwagę wszystkie obciążenia wprowadzone inicjatywami Komisji, a obciążenia administracyjne rekompensuje się przez usuwanie innych obciążeń o równoważnej wartości w tym samym obszarze polityki na szczeblu UE lub państw członkowskich; mając na uwadze, że Parlament wezwał do podwojenia budżetu UE na badania naukowe; mając na uwadze, że unijne prywatne inwestycje w badania, rozwój i innowacje pozostają w tyle za innymi dużymi gospodarkami; mając na uwadze, że propagowanie inwestycji w pionierskie zakłady demonstracyjne i produkcyjne może przyspieszyć komercjalizację unijnych innowacji w </w:t>
      </w:r>
      <w:proofErr w:type="spellStart"/>
      <w:r w:rsidRPr="004F0F51">
        <w:t>bioprzemyśle</w:t>
      </w:r>
      <w:proofErr w:type="spellEnd"/>
      <w:r w:rsidRPr="004F0F51">
        <w:t>;</w:t>
      </w:r>
    </w:p>
    <w:p w14:paraId="4CE96D62" w14:textId="77777777" w:rsidR="0038789F" w:rsidRPr="004F0F51" w:rsidRDefault="0038789F" w:rsidP="0038789F">
      <w:pPr>
        <w:pStyle w:val="NormalHanging12a"/>
        <w:ind w:left="720" w:hanging="720"/>
      </w:pPr>
      <w:r w:rsidRPr="004F0F51">
        <w:t>I.</w:t>
      </w:r>
      <w:r w:rsidRPr="004F0F51">
        <w:tab/>
        <w:t>mając na uwadze, że w ciągu najbliższych kilku lat należy podjąć pilne, spójne i konsekwentne działania, aby uczynić z UE światowego lidera w dziedzinie biotechnologii, bioprodukcji i nauk biologicznych, wprowadzając odważne zmiany zgodnie z odpowiednią procedurą i przy wsparciu kontroli konkurencyjności i odpowiedniego finansowania;</w:t>
      </w:r>
    </w:p>
    <w:p w14:paraId="32163493" w14:textId="77777777" w:rsidR="0038789F" w:rsidRPr="004F0F51" w:rsidRDefault="0038789F" w:rsidP="0038789F">
      <w:pPr>
        <w:pStyle w:val="NormalHanging12a"/>
        <w:ind w:left="720" w:hanging="720"/>
      </w:pPr>
      <w:r w:rsidRPr="004F0F51">
        <w:t>J.</w:t>
      </w:r>
      <w:r w:rsidRPr="004F0F51">
        <w:tab/>
        <w:t>podczas gdy długie i złożone procedury wydawania zezwoleń, w szczególności dotyczące terminów zatwierdzania, stwarzają niekorzystną sytuację pod względem konkurencyjności dla podmiotów z UE i skłaniają wykonawców projektów do opuszczania UE, a także utrudniają rozwój i ekspansję przemysłową;</w:t>
      </w:r>
    </w:p>
    <w:p w14:paraId="18EBBB6E" w14:textId="77777777" w:rsidR="0038789F" w:rsidRPr="004F0F51" w:rsidRDefault="0038789F" w:rsidP="0038789F">
      <w:pPr>
        <w:pStyle w:val="NormalHanging12a"/>
        <w:ind w:left="720" w:hanging="720"/>
      </w:pPr>
      <w:r w:rsidRPr="004F0F51">
        <w:t>K.</w:t>
      </w:r>
      <w:r w:rsidRPr="004F0F51">
        <w:tab/>
        <w:t xml:space="preserve">mając na uwadze, że obecne ramy regulacyjne UE nie uwzględniają w sposób precyzyjny specyfiki </w:t>
      </w:r>
      <w:proofErr w:type="spellStart"/>
      <w:r w:rsidRPr="004F0F51">
        <w:t>bioproduktów</w:t>
      </w:r>
      <w:proofErr w:type="spellEnd"/>
      <w:r w:rsidRPr="004F0F51">
        <w:t xml:space="preserve">; mając na uwadze, że należy pilnie zająć się istniejącymi regulacyjnymi procesami wydawania zezwoleń na produkty biotechnologiczne, aby zapewnić UE konkurencyjność w skali światowej; mając na uwadze, że skuteczne ramy regulacyjne dotyczące prowadzenia badań klinicznych </w:t>
      </w:r>
      <w:r w:rsidRPr="004F0F51">
        <w:lastRenderedPageBreak/>
        <w:t>mają zasadnicze znaczenie dla konkurencyjności najbardziej innowacyjnych aspektów unijnych sektorów farmaceutycznego i biotechnologicznego; mając na uwadze, że Komisja powinna uwzględnić ramy regulacyjne państw trzecich, które są liderami w sektorze biotechnologii i bioprodukcji, w kontekście istniejących i przyszłych przepisów UE dotyczących tego przemysłu, aby zapewnić zgodność bez obniżania istniejących norm UE w zakresie bezpieczeństwa i ochrony środowiska;</w:t>
      </w:r>
    </w:p>
    <w:p w14:paraId="26821E24" w14:textId="77777777" w:rsidR="0038789F" w:rsidRPr="004F0F51" w:rsidRDefault="0038789F" w:rsidP="0038789F">
      <w:pPr>
        <w:pStyle w:val="NormalHanging12a"/>
        <w:ind w:left="720" w:hanging="720"/>
      </w:pPr>
      <w:r w:rsidRPr="004F0F51">
        <w:t>L.</w:t>
      </w:r>
      <w:r w:rsidRPr="004F0F51">
        <w:tab/>
        <w:t>mając na uwadze, że unijne inwestycje w biotechnologię i bioprodukcję oraz ekosystem kapitału wysokiego ryzyka pozostają rozdrobnione; mając na uwadze, że wysokie ceny energii, obciążenia regulacyjne, bariery i brak dostępnych kluczowych surowców, materiałów i komponentów ograniczają zdolność przedsiębiorstw typu start-</w:t>
      </w:r>
      <w:proofErr w:type="spellStart"/>
      <w:r w:rsidRPr="004F0F51">
        <w:t>up</w:t>
      </w:r>
      <w:proofErr w:type="spellEnd"/>
      <w:r w:rsidRPr="004F0F51">
        <w:t xml:space="preserve"> oraz innych małych i średnich przedsiębiorstw (MŚP) do zwiększania skali, a także ograniczają wdrażanie na dużą skalę; mając na uwadze, że zdolność </w:t>
      </w:r>
      <w:proofErr w:type="spellStart"/>
      <w:r w:rsidRPr="004F0F51">
        <w:t>bioprodukcyjna</w:t>
      </w:r>
      <w:proofErr w:type="spellEnd"/>
      <w:r w:rsidRPr="004F0F51">
        <w:t xml:space="preserve"> i odporność łańcuchów dostaw UE, w tym dostępność surowców, mają zasadnicze znaczenie dla zmniejszenia zależności od podmiotów spoza UE; mając na uwadze, że skuteczne globalne łańcuchy dostaw – w tym partnerstwa strategiczne z wiarygodnymi podmiotami globalnymi – są również ważne dla zapewnienia stabilnego dostępu do kluczowych zasobów, uniknięcia zakłóceń w dostawach i wspierania ciągłych innowacji w zakresie podstawowych technologii;</w:t>
      </w:r>
    </w:p>
    <w:p w14:paraId="68CB00E0" w14:textId="77777777" w:rsidR="0038789F" w:rsidRPr="004F0F51" w:rsidRDefault="0038789F" w:rsidP="0038789F">
      <w:pPr>
        <w:pStyle w:val="NormalHanging12a"/>
        <w:ind w:left="720" w:hanging="720"/>
      </w:pPr>
      <w:r w:rsidRPr="004F0F51">
        <w:t>M.</w:t>
      </w:r>
      <w:r w:rsidRPr="004F0F51">
        <w:tab/>
        <w:t>mając na uwadze, że surowce pochodzenia biologicznego, takie jak biomasa pozyskiwana w sposób zrównoważony, odpady poddane recyklingowi i CO</w:t>
      </w:r>
      <w:r w:rsidRPr="004F0F51">
        <w:rPr>
          <w:vertAlign w:val="subscript"/>
        </w:rPr>
        <w:t>2</w:t>
      </w:r>
      <w:r w:rsidRPr="004F0F51">
        <w:t xml:space="preserve"> wychwycony ze źródeł biogenicznych, mogłyby być wykorzystywane jako alternatywne surowce do produkcji np. polimerów, tworzyw sztucznych, rozpuszczalników, farb, detergentów, kosmetyków i farmaceutyków, przyczyniając się tym samym do redukcji emisji w UE, efektywnego gospodarowania zasobami i autonomii strategicznej; mając na uwadze, że UE mogłaby w większym stopniu stymulować popyt rynkowy i absorpcję przez rynek zrównoważonych produktów i materiałów pochodzenia biologicznego;</w:t>
      </w:r>
    </w:p>
    <w:p w14:paraId="4EED7B40" w14:textId="77777777" w:rsidR="0038789F" w:rsidRPr="004F0F51" w:rsidRDefault="0038789F" w:rsidP="0038789F">
      <w:pPr>
        <w:pStyle w:val="NormalHanging12a"/>
        <w:ind w:left="720" w:hanging="720"/>
      </w:pPr>
      <w:r w:rsidRPr="004F0F51">
        <w:t>N.</w:t>
      </w:r>
      <w:r w:rsidRPr="004F0F51">
        <w:tab/>
        <w:t>mając na uwadze, że zwiększenie wykorzystania zrównoważonych surowców pochodzenia biologicznego ma zasadnicze znaczenie dla osiągnięcia celów klimatycznych UE na rok 2050; mając na uwadze, że biotechnologia może przyczynić się do przekształcenia przemysłu rafineryjnego i chemicznego w kierunku bioprodukcji, a tym samym do ograniczenia emisji gazów cieplarnianych, zgodnie z celami klimatycznymi UE;</w:t>
      </w:r>
    </w:p>
    <w:p w14:paraId="079E12FB" w14:textId="77777777" w:rsidR="0038789F" w:rsidRPr="004F0F51" w:rsidRDefault="0038789F" w:rsidP="0038789F">
      <w:pPr>
        <w:pStyle w:val="NormalHanging12a"/>
        <w:ind w:left="720" w:hanging="720"/>
      </w:pPr>
      <w:r w:rsidRPr="004F0F51">
        <w:t>O.</w:t>
      </w:r>
      <w:r w:rsidRPr="004F0F51">
        <w:tab/>
        <w:t xml:space="preserve">mając na uwadze, że biotechnologia i bioprodukcja podlegają wielu różnym ramom regulacyjnym; mając na uwadze, że obecne unijne ramy regulacyjne biotechnologii i bioprodukcji są niespójne w różnych sektorach, co powoduje niepewność prawa i spowalnia dostęp innowacyjnych rozwiązań do rynku; mając na uwadze, że należy pilnie zająć się kwestią długotrwałych procesów wydawania zezwoleń, zwłaszcza w odniesieniu do terminów zatwierdzania, i usprawnić je, zachowując podejście oparte na ryzyku i danych naukowych, aby móc konkurować z odpowiednimi terminami obowiązującymi poza UE; mając na uwadze, że należy rozszerzyć stosowanie piaskownic regulacyjnych, aby zapewnić powstającym technologiom jasną ścieżkę rozwoju; mając na uwadze, że nowe </w:t>
      </w:r>
      <w:proofErr w:type="spellStart"/>
      <w:r w:rsidRPr="004F0F51">
        <w:t>ogólnounijne</w:t>
      </w:r>
      <w:proofErr w:type="spellEnd"/>
      <w:r w:rsidRPr="004F0F51">
        <w:t xml:space="preserve"> regulacje w formie unijnego aktu w sprawie biotechnologii powinny być należycie uzasadnione przykładami konkretnych luk i niedociągnięć w obowiązujących przepisach i ich wdrażaniu, ze szczególnym uwzględnieniem specyfiki tego sektora;</w:t>
      </w:r>
    </w:p>
    <w:p w14:paraId="564ADAA9" w14:textId="77777777" w:rsidR="0038789F" w:rsidRPr="004F0F51" w:rsidRDefault="0038789F" w:rsidP="0038789F">
      <w:pPr>
        <w:pStyle w:val="NormalHanging12a"/>
        <w:ind w:left="720" w:hanging="720"/>
      </w:pPr>
      <w:r w:rsidRPr="004F0F51">
        <w:lastRenderedPageBreak/>
        <w:t>P.</w:t>
      </w:r>
      <w:r w:rsidRPr="004F0F51">
        <w:tab/>
        <w:t>mając na uwadze, że spójne, solidne i wytrzymujące próbę czasu ramy własności intelektualnej mają zasadnicze znaczenie, najlepiej przynosząc korzyści gospodarcze, środowiskowe i społeczne;</w:t>
      </w:r>
    </w:p>
    <w:p w14:paraId="10B35712" w14:textId="77777777" w:rsidR="0038789F" w:rsidRPr="004F0F51" w:rsidRDefault="0038789F" w:rsidP="0038789F">
      <w:pPr>
        <w:pStyle w:val="NormalHanging12a"/>
        <w:ind w:left="720" w:hanging="720"/>
      </w:pPr>
      <w:r w:rsidRPr="004F0F51">
        <w:t>Q.</w:t>
      </w:r>
      <w:r w:rsidRPr="004F0F51">
        <w:tab/>
        <w:t xml:space="preserve">mając na uwadze, że należy dodatkowo poszerzyć świadomość społeczeństwa UE w zakresie biotechnologii i </w:t>
      </w:r>
      <w:proofErr w:type="spellStart"/>
      <w:r w:rsidRPr="004F0F51">
        <w:t>bioproduktów</w:t>
      </w:r>
      <w:proofErr w:type="spellEnd"/>
      <w:r w:rsidRPr="004F0F51">
        <w:t>, aby zwiększyć akceptację społeczną; mając na uwadze, że należy rozważyć etyczne aspekty biotechnologii; mając na uwadze, że konsultacje z zainteresowanymi stronami odgrywają kluczową rolę w kształtowaniu odpowiedzialnej i etycznej polityki w dziedzinie biotechnologii; mając na uwadze, że społeczeństwo obywatelskie może odegrać istotną rolę w zapewnieniu zaufania publicznego;</w:t>
      </w:r>
    </w:p>
    <w:p w14:paraId="4B200091" w14:textId="77777777" w:rsidR="0038789F" w:rsidRPr="004F0F51" w:rsidRDefault="0038789F" w:rsidP="0038789F">
      <w:pPr>
        <w:pStyle w:val="NormalHanging12a"/>
        <w:ind w:left="720" w:hanging="720"/>
      </w:pPr>
      <w:r w:rsidRPr="004F0F51">
        <w:t>R.</w:t>
      </w:r>
      <w:r w:rsidRPr="004F0F51">
        <w:tab/>
        <w:t xml:space="preserve">mając na uwadze, że technologia inżynierii DNA i organizmów odbywa się w coraz większym stopniu w zautomatyzowanych </w:t>
      </w:r>
      <w:proofErr w:type="spellStart"/>
      <w:r w:rsidRPr="004F0F51">
        <w:t>biofabrykach</w:t>
      </w:r>
      <w:proofErr w:type="spellEnd"/>
      <w:r w:rsidRPr="004F0F51">
        <w:t>, które generują obszerne dane, ulepszone projekty i wiedzę na temat funkcji biologicznych;</w:t>
      </w:r>
    </w:p>
    <w:p w14:paraId="25C288E7" w14:textId="77777777" w:rsidR="0038789F" w:rsidRPr="004F0F51" w:rsidRDefault="0038789F" w:rsidP="0038789F">
      <w:pPr>
        <w:pStyle w:val="NormalHanging12a"/>
        <w:ind w:left="720" w:hanging="720"/>
      </w:pPr>
      <w:r w:rsidRPr="004F0F51">
        <w:t>S.</w:t>
      </w:r>
      <w:r w:rsidRPr="004F0F51">
        <w:tab/>
        <w:t>mając na uwadze, że ramy regulacyjne UE muszą odpowiednio uwzględniać zmieniające się zagrożenia, możliwości i obowiązki związane z posługiwaniem się materiałem biologicznym, handlem nim i jego syntezą, zwłaszcza w kontekście biologii syntetycznej; mając na uwadze, że istniejące luki w zakresie bezpieczeństwa biologicznego muszą zostać wyeliminowane przez UE i w ramach współpracy międzynarodowej;</w:t>
      </w:r>
    </w:p>
    <w:p w14:paraId="330AD1AC" w14:textId="77777777" w:rsidR="0038789F" w:rsidRPr="004F0F51" w:rsidRDefault="0038789F" w:rsidP="0038789F">
      <w:pPr>
        <w:pStyle w:val="Normal12a24b"/>
      </w:pPr>
      <w:r w:rsidRPr="004F0F51">
        <w:rPr>
          <w:rStyle w:val="BoldItalic"/>
        </w:rPr>
        <w:t>Kryteria kompleksowego unijnego aktu w sprawie biotechnologii</w:t>
      </w:r>
    </w:p>
    <w:p w14:paraId="411A7F76" w14:textId="77777777" w:rsidR="0038789F" w:rsidRPr="004F0F51" w:rsidRDefault="0038789F" w:rsidP="0038789F">
      <w:pPr>
        <w:pStyle w:val="NormalHanging12a"/>
      </w:pPr>
      <w:r w:rsidRPr="004F0F51">
        <w:t>1.</w:t>
      </w:r>
      <w:r w:rsidRPr="004F0F51">
        <w:tab/>
        <w:t>kładzie nacisk na potencjał wzrostu europejskiego sektora biotechnologii i bioprodukcji oraz potrzebę utrzymania przez UE pozycji światowego lidera w tej dziedzinie; podkreśla zaangażowanie na rzecz zasad lepszego stanowienia prawa i regulacji, uproszczenia oraz zmniejszenia obciążeń administracyjnych; podkreśla, że uproszczenie przepisów UE nie może zagrażać żadnemu z podstawowych praw obywateli, pracowników i przedsiębiorstw ani powodować niepewności regulacyjnej; jest zdania, że żadnego wniosku w sprawie uproszczenia nie należy przedstawiać w pośpiechu i bez należytego rozważenia, konsultacji i ocen skutków; w związku z tym zwraca się do Komisji, aby w przypadku przedstawienia wniosku dotyczącego nowego rozporządzenia UE w formie unijnego aktu w sprawie biotechnologii zajęła się konkretnymi lukami i niedociągnięciami w obecnym prawodawstwie i jego wdrażaniu oraz przedstawiła przepisy, które można zmienić, uprościć, usprawnić i uchylić, a które zmniejszą obciążenia biurokratyczne, koncentrując się na specyfice branży i zachowując odpowiednie normy bezpieczeństwa i ochrony; zwraca się o przyjęcie unijnego aktu w sprawie biotechnologii o kompleksowym, międzysektorowym zakresie, któremu będzie towarzyszyć ocena skutków i kosztów, kontrole konkurencyjności, a także kompleksowa ocena dokonywana przez Radę ds. Kontroli Regulacyjnej, z należytym uwzględnieniem wpływu na MŚP, przedsiębiorstwa typu start-</w:t>
      </w:r>
      <w:proofErr w:type="spellStart"/>
      <w:r w:rsidRPr="004F0F51">
        <w:t>up</w:t>
      </w:r>
      <w:proofErr w:type="spellEnd"/>
      <w:r w:rsidRPr="004F0F51">
        <w:t xml:space="preserve"> i przedsiębiorstwa </w:t>
      </w:r>
      <w:proofErr w:type="spellStart"/>
      <w:r w:rsidRPr="004F0F51">
        <w:t>scale-up</w:t>
      </w:r>
      <w:proofErr w:type="spellEnd"/>
      <w:r w:rsidRPr="004F0F51">
        <w:t xml:space="preserve">, a także interakcji z innymi odpowiednimi inicjatywami ustawodawczymi i </w:t>
      </w:r>
      <w:proofErr w:type="spellStart"/>
      <w:r w:rsidRPr="004F0F51">
        <w:t>nieustawodawczymi</w:t>
      </w:r>
      <w:proofErr w:type="spellEnd"/>
      <w:r w:rsidRPr="004F0F51">
        <w:t xml:space="preserve">, w tym wnioskami podlegającymi obecnie procedurze </w:t>
      </w:r>
      <w:proofErr w:type="spellStart"/>
      <w:r w:rsidRPr="004F0F51">
        <w:t>współprawodawczej</w:t>
      </w:r>
      <w:proofErr w:type="spellEnd"/>
      <w:r w:rsidRPr="004F0F51">
        <w:t>;</w:t>
      </w:r>
    </w:p>
    <w:p w14:paraId="3098B2C0" w14:textId="77777777" w:rsidR="0038789F" w:rsidRPr="004F0F51" w:rsidRDefault="0038789F" w:rsidP="0038789F">
      <w:pPr>
        <w:pStyle w:val="NormalHanging12a"/>
      </w:pPr>
      <w:r w:rsidRPr="004F0F51">
        <w:t>2.</w:t>
      </w:r>
      <w:r w:rsidRPr="004F0F51">
        <w:tab/>
        <w:t xml:space="preserve">przypomina, że według OECD biotechnologia jest definiowana jako zastosowanie nauki i technologii do organizmów żywych, jak również ich części, produktów i modeli w celu zmiany materii żywej lub nieożywionej, aby tworzyć wiedzę, dobra i usługi; </w:t>
      </w:r>
      <w:r w:rsidRPr="004F0F51">
        <w:lastRenderedPageBreak/>
        <w:t>zauważa jednak, że bioprodukcja nie jest jasno zdefiniowana, i wzywa Komisję do zaproponowania takiej definicji;</w:t>
      </w:r>
    </w:p>
    <w:p w14:paraId="6D0E4444" w14:textId="77777777" w:rsidR="0038789F" w:rsidRPr="004F0F51" w:rsidRDefault="0038789F" w:rsidP="0038789F">
      <w:pPr>
        <w:pStyle w:val="NormalHanging12a"/>
      </w:pPr>
      <w:r w:rsidRPr="004F0F51">
        <w:t>3.</w:t>
      </w:r>
      <w:r w:rsidRPr="004F0F51">
        <w:tab/>
        <w:t xml:space="preserve">zaleca usprawnienie i harmonizację istniejących i przyszłych inicjatyw dotyczących biotechnologii i bioprodukcji w celu wzmocnienia przemysłu biotechnologicznego i </w:t>
      </w:r>
      <w:proofErr w:type="spellStart"/>
      <w:r w:rsidRPr="004F0F51">
        <w:t>bioprodukcyjnego</w:t>
      </w:r>
      <w:proofErr w:type="spellEnd"/>
      <w:r w:rsidRPr="004F0F51">
        <w:t xml:space="preserve"> poprzez jasny podział kompetencji w zakresie przemysłu oraz badań naukowych i rozwoju;</w:t>
      </w:r>
    </w:p>
    <w:p w14:paraId="575DE0B5" w14:textId="77777777" w:rsidR="0038789F" w:rsidRPr="004F0F51" w:rsidRDefault="0038789F" w:rsidP="0038789F">
      <w:pPr>
        <w:pStyle w:val="NormalHanging12a"/>
      </w:pPr>
      <w:r w:rsidRPr="004F0F51">
        <w:t>4.</w:t>
      </w:r>
      <w:r w:rsidRPr="004F0F51">
        <w:tab/>
        <w:t>wzywa Komisję do zapewnienia spójności i konsekwencji we wszystkich inicjatywach i środkach ustawodawczych, które mogą mieć wpływ na innowacje i przedsiębiorstwa w dziedzinie biotechnologii i bioprodukcji, zwłaszcza przedsiębiorstwa typu start-</w:t>
      </w:r>
      <w:proofErr w:type="spellStart"/>
      <w:r w:rsidRPr="004F0F51">
        <w:t>up</w:t>
      </w:r>
      <w:proofErr w:type="spellEnd"/>
      <w:r w:rsidRPr="004F0F51">
        <w:t xml:space="preserve"> i przedsiębiorstwa </w:t>
      </w:r>
      <w:proofErr w:type="spellStart"/>
      <w:r w:rsidRPr="004F0F51">
        <w:t>scale-up</w:t>
      </w:r>
      <w:proofErr w:type="spellEnd"/>
      <w:r w:rsidRPr="004F0F51">
        <w:t>;</w:t>
      </w:r>
    </w:p>
    <w:p w14:paraId="47827145" w14:textId="77777777" w:rsidR="0038789F" w:rsidRPr="004F0F51" w:rsidRDefault="0038789F" w:rsidP="0038789F">
      <w:pPr>
        <w:pStyle w:val="NormalHanging12a"/>
      </w:pPr>
      <w:r w:rsidRPr="004F0F51">
        <w:t>5.</w:t>
      </w:r>
      <w:r w:rsidRPr="004F0F51">
        <w:tab/>
        <w:t>wzywa Komisję do zapewnienia, aby wszelkie przyszłe odpowiednie inicjatywy ustawodawcze miały wystarczająco szeroki zakres, aby objąć całą branżę biotechnologii i bioprodukcji oraz pełen zakres jej zastosowań; zaleca ułatwienie szybkiego i skutecznego wdrażania biotechnologii i bioprodukcji poprzez jasne ramy regulacyjne;</w:t>
      </w:r>
    </w:p>
    <w:p w14:paraId="72404505" w14:textId="77777777" w:rsidR="0038789F" w:rsidRPr="004F0F51" w:rsidRDefault="0038789F" w:rsidP="0038789F">
      <w:pPr>
        <w:pStyle w:val="NormalHanging12a"/>
      </w:pPr>
      <w:r w:rsidRPr="004F0F51">
        <w:t>6.</w:t>
      </w:r>
      <w:r w:rsidRPr="004F0F51">
        <w:tab/>
        <w:t>wzywa Komisję do wdrożenia środków w ramach swoich struktur w celu zapewnienia koordynacji, spójności i komplementarności działań wszystkich właściwych dyrekcji generalnych oraz umożliwienia skuteczniejszego zwiększania skali i komercjalizacji wyników badań naukowych, rozwoju i innowacji; podkreśla znaczenie wysiłków na rzecz poprawy spójności i koordynacji polityki na szczeblu krajowym;</w:t>
      </w:r>
    </w:p>
    <w:p w14:paraId="26A4D2AB" w14:textId="77777777" w:rsidR="0038789F" w:rsidRPr="004F0F51" w:rsidRDefault="0038789F" w:rsidP="0038789F">
      <w:pPr>
        <w:pStyle w:val="NormalHanging12a"/>
      </w:pPr>
      <w:r w:rsidRPr="004F0F51">
        <w:t>7.</w:t>
      </w:r>
      <w:r w:rsidRPr="004F0F51">
        <w:tab/>
        <w:t>wzywa Komisję do uwzględnienia ram regulacyjnych państw trzecich, które są liderami w sektorze biotechnologii i bioprodukcji, w kontekście istniejących i przyszłych przepisów UE dotyczących tej branży, aby zapewnić zgodność, w miarę możliwości i bez narażania bezpieczeństwa konsumentów, oraz równe warunki działania dla przedsiębiorstw biotechnologicznych z UE konkurujących na rynku międzynarodowym, a także do czerpania z najlepszych praktyk spoza UE bez obniżania istniejących norm UE;</w:t>
      </w:r>
    </w:p>
    <w:p w14:paraId="1C32BBB8" w14:textId="77777777" w:rsidR="0038789F" w:rsidRPr="004F0F51" w:rsidRDefault="0038789F" w:rsidP="0038789F">
      <w:pPr>
        <w:pStyle w:val="NormalHanging12a"/>
      </w:pPr>
      <w:r w:rsidRPr="004F0F51">
        <w:t>8.</w:t>
      </w:r>
      <w:r w:rsidRPr="004F0F51">
        <w:tab/>
        <w:t>apeluje do Komisji, aby przedstawiła sprawozdanie z wdrażania obowiązującego prawodawstwa w dziedzinie biotechnologii i bioprodukcji oraz m.in. wskazała potencjalne luki i bariery regulacyjne utrudniające rozwój branż stosujących te technologie i procesy produkcyjne, w tym bariery dla poprawy samowystarczalności UE w zakresie kluczowych surowców, materiałów i komponentów; przypomina zasadę ostrożności określoną w art. 191 TFUE; wzywa Komisję, by przekazała Parlamentowi wstępne wyniki badania dotyczącego obciążeń regulacyjnych w tym zakresie i potencjalnej potrzeby przeglądu przepisów w dziedzinie biotechnologii i bioprodukcji; wzywa do uproszczenia obecnych wymogów dla sektora we wszystkich ramach regulacyjnych, aby umożliwić szybsze procedury zatwierdzania i dostęp do rynku, przy jednoczesnym utrzymaniu podejścia opartego na ryzyku i nauce oraz uniknięciu niepewności regulacyjnej;</w:t>
      </w:r>
    </w:p>
    <w:p w14:paraId="61585443" w14:textId="77777777" w:rsidR="0038789F" w:rsidRPr="004F0F51" w:rsidRDefault="0038789F" w:rsidP="0038789F">
      <w:pPr>
        <w:pStyle w:val="NormalHanging12a"/>
      </w:pPr>
      <w:r w:rsidRPr="004F0F51">
        <w:t>9.</w:t>
      </w:r>
      <w:r w:rsidRPr="004F0F51">
        <w:tab/>
        <w:t xml:space="preserve">z zadowoleniem przyjmuje niedawno uruchomiony ośrodek biotechnologii i bioprodukcji; zwraca się do Komisji o przedstawienie przedsiębiorstwom z sektora biotechnologii i bioprodukcji w UE oraz państwom członkowskim dalszych </w:t>
      </w:r>
      <w:r w:rsidRPr="004F0F51">
        <w:lastRenderedPageBreak/>
        <w:t>wytycznych dotyczących aktu w sprawie przemysłu neutralnego emisyjnie</w:t>
      </w:r>
      <w:r w:rsidRPr="004F0F51">
        <w:rPr>
          <w:rStyle w:val="FootnoteReference"/>
        </w:rPr>
        <w:footnoteReference w:id="1"/>
      </w:r>
      <w:r w:rsidRPr="004F0F51">
        <w:t xml:space="preserve"> i nowego Paktu dla czystego przemysłu w zakresie wydawania zezwoleń i finansowania, a także o rozważenie utworzenia ośrodków wsparcia w celu poprawy wytycznych i doradztwa dla przedsiębiorstw poruszających się w ramach regulacyjnych;</w:t>
      </w:r>
    </w:p>
    <w:p w14:paraId="14A5870D" w14:textId="77777777" w:rsidR="0038789F" w:rsidRPr="004F0F51" w:rsidRDefault="0038789F" w:rsidP="0038789F">
      <w:pPr>
        <w:pStyle w:val="NormalHanging12a"/>
      </w:pPr>
      <w:r w:rsidRPr="004F0F51">
        <w:t>10.</w:t>
      </w:r>
      <w:r w:rsidRPr="004F0F51">
        <w:tab/>
        <w:t>wzywa Komisję do pilnego usprawnienia, uproszczenia i skrócenia czasu trwania procedur wydawania zezwoleń, w szczególności terminów wydawania zezwoleń na materiały i produkty biotechnologiczne w całym cyklu ich produkcji i życia, oraz do ułatwienia absorpcji rynkowej rozwiązań opartych na biotechnologii, w tym poprzez zapewnienie wytycznych przed wydaniem zezwolenia, przy utrzymaniu podejścia opartego na ryzyku i nauce, w szczególności w kontekście regularnego przeglądu agencji UE, takich jak Europejski Urząd ds. Bezpieczeństwa Żywności, Europejska Agencja Leków i Europejska Agencja Chemikaliów; wzywa Komisję do zapewnienia odpowiednich zasobów właściwym agencjom UE w celu zwiększenia ich zdolności do terminowego przeprowadzania procedur udzielania zezwoleń;</w:t>
      </w:r>
    </w:p>
    <w:p w14:paraId="2D3AC91A" w14:textId="77777777" w:rsidR="0038789F" w:rsidRPr="004F0F51" w:rsidRDefault="0038789F" w:rsidP="0038789F">
      <w:pPr>
        <w:pStyle w:val="NormalHanging12a"/>
      </w:pPr>
      <w:r w:rsidRPr="004F0F51">
        <w:t>11.</w:t>
      </w:r>
      <w:r w:rsidRPr="004F0F51">
        <w:tab/>
        <w:t>wzywa Komisję, aby rozważyła możliwość uproszczenia procedury zatwierdzania produktów biotechnologicznych, które zostały już zatwierdzone przez zaufane organy regulacyjne w krajach o podobnych poglądach i standardach równoważnych standardom UE;</w:t>
      </w:r>
    </w:p>
    <w:p w14:paraId="4341B9F2" w14:textId="77777777" w:rsidR="0038789F" w:rsidRPr="004F0F51" w:rsidRDefault="0038789F" w:rsidP="0038789F">
      <w:pPr>
        <w:pStyle w:val="NormalHanging12a"/>
      </w:pPr>
      <w:r w:rsidRPr="004F0F51">
        <w:t>12.</w:t>
      </w:r>
      <w:r w:rsidRPr="004F0F51">
        <w:tab/>
        <w:t xml:space="preserve">wzywa Komisję, aby rozważyła uproszczenie praktyk etykietowania, takich jak stosowanie kodów </w:t>
      </w:r>
      <w:proofErr w:type="gramStart"/>
      <w:r w:rsidRPr="004F0F51">
        <w:t>QR,</w:t>
      </w:r>
      <w:proofErr w:type="gramEnd"/>
      <w:r w:rsidRPr="004F0F51">
        <w:t xml:space="preserve"> oraz zapewniła sprawiedliwe warunki rynkowe między produktami biotechnologicznymi a innymi produktami, np. w zakresie marketingu i reklamy, bez narażania bezpieczeństwa konsumentów ani dostępu do istotnych informacji dla konsumentów;</w:t>
      </w:r>
    </w:p>
    <w:p w14:paraId="4B87480A" w14:textId="77777777" w:rsidR="0038789F" w:rsidRPr="004F0F51" w:rsidRDefault="0038789F" w:rsidP="0038789F">
      <w:pPr>
        <w:pStyle w:val="NormalHanging12a"/>
      </w:pPr>
      <w:r w:rsidRPr="004F0F51">
        <w:t>13.</w:t>
      </w:r>
      <w:r w:rsidRPr="004F0F51">
        <w:tab/>
        <w:t xml:space="preserve">przypomina, że zharmonizowane, przewidywalne, wytrzymujące próbę czasu i konkurencyjne w skali międzynarodowej zasady ochrony własności intelektualnej i danych dotyczące patentów biotechnologicznych i </w:t>
      </w:r>
      <w:proofErr w:type="spellStart"/>
      <w:r w:rsidRPr="004F0F51">
        <w:t>bioprodukcyjnych</w:t>
      </w:r>
      <w:proofErr w:type="spellEnd"/>
      <w:r w:rsidRPr="004F0F51">
        <w:t xml:space="preserve"> mają zasadnicze znaczenie dla rozwoju branży, odpornych łańcuchów dostaw i zrównoważonego wzrostu gospodarczego; podkreśla znaczenie poprawy zasad ochrony własności intelektualnej poprzez wydłużenie okresu ochrony patentowej technologii w celu wzmocnienia konkurencyjności UE, wspierania innowacji i strategicznej autonomii UE, ochrony najnowocześniejszych technologii, nagradzania inwestycji długoterminowych oraz wspierania badań wysokiego ryzyka; uważa, że zasadnicze znaczenie mają spójne, solidne i wytrzymujące próbę czasu ramy dotyczące własności intelektualnej; w tym kontekście przyjmuje z zadowoleniem niedawno ustanowiony w UE jednolity system patentowy;</w:t>
      </w:r>
    </w:p>
    <w:p w14:paraId="1FE37A48" w14:textId="77777777" w:rsidR="0038789F" w:rsidRPr="004F0F51" w:rsidRDefault="0038789F" w:rsidP="0038789F">
      <w:pPr>
        <w:pStyle w:val="NormalHanging12a"/>
      </w:pPr>
      <w:r w:rsidRPr="004F0F51">
        <w:t>14.</w:t>
      </w:r>
      <w:r w:rsidRPr="004F0F51">
        <w:tab/>
        <w:t xml:space="preserve">wzywa do określenia wspólnych ram badań klinicznych z usprawnionymi procedurami zatwierdzania we wszystkich państwach członkowskich, aby zminimalizować obciążenia administracyjne i opóźnienia oraz umożliwić wykorzystywanie dowodów zebranych w warunkach rzeczywistej praktyki klinicznej w terapiach biotechnologicznych; zwraca się do Komisji o przedstawienie obecnej sytuacji w tym </w:t>
      </w:r>
      <w:r w:rsidRPr="004F0F51">
        <w:lastRenderedPageBreak/>
        <w:t>zakresie, a także potencjalnych usprawnień; wzywa do szybkiego wdrożenia rozporządzenia w sprawie badań klinicznych</w:t>
      </w:r>
      <w:r w:rsidRPr="004F0F51">
        <w:rPr>
          <w:rStyle w:val="FootnoteReference"/>
        </w:rPr>
        <w:footnoteReference w:id="2"/>
      </w:r>
      <w:r w:rsidRPr="004F0F51">
        <w:t xml:space="preserve"> oraz do wykorzystania unijnego systemu informacji o badaniach klinicznych;</w:t>
      </w:r>
    </w:p>
    <w:p w14:paraId="74D6DD0B" w14:textId="77777777" w:rsidR="0038789F" w:rsidRPr="004F0F51" w:rsidRDefault="0038789F" w:rsidP="0038789F">
      <w:pPr>
        <w:pStyle w:val="NormalHanging12a"/>
      </w:pPr>
      <w:r w:rsidRPr="004F0F51">
        <w:t>15.</w:t>
      </w:r>
      <w:r w:rsidRPr="004F0F51">
        <w:tab/>
        <w:t>podkreśla strategiczne znaczenie dla UE silnego ekosystemu biotechnologicznego wspierającego badania naukowe i rozwój, produkcję i dostęp pacjentów do innowacyjnych leków; zwraca uwagę, że procesy biotechnologiczne mogą być wykorzystywane do wytwarzania farmaceutycznych składników czynnych i kluczowych czynników produkcji zarówno leków niechronionych patentem, jak i leków innowacyjnych;</w:t>
      </w:r>
    </w:p>
    <w:p w14:paraId="71EAD45F" w14:textId="77777777" w:rsidR="0038789F" w:rsidRPr="004F0F51" w:rsidRDefault="0038789F" w:rsidP="0038789F">
      <w:pPr>
        <w:pStyle w:val="NormalHanging12a"/>
      </w:pPr>
      <w:r w:rsidRPr="004F0F51">
        <w:t>16.</w:t>
      </w:r>
      <w:r w:rsidRPr="004F0F51">
        <w:tab/>
        <w:t xml:space="preserve">zaleca wykorzystanie piaskownic regulacyjnych nowej generacji do oceny konkretnych skutków i możliwości nowych zastosowań biotechnologicznych i </w:t>
      </w:r>
      <w:proofErr w:type="spellStart"/>
      <w:r w:rsidRPr="004F0F51">
        <w:t>bioprodukcyjnych</w:t>
      </w:r>
      <w:proofErr w:type="spellEnd"/>
      <w:r w:rsidRPr="004F0F51">
        <w:t>, a zarazem zapewnienie możliwości testowania nowych technologii w kontrolowanym, lecz elastycznym i wytrzymującym próbę czasu otoczeniu regulacyjnym; podkreśla znaczenie zapewnienia, aby polityka UE uwzględniała rozwój technologiczny i naukowy w celu ochrony globalnej konkurencyjności UE;</w:t>
      </w:r>
    </w:p>
    <w:p w14:paraId="58E23792" w14:textId="77777777" w:rsidR="0038789F" w:rsidRPr="004F0F51" w:rsidRDefault="0038789F" w:rsidP="0038789F">
      <w:pPr>
        <w:pStyle w:val="NormalHanging12a"/>
      </w:pPr>
      <w:r w:rsidRPr="004F0F51">
        <w:t>17.</w:t>
      </w:r>
      <w:r w:rsidRPr="004F0F51">
        <w:tab/>
        <w:t xml:space="preserve">rekomenduje opracowanie strategii wspierania firm biotechnologicznych i </w:t>
      </w:r>
      <w:proofErr w:type="spellStart"/>
      <w:r w:rsidRPr="004F0F51">
        <w:t>bioprodukcyjnych</w:t>
      </w:r>
      <w:proofErr w:type="spellEnd"/>
      <w:r w:rsidRPr="004F0F51">
        <w:t xml:space="preserve"> przechodzących z systemu piaskownicy regulacyjnej do pełnego dostępu do rynku; domaga się, aby strategia obejmowała między innymi mechanizmy wsparcia, pomoc regulacyjną i wytyczne dotyczące zgodności z prawodawstwem UE;</w:t>
      </w:r>
    </w:p>
    <w:p w14:paraId="797ACE00" w14:textId="77777777" w:rsidR="0038789F" w:rsidRPr="004F0F51" w:rsidRDefault="0038789F" w:rsidP="0038789F">
      <w:pPr>
        <w:pStyle w:val="Normal12a24b"/>
      </w:pPr>
      <w:r w:rsidRPr="004F0F51">
        <w:rPr>
          <w:rStyle w:val="BoldItalic"/>
        </w:rPr>
        <w:t>Potrzeba promowania zalet i specyfiki sektora biotechnologii i bioprodukcji</w:t>
      </w:r>
    </w:p>
    <w:p w14:paraId="773DE0C4" w14:textId="77777777" w:rsidR="0038789F" w:rsidRPr="004F0F51" w:rsidRDefault="0038789F" w:rsidP="0038789F">
      <w:pPr>
        <w:pStyle w:val="NormalHanging12a"/>
      </w:pPr>
      <w:r w:rsidRPr="004F0F51">
        <w:t>18.</w:t>
      </w:r>
      <w:r w:rsidRPr="004F0F51">
        <w:tab/>
        <w:t xml:space="preserve">podkreśla, że skuteczne zwiększenie skali biotechnologii i bioprodukcji w UE zależy od solidnej, konkurencyjnej </w:t>
      </w:r>
      <w:proofErr w:type="spellStart"/>
      <w:r w:rsidRPr="004F0F51">
        <w:t>biogospodarki</w:t>
      </w:r>
      <w:proofErr w:type="spellEnd"/>
      <w:r w:rsidRPr="004F0F51">
        <w:t xml:space="preserve"> o obiegu zamkniętym; wzywa Komisję do przedstawienia zaktualizowanej strategii dotyczącej </w:t>
      </w:r>
      <w:proofErr w:type="spellStart"/>
      <w:r w:rsidRPr="004F0F51">
        <w:t>biogospodarki</w:t>
      </w:r>
      <w:proofErr w:type="spellEnd"/>
      <w:r w:rsidRPr="004F0F51">
        <w:t xml:space="preserve">, która uwzględni obecne wyzwania i podkreśli przemysłowy wymiar </w:t>
      </w:r>
      <w:proofErr w:type="spellStart"/>
      <w:r w:rsidRPr="004F0F51">
        <w:t>biogospodarki</w:t>
      </w:r>
      <w:proofErr w:type="spellEnd"/>
      <w:r w:rsidRPr="004F0F51">
        <w:t xml:space="preserve"> oraz jej powiązania z biotechnologią i bioprodukcją, zachęcając do opracowywania i produkcji zrównoważonych, innowacyjnych materiałów, produktów i rozwiązań na bazie biologicznej o wysokiej wartości dodanej, aby przyczynić się do konkurencyjności i autonomii strategicznej UE;</w:t>
      </w:r>
    </w:p>
    <w:p w14:paraId="1BE4A854" w14:textId="77777777" w:rsidR="0038789F" w:rsidRPr="004F0F51" w:rsidRDefault="0038789F" w:rsidP="0038789F">
      <w:pPr>
        <w:pStyle w:val="NormalHanging12a"/>
      </w:pPr>
      <w:r w:rsidRPr="004F0F51">
        <w:t>19.</w:t>
      </w:r>
      <w:r w:rsidRPr="004F0F51">
        <w:tab/>
        <w:t>dostrzega ważną rolę biomasy w bioprodukcji; przypomina w tym względzie o znaczeniu przyjęcia podejścia otwartego na różne technologie zrównoważonej biomasy, opartego na solidnej analizie i mającego na celu zwiększenie dostępu do surowców i ich wykorzystania, a także wykorzystania międzynarodowych łańcuchów dostaw, przy jednoczesnym dążeniu do uniknięcia niezamierzonych skutków zewnętrznych dla środowiska;</w:t>
      </w:r>
    </w:p>
    <w:p w14:paraId="2E1A725D" w14:textId="77777777" w:rsidR="0038789F" w:rsidRPr="004F0F51" w:rsidRDefault="0038789F" w:rsidP="0038789F">
      <w:pPr>
        <w:pStyle w:val="NormalHanging12a"/>
      </w:pPr>
      <w:r w:rsidRPr="004F0F51">
        <w:t>20.</w:t>
      </w:r>
      <w:r w:rsidRPr="004F0F51">
        <w:tab/>
        <w:t>podkreśla potrzebę uwzględnienia specyfiki węgla biogenicznego, produktów i procesów opartych na biotechnologii oraz rozróżnienia ich od produktów petrochemicznych i pochodzących z paliw kopalnych w kontekście unijnych i krajowych przepisów dotyczących chemikaliów, materiałów i ochrony środowiska;</w:t>
      </w:r>
    </w:p>
    <w:p w14:paraId="47A21714" w14:textId="77777777" w:rsidR="0038789F" w:rsidRPr="004F0F51" w:rsidRDefault="0038789F" w:rsidP="0038789F">
      <w:pPr>
        <w:pStyle w:val="NormalHanging12a"/>
      </w:pPr>
      <w:r w:rsidRPr="004F0F51">
        <w:lastRenderedPageBreak/>
        <w:t>21.</w:t>
      </w:r>
      <w:r w:rsidRPr="004F0F51">
        <w:tab/>
        <w:t>zwraca uwagę, że niezbędne składniki, takie jak enzymy, bakterie kwasu mlekowego i inne mikroorganizmy, mogą zostać zakazane lub w nieuzasadniony sposób ograniczone przez unijne przepisy dotyczące głównie substancji petrochemicznych i syntetycznych, takie jak rozporządzenie REACH</w:t>
      </w:r>
      <w:r w:rsidRPr="004F0F51">
        <w:rPr>
          <w:rStyle w:val="FootnoteReference"/>
        </w:rPr>
        <w:footnoteReference w:id="3"/>
      </w:r>
      <w:r w:rsidRPr="004F0F51">
        <w:t>;</w:t>
      </w:r>
    </w:p>
    <w:p w14:paraId="305C2412" w14:textId="77777777" w:rsidR="0038789F" w:rsidRPr="004F0F51" w:rsidRDefault="0038789F" w:rsidP="0038789F">
      <w:pPr>
        <w:pStyle w:val="NormalHanging12a"/>
      </w:pPr>
      <w:r w:rsidRPr="004F0F51">
        <w:t>22.</w:t>
      </w:r>
      <w:r w:rsidRPr="004F0F51">
        <w:tab/>
        <w:t>wyraża zaniepokojenie, że stosowana przez Europejski Bank Inwestycyjny (EBI) interpretacja kryteriów zrównoważonego rozwoju w ramach dostosowania grupy EBI do porozumienia paryskiego może skutkować odmową dostępu do finansowania materiałów pochodzenia biologicznego i projektów opartych na biotechnologii; zwraca się do Komisji o odpowiednią analizę odnośnych definicji i zachęcanie do interpretacji sprzyjających biotechnologii i bioprodukcji; wzywa EBI do zaproponowania instrumentów zmniejszających ryzyko dla biotechnologii i bioprodukcji w celu pozyskania kapitału; wzywa ponadto EBI do poprawy zasięgu, wsparcia doradczego i informacji na temat instrumentów i możliwości finansowania kwalifikujących się projektów w dziedzinie biotechnologii i bioprodukcji, w szczególności dla MŚP, przedsiębiorstw typu start-</w:t>
      </w:r>
      <w:proofErr w:type="spellStart"/>
      <w:r w:rsidRPr="004F0F51">
        <w:t>up</w:t>
      </w:r>
      <w:proofErr w:type="spellEnd"/>
      <w:r w:rsidRPr="004F0F51">
        <w:t xml:space="preserve"> i przedsiębiorstw </w:t>
      </w:r>
      <w:proofErr w:type="spellStart"/>
      <w:r w:rsidRPr="004F0F51">
        <w:t>scale-up</w:t>
      </w:r>
      <w:proofErr w:type="spellEnd"/>
      <w:r w:rsidRPr="004F0F51">
        <w:t>;</w:t>
      </w:r>
    </w:p>
    <w:p w14:paraId="59E09D28" w14:textId="77777777" w:rsidR="0038789F" w:rsidRPr="004F0F51" w:rsidRDefault="0038789F" w:rsidP="0038789F">
      <w:pPr>
        <w:pStyle w:val="NormalHanging12a"/>
      </w:pPr>
      <w:r w:rsidRPr="004F0F51">
        <w:t>23.</w:t>
      </w:r>
      <w:r w:rsidRPr="004F0F51">
        <w:tab/>
        <w:t>podkreśla korzyści i wkład produktów i procesów opartych na biotechnologii w realizację unijnych celów redukcji emisji CO</w:t>
      </w:r>
      <w:r w:rsidRPr="004F0F51">
        <w:rPr>
          <w:vertAlign w:val="subscript"/>
        </w:rPr>
        <w:t>2</w:t>
      </w:r>
      <w:r w:rsidRPr="004F0F51">
        <w:t>, które – biorąc pod uwagę potencjał tych produktów do zwiększenia zrównoważonego rozwoju i zmniejszenia śladu środowiskowego UE – należy odzwierciedlić w odpowiednich ocenach cyklu życia, informacjach dla konsumentów i zamówieniach publicznych;</w:t>
      </w:r>
    </w:p>
    <w:p w14:paraId="18F9E079" w14:textId="77777777" w:rsidR="0038789F" w:rsidRPr="004F0F51" w:rsidRDefault="0038789F" w:rsidP="0038789F">
      <w:pPr>
        <w:pStyle w:val="NormalHanging12a"/>
      </w:pPr>
      <w:r w:rsidRPr="004F0F51">
        <w:t>24.</w:t>
      </w:r>
      <w:r w:rsidRPr="004F0F51">
        <w:tab/>
        <w:t xml:space="preserve">jest zdania, że aby przyspieszyć zastępowanie surowców kopalnych, można by w dalszym ciągu zachęcać do zwiększania popytu rynkowego i wprowadzania na rynek zrównoważonych </w:t>
      </w:r>
      <w:proofErr w:type="spellStart"/>
      <w:r w:rsidRPr="004F0F51">
        <w:t>bioproduktów</w:t>
      </w:r>
      <w:proofErr w:type="spellEnd"/>
      <w:r w:rsidRPr="004F0F51">
        <w:t xml:space="preserve"> w UE; uważa, że surowce pochodzenia biologicznego, takie jak biomasa pozyskiwana w sposób zrównoważony, odpady poddane recyklingowi i CO</w:t>
      </w:r>
      <w:r w:rsidRPr="004F0F51">
        <w:rPr>
          <w:vertAlign w:val="subscript"/>
        </w:rPr>
        <w:t>2</w:t>
      </w:r>
      <w:r w:rsidRPr="004F0F51">
        <w:t xml:space="preserve"> wychwycony ze źródeł biogenicznych, mogłyby być wykorzystywane jako alternatywne surowce do wytwarzania różnych produktów, przyczyniając się do redukcji emisji w UE, efektywnego gospodarowania zasobami i autonomii strategicznej; w tym względzie przypomina o zobowiązaniu podjętym w ramach Kompasu konkurencyjności UE do opracowania polityki nagradzającej podmioty, które wcześnie podejmą działania; uważa, że w odniesieniu do biomasy należy wprowadzić spójne i odpowiednie kryteria zrównoważonego rozwoju;</w:t>
      </w:r>
    </w:p>
    <w:p w14:paraId="45254CBC" w14:textId="77777777" w:rsidR="0038789F" w:rsidRPr="004F0F51" w:rsidRDefault="0038789F" w:rsidP="0038789F">
      <w:pPr>
        <w:pStyle w:val="NormalHanging12a"/>
      </w:pPr>
      <w:r w:rsidRPr="004F0F51">
        <w:t>25.</w:t>
      </w:r>
      <w:r w:rsidRPr="004F0F51">
        <w:tab/>
        <w:t xml:space="preserve">podkreśla znaczenie utrzymania wysokich standardów UE w zakresie bezpieczeństwa żywności i konsumentów oraz potencjał zastosowań biotechnologii przy ocenie tych zastosowań w żywności i paszach w celu ochrony zdrowia konsumentów, oceny wpływu na obiegi zamknięte i zrównoważony rozwój oraz uwzględnienia społecznych, etycznych, ekonomicznych, środowiskowych i kulturowych aspektów innowacji w dziedzinie żywności; wzywa Komisję do określenia sprawnych dróg wprowadzania na rynek bezpiecznych zastosowań biotechnologii w produktach spożywczych, </w:t>
      </w:r>
      <w:r w:rsidRPr="004F0F51">
        <w:lastRenderedPageBreak/>
        <w:t>przypominając jednocześnie, że takie zastosowania biotechnologii muszą zostać odpowiednio zbadane przed wydaniem jakiegokolwiek przyszłego zezwolenia i wprowadzeniem na rynek unijny, w tym poprzez zgromadzenie informacji toksykologicznych oraz przeprowadzenie w stosownych przypadkach badań klinicznych i przedklinicznych, a także zapewnienie identyfikowalności;</w:t>
      </w:r>
    </w:p>
    <w:p w14:paraId="42FDACC7" w14:textId="77777777" w:rsidR="0038789F" w:rsidRPr="004F0F51" w:rsidRDefault="0038789F" w:rsidP="0038789F">
      <w:pPr>
        <w:pStyle w:val="NormalHanging12a"/>
      </w:pPr>
      <w:r w:rsidRPr="004F0F51">
        <w:t>26.</w:t>
      </w:r>
      <w:r w:rsidRPr="004F0F51">
        <w:tab/>
        <w:t xml:space="preserve">podkreśla, że zagrożenia związane z </w:t>
      </w:r>
      <w:proofErr w:type="spellStart"/>
      <w:r w:rsidRPr="004F0F51">
        <w:t>bioasekuracją</w:t>
      </w:r>
      <w:proofErr w:type="spellEnd"/>
      <w:r w:rsidRPr="004F0F51">
        <w:t xml:space="preserve">, w tym kwestie bioetyczne, należy rozpatrywać w powiązaniu z innowacjami w dziedzinie biotechnologii i bioprodukcji, zapewniając odpowiedzialny dostęp do narzędzi biologii syntetycznej, technologii edycji genów i materiałów biologicznych oraz ich odpowiedzialne stosowanie; wzywa do utworzenia unijnego rejestru </w:t>
      </w:r>
      <w:proofErr w:type="spellStart"/>
      <w:r w:rsidRPr="004F0F51">
        <w:t>bioasekuracji</w:t>
      </w:r>
      <w:proofErr w:type="spellEnd"/>
      <w:r w:rsidRPr="004F0F51">
        <w:t xml:space="preserve"> syntetycznego DNA, sprzętu do syntezy laboratoryjnej i narzędzi inżynierii genetycznej, poprawy przejrzystości i mechanizmów oceny ryzyka, w porozumieniu z odpowiednimi zainteresowanymi stronami, takimi jak branża i społeczeństwo obywatelskie, przy jednoczesnym zapewnieniu odpowiedniej ochrony danych wrażliwych; podkreśla znaczenie strategicznej autonomii UE w łańcuchach dostaw biotechnologicznych, co zapewni, że kluczowe wkłady w produkcję biomasy i wiedza specjalistyczna pozostaną w Europie; wzywa do ściślejszej współpracy międzynarodowej w zakresie norm </w:t>
      </w:r>
      <w:proofErr w:type="spellStart"/>
      <w:r w:rsidRPr="004F0F51">
        <w:t>bioasekuracji</w:t>
      </w:r>
      <w:proofErr w:type="spellEnd"/>
      <w:r w:rsidRPr="004F0F51">
        <w:t xml:space="preserve">, w tym obowiązkowych międzynarodowych norm kontroli, zapewniających przedsiębiorstwom biotechnologicznym i </w:t>
      </w:r>
      <w:proofErr w:type="spellStart"/>
      <w:r w:rsidRPr="004F0F51">
        <w:t>bioprodukcyjnym</w:t>
      </w:r>
      <w:proofErr w:type="spellEnd"/>
      <w:r w:rsidRPr="004F0F51">
        <w:t xml:space="preserve"> z siedzibą w UE możliwość korzystania z najlepszych praktyk światowych przy jednoczesnym zachowaniu konkurencyjności;</w:t>
      </w:r>
    </w:p>
    <w:p w14:paraId="18DA1806" w14:textId="77777777" w:rsidR="0038789F" w:rsidRPr="004F0F51" w:rsidRDefault="0038789F" w:rsidP="0038789F">
      <w:pPr>
        <w:pStyle w:val="NormalHanging12a"/>
      </w:pPr>
      <w:r w:rsidRPr="004F0F51">
        <w:t>27.</w:t>
      </w:r>
      <w:r w:rsidRPr="004F0F51">
        <w:tab/>
        <w:t>wzywa Komisję do przeprowadzenia badania dotyczącego materiałów biologicznych oraz do przedstawienia zaktualizowanego komunikatu i planu działania w sprawie zagrożeń chemicznych, biologicznych, radiologicznych i jądrowych, w szczególności w odniesieniu do bioterroryzmu i zagrożeń biologicznych;</w:t>
      </w:r>
    </w:p>
    <w:p w14:paraId="01D86DD5" w14:textId="77777777" w:rsidR="0038789F" w:rsidRPr="004F0F51" w:rsidRDefault="0038789F" w:rsidP="0038789F">
      <w:pPr>
        <w:pStyle w:val="Normal12a24b"/>
      </w:pPr>
      <w:r w:rsidRPr="004F0F51">
        <w:rPr>
          <w:rStyle w:val="BoldItalic"/>
        </w:rPr>
        <w:t>Kwestie horyzontalne</w:t>
      </w:r>
    </w:p>
    <w:p w14:paraId="66FA3B13" w14:textId="77777777" w:rsidR="0038789F" w:rsidRPr="004F0F51" w:rsidRDefault="0038789F" w:rsidP="0038789F">
      <w:pPr>
        <w:pStyle w:val="NormalHanging12a"/>
      </w:pPr>
      <w:r w:rsidRPr="004F0F51">
        <w:t>28.</w:t>
      </w:r>
      <w:r w:rsidRPr="004F0F51">
        <w:tab/>
        <w:t xml:space="preserve">podkreśla, że zapewnienie przedsiębiorstwom biotechnologicznym i </w:t>
      </w:r>
      <w:proofErr w:type="spellStart"/>
      <w:r w:rsidRPr="004F0F51">
        <w:t>bioprodukcyjnym</w:t>
      </w:r>
      <w:proofErr w:type="spellEnd"/>
      <w:r w:rsidRPr="004F0F51">
        <w:t xml:space="preserve"> wystarczających, stabilnych i konkurencyjnych dostaw surowców, materiałów i podstawowych komponentów, takich jak zrównoważona biomasa i enzymy, ma znaczenie dla bezpieczeństwa łańcucha dostaw; wzywa do tego, by ściśle monitorować potencjalne zagrożenia, luki i zależności, a jednocześnie chronić dane wrażliwe przedsiębiorstw i zabezpieczyć funkcjonowanie rynku wewnętrznego;</w:t>
      </w:r>
    </w:p>
    <w:p w14:paraId="28B938AC" w14:textId="77777777" w:rsidR="0038789F" w:rsidRPr="004F0F51" w:rsidRDefault="0038789F" w:rsidP="0038789F">
      <w:pPr>
        <w:pStyle w:val="NormalHanging12a"/>
      </w:pPr>
      <w:r w:rsidRPr="004F0F51">
        <w:t>29.</w:t>
      </w:r>
      <w:r w:rsidRPr="004F0F51">
        <w:tab/>
        <w:t xml:space="preserve">podkreśla znaczenie rozwoju łańcuchów wartości surowców i produkcji w UE oraz zwiększenia samowystarczalności tam, gdzie to możliwe, przy jednoczesnym wspieraniu partnerstw strategicznych i współpracy z podobnie myślącymi krajami spoza UE w celu zapewnienia odpornego i zróżnicowanego dostępu do kluczowych czynników produkcji dla branży biotechnologicznej i </w:t>
      </w:r>
      <w:proofErr w:type="spellStart"/>
      <w:r w:rsidRPr="004F0F51">
        <w:t>bioprodukcyjnej</w:t>
      </w:r>
      <w:proofErr w:type="spellEnd"/>
      <w:r w:rsidRPr="004F0F51">
        <w:t xml:space="preserve"> w UE;</w:t>
      </w:r>
    </w:p>
    <w:p w14:paraId="64BFF71F" w14:textId="77777777" w:rsidR="0038789F" w:rsidRPr="004F0F51" w:rsidRDefault="0038789F" w:rsidP="0038789F">
      <w:pPr>
        <w:pStyle w:val="NormalHanging12a"/>
      </w:pPr>
      <w:r w:rsidRPr="004F0F51">
        <w:t>30.</w:t>
      </w:r>
      <w:r w:rsidRPr="004F0F51">
        <w:tab/>
        <w:t xml:space="preserve">podkreśla, że w coraz bardziej napiętej sytuacji geopolitycznej należy w pełni wykorzystać biotechnologię i bioprodukcję do wzmocnienia strategicznej autonomii UE, zwiększenia bezpieczeństwa żywnościowego i zmniejszenia zależności od państw trzecich; podkreśla potrzebę stymulowania popytu rynkowego i wykorzystania </w:t>
      </w:r>
      <w:proofErr w:type="spellStart"/>
      <w:r w:rsidRPr="004F0F51">
        <w:t>bioproduktów</w:t>
      </w:r>
      <w:proofErr w:type="spellEnd"/>
      <w:r w:rsidRPr="004F0F51">
        <w:t xml:space="preserve"> w celu pobudzenia wzrostu, konkurencyjności i zrównoważonego rozwoju unijnego sektora biotechnologii i bioprodukcji;</w:t>
      </w:r>
    </w:p>
    <w:p w14:paraId="33785BE5" w14:textId="77777777" w:rsidR="0038789F" w:rsidRPr="004F0F51" w:rsidRDefault="0038789F" w:rsidP="0038789F">
      <w:pPr>
        <w:pStyle w:val="NormalHanging12a"/>
      </w:pPr>
      <w:r w:rsidRPr="004F0F51">
        <w:t>31.</w:t>
      </w:r>
      <w:r w:rsidRPr="004F0F51">
        <w:tab/>
        <w:t xml:space="preserve">zauważa, że zwiększenie skali i komercjalizacja wyników badań naukowych pozostają poważnym wyzwaniem w UE, i podkreśla potrzebę usprawnienia transferu wiedzy i </w:t>
      </w:r>
      <w:r w:rsidRPr="004F0F51">
        <w:lastRenderedPageBreak/>
        <w:t xml:space="preserve">technologii między środowiskiem akademickim a branżą, dzięki czemu finansowane przez UE badania w dziedzinie biotechnologii i bioprodukcji będą prowadziły do zastosowań komercyjnych i ich wykorzystania przemysłowego; podkreśla znaczenie zacieśnienia współpracy publiczno-prywatnej oraz wspierania uniwersytetów i instytucji badawczych o wysokim poziomie transferu technologii, firm typu </w:t>
      </w:r>
      <w:proofErr w:type="spellStart"/>
      <w:r w:rsidRPr="004F0F51">
        <w:t>spin</w:t>
      </w:r>
      <w:proofErr w:type="spellEnd"/>
      <w:r w:rsidRPr="004F0F51">
        <w:t>-off i tworzenia przedsiębiorstw typu start-</w:t>
      </w:r>
      <w:proofErr w:type="spellStart"/>
      <w:r w:rsidRPr="004F0F51">
        <w:t>up</w:t>
      </w:r>
      <w:proofErr w:type="spellEnd"/>
      <w:r w:rsidRPr="004F0F51">
        <w:t>, na przykład poprzez stosowanie modelu CERN polegającego na tworzeniu „fabryk start-</w:t>
      </w:r>
      <w:proofErr w:type="spellStart"/>
      <w:r w:rsidRPr="004F0F51">
        <w:t>upów</w:t>
      </w:r>
      <w:proofErr w:type="spellEnd"/>
      <w:r w:rsidRPr="004F0F51">
        <w:t>” (ang. start-</w:t>
      </w:r>
      <w:proofErr w:type="spellStart"/>
      <w:r w:rsidRPr="004F0F51">
        <w:t>up</w:t>
      </w:r>
      <w:proofErr w:type="spellEnd"/>
      <w:r w:rsidRPr="004F0F51">
        <w:t xml:space="preserve"> </w:t>
      </w:r>
      <w:proofErr w:type="spellStart"/>
      <w:r w:rsidRPr="004F0F51">
        <w:t>studios</w:t>
      </w:r>
      <w:proofErr w:type="spellEnd"/>
      <w:r w:rsidRPr="004F0F51">
        <w:t xml:space="preserve">) w instytucjach badawczych; wzywa do strategicznych inwestycji we wspólną infrastrukturę UE – taką jak obiekty pilotażowe, </w:t>
      </w:r>
      <w:proofErr w:type="spellStart"/>
      <w:r w:rsidRPr="004F0F51">
        <w:t>biobanki</w:t>
      </w:r>
      <w:proofErr w:type="spellEnd"/>
      <w:r w:rsidRPr="004F0F51">
        <w:t xml:space="preserve"> lub akceleratory innowacji – w celu wspierania rozwoju prototypów i wprowadzania na rynek innowacyjnych rozwiązań w zakresie biotechnologii i bioprodukcji; podkreśla, że innowacje nie mogą mieć na celu wyłącznie krótkoterminowych korzyści gospodarczych, a innowacje biotechnologiczne i </w:t>
      </w:r>
      <w:proofErr w:type="spellStart"/>
      <w:r w:rsidRPr="004F0F51">
        <w:t>bioprodukcyjne</w:t>
      </w:r>
      <w:proofErr w:type="spellEnd"/>
      <w:r w:rsidRPr="004F0F51">
        <w:t xml:space="preserve"> powinny być napędzane podejściem oddolnym w ramach samodzielnego i długoterminowego programu ramowego; wzywa Komisję do ułatwienia tworzenia wiodących na świecie ośrodków badawczych w dziedzinie biotechnologii i bioprodukcji w celu stymulowania innowacji i współpracy między środowiskiem akademickim, branżą i kapitałem wysokiego ryzyka; podkreśla potrzebę utworzenia solidnych fizycznych obiektów testowych w sektorze biotechnologii i bioprodukcji, aby stymulować innowacje i ułatwiać produkcję oraz dostęp do rynku dla MŚP i przedsiębiorstw typu start-</w:t>
      </w:r>
      <w:proofErr w:type="spellStart"/>
      <w:r w:rsidRPr="004F0F51">
        <w:t>up</w:t>
      </w:r>
      <w:proofErr w:type="spellEnd"/>
      <w:r w:rsidRPr="004F0F51">
        <w:t>;</w:t>
      </w:r>
    </w:p>
    <w:p w14:paraId="2B6A2ECB" w14:textId="77777777" w:rsidR="0038789F" w:rsidRPr="004F0F51" w:rsidRDefault="0038789F" w:rsidP="0038789F">
      <w:pPr>
        <w:pStyle w:val="NormalHanging12a"/>
      </w:pPr>
      <w:r w:rsidRPr="004F0F51">
        <w:t>32.</w:t>
      </w:r>
      <w:r w:rsidRPr="004F0F51">
        <w:tab/>
        <w:t>zwraca uwagę na potrzebę zapewnienia dostępu do przystępnej cenowo energii podmiotom działającym w dziedzinie biotechnologii i produkcji biomasy, biorąc pod uwagę wysoką energochłonność procesów produkcji biologicznej na dużą skalę; podkreśla, jak ważne jest ułatwienie uzyskiwania zezwolenia i walidacji dużych zakładów przemysłowych, takich jak bioreaktory, które są niezbędne dla zwiększenia skali działalności, ale także są narażone na znaczne ryzyko konstrukcyjne i operacyjne; z zadowoleniem przyjmuje ostatnią zmianę dyrektywy w sprawie energii odnawialnej</w:t>
      </w:r>
      <w:r w:rsidRPr="004F0F51">
        <w:rPr>
          <w:rStyle w:val="FootnoteReference"/>
        </w:rPr>
        <w:footnoteReference w:id="4"/>
      </w:r>
      <w:r w:rsidRPr="004F0F51">
        <w:t xml:space="preserve"> i jej przepisy upraszczające procedury wydawania zezwoleń oraz wzywa państwa członkowskie do szybkiego wdrożenia odpowiednich środków wspierających rozwój infrastruktury biotechnologicznej i </w:t>
      </w:r>
      <w:proofErr w:type="spellStart"/>
      <w:r w:rsidRPr="004F0F51">
        <w:t>bioprodukcyjnej</w:t>
      </w:r>
      <w:proofErr w:type="spellEnd"/>
      <w:r w:rsidRPr="004F0F51">
        <w:t>;</w:t>
      </w:r>
    </w:p>
    <w:p w14:paraId="2391E9FB" w14:textId="77777777" w:rsidR="0038789F" w:rsidRPr="004F0F51" w:rsidRDefault="0038789F" w:rsidP="0038789F">
      <w:pPr>
        <w:pStyle w:val="NormalHanging12a"/>
      </w:pPr>
      <w:r w:rsidRPr="004F0F51">
        <w:t>33.</w:t>
      </w:r>
      <w:r w:rsidRPr="004F0F51">
        <w:tab/>
        <w:t xml:space="preserve">podkreśla zapotrzebowanie na wykwalifikowaną i zróżnicowaną europejską siłę roboczą w sektorze biotechnologii i bioprodukcji oraz potrzebę promowania umiejętności związanych z przedsiębiorczością, w ścisłej współpracy z sektorem i instytucjami badawczymi; wzywa do zwiększenia inwestycji w edukację w zakresie biotechnologii i bioprodukcji oraz w ukierunkowane szkolenia zawodowe, w tym m.in. w dziedzinach takich jak zgodność z przepisami, zapewnienie jakości i inżynieria procesów; wspiera rozwój centrów kompetencji i inicjatyw szkoleniowych realizowanych przez sektor publiczny i prywatny we wszystkich państwach członkowskich, aby umożliwić podnoszenie i zmianę kwalifikacji oraz uczenie się przez całe życie w celu zachowania atrakcyjności branży biotechnologicznej i </w:t>
      </w:r>
      <w:proofErr w:type="spellStart"/>
      <w:r w:rsidRPr="004F0F51">
        <w:t>bioprodukcyjnej</w:t>
      </w:r>
      <w:proofErr w:type="spellEnd"/>
      <w:r w:rsidRPr="004F0F51">
        <w:t xml:space="preserve">; podkreśla znaczenie dostosowania programów nauczania do zmieniających się potrzeb sektora oraz promowania nauk przyrodniczych, technologii, inżynierii i matematyki (STEM), ze szczególnym uwzględnieniem przyciągania </w:t>
      </w:r>
      <w:r w:rsidRPr="004F0F51">
        <w:lastRenderedPageBreak/>
        <w:t>większej liczby dziewcząt i kobiet do kariery w dziedzinie biotechnologii i bioprodukcji; zachęca do zwiększenia świadomości społecznej na temat możliwości zawodowych w tej dziedzinie, aby przyciągać talenty z państw trzecich, oraz sugeruje zbadanie potencjału współpracy transatlantyckiej; z zadowoleniem przyjmuje niedawno uruchomiony program pilotażowy „Wybierz Europę dla nauki”, mający na celu przyciągnięcie do Europy najlepszych naukowców, badaczy i pracowników akademickich spoza UE;</w:t>
      </w:r>
    </w:p>
    <w:p w14:paraId="2FC9F98F" w14:textId="5D17DF26" w:rsidR="0038789F" w:rsidRPr="004F0F51" w:rsidRDefault="0038789F" w:rsidP="0038789F">
      <w:pPr>
        <w:pStyle w:val="NormalHanging12a"/>
      </w:pPr>
      <w:r w:rsidRPr="004F0F51">
        <w:t>34.</w:t>
      </w:r>
      <w:r w:rsidRPr="004F0F51">
        <w:tab/>
        <w:t xml:space="preserve">wzywa, by pilnie ukończyć tworzenie unii rynków kapitałowych w celu przyciągnięcia inwestorów instytucjonalnych do sektora biotechnologii i bioprodukcji, włącznie z kapitałem wysokiego ryzyka, funduszami emerytalnymi i kapitałem </w:t>
      </w:r>
      <w:proofErr w:type="spellStart"/>
      <w:r w:rsidRPr="004F0F51">
        <w:t>private</w:t>
      </w:r>
      <w:proofErr w:type="spellEnd"/>
      <w:r w:rsidRPr="004F0F51">
        <w:t xml:space="preserve"> equity; podkreśla, że sektor ten charakteryzuje się wysokim poziomem ryzyka i że obniżenie kosztów niepowodzenia w UE jest niezbędne dla przyciągnięcia inwestycji kapitałowych na dużą skalę; wzywa do zapewnienia specjalnego wsparcia, aby MŚP, przedsiębiorstwa typu start-</w:t>
      </w:r>
      <w:proofErr w:type="spellStart"/>
      <w:r w:rsidRPr="004F0F51">
        <w:t>up</w:t>
      </w:r>
      <w:proofErr w:type="spellEnd"/>
      <w:r w:rsidRPr="004F0F51">
        <w:t xml:space="preserve"> i przedsiębiorstwa </w:t>
      </w:r>
      <w:proofErr w:type="spellStart"/>
      <w:r w:rsidRPr="004F0F51">
        <w:t>scale-up</w:t>
      </w:r>
      <w:proofErr w:type="spellEnd"/>
      <w:r w:rsidRPr="004F0F51">
        <w:t xml:space="preserve"> zajmujące się biotechnologią i bioprodukcją miały dostęp do wystarczających środków finansowych i mogły konkurować globalnie; podkreśla, że bariery dla inwestycji transgranicznych muszą zostać ograniczone, aby ułatwić inwestycje w przedsiębiorstwa </w:t>
      </w:r>
      <w:proofErr w:type="spellStart"/>
      <w:r w:rsidRPr="004F0F51">
        <w:t>scale-up</w:t>
      </w:r>
      <w:proofErr w:type="spellEnd"/>
      <w:r w:rsidRPr="004F0F51">
        <w:t xml:space="preserve"> zajmujące się biotechnologią i bioprodukcją;</w:t>
      </w:r>
    </w:p>
    <w:p w14:paraId="72779F57" w14:textId="77777777" w:rsidR="0038789F" w:rsidRPr="004F0F51" w:rsidRDefault="0038789F" w:rsidP="0038789F">
      <w:pPr>
        <w:pStyle w:val="NormalHanging12a"/>
      </w:pPr>
      <w:r w:rsidRPr="004F0F51">
        <w:t>35.</w:t>
      </w:r>
      <w:r w:rsidRPr="004F0F51">
        <w:tab/>
        <w:t xml:space="preserve">zauważa, że partnerstwa publiczno-prywatne i strategie inwestycyjne UE ukierunkowane na realizację celów, np. Wspólne Przedsięwzięcie na rzecz Biotechnologicznej Europy Opartej na Obiegu Zamkniętym, mają zasadnicze znaczenie dla ograniczania ryzyka innowacji w dziedzinie biotechnologii i bioprodukcji oraz dla zwiększenia prawdopodobieństwa utrzymania własności intelektualnej i zdolności przemysłowych w Europie; wzywa do wzmocnienia instrumentów inwestycyjnych UE, takich jak program </w:t>
      </w:r>
      <w:proofErr w:type="spellStart"/>
      <w:r w:rsidRPr="004F0F51">
        <w:t>InvestEU</w:t>
      </w:r>
      <w:proofErr w:type="spellEnd"/>
      <w:r w:rsidRPr="004F0F51">
        <w:t>, aby wspierać projekty w dziedzinie biotechnologii i bioprodukcji uznanych za projekty wysokiego ryzyka z punktu widzenia inwestycji; podkreśla, że sektor ten charakteryzuje się wysoką koncentracją MŚP, które napotykają nieproporcjonalne bariery w dostępie do kapitału, mimo że są kluczowymi motorami innowacji; wspiera rozważania nad realizacją ważnego projektu stanowiącego przedmiot wspólnego europejskiego zainteresowania w dziedzinie biotechnologii, mającego na celu ułatwienie wdrażania przemysłowego i inwestycji pionierskich w chemikalia, materiały, produkty i rozwiązania pochodzenia biologicznego;</w:t>
      </w:r>
    </w:p>
    <w:p w14:paraId="7228B5E1" w14:textId="77777777" w:rsidR="0038789F" w:rsidRPr="004F0F51" w:rsidRDefault="0038789F" w:rsidP="0038789F">
      <w:pPr>
        <w:pStyle w:val="NormalHanging12a"/>
      </w:pPr>
      <w:r w:rsidRPr="004F0F51">
        <w:t>36.</w:t>
      </w:r>
      <w:r w:rsidRPr="004F0F51">
        <w:tab/>
        <w:t xml:space="preserve">zauważa, że należy dalej zwiększać świadomość społeczną na temat biotechnologii i </w:t>
      </w:r>
      <w:proofErr w:type="spellStart"/>
      <w:r w:rsidRPr="004F0F51">
        <w:t>bioproduktów</w:t>
      </w:r>
      <w:proofErr w:type="spellEnd"/>
      <w:r w:rsidRPr="004F0F51">
        <w:t xml:space="preserve"> w UE, aby zwiększyć akceptację społeczną; zaleca współpracę z obywatelami i organizacjami społeczeństwa obywatelskiego w celu informowania o cechach, korzyściach i skutkach rosnącej obecności produktów i usług opartych na biotechnologii na rynku europejskim;</w:t>
      </w:r>
    </w:p>
    <w:p w14:paraId="1ED65A86" w14:textId="77777777" w:rsidR="0038789F" w:rsidRPr="004F0F51" w:rsidRDefault="0038789F" w:rsidP="0038789F">
      <w:pPr>
        <w:pStyle w:val="Normal12a24b"/>
      </w:pPr>
      <w:r w:rsidRPr="004F0F51">
        <w:rPr>
          <w:rStyle w:val="BoldItalic"/>
        </w:rPr>
        <w:t>Badania naukowe i innowacje wytrzymujące próbę czasu</w:t>
      </w:r>
    </w:p>
    <w:p w14:paraId="205B7BCE" w14:textId="77777777" w:rsidR="0038789F" w:rsidRPr="004F0F51" w:rsidRDefault="0038789F" w:rsidP="0038789F">
      <w:pPr>
        <w:pStyle w:val="NormalHanging12a"/>
      </w:pPr>
      <w:r w:rsidRPr="004F0F51">
        <w:t>37.</w:t>
      </w:r>
      <w:r w:rsidRPr="004F0F51">
        <w:tab/>
        <w:t xml:space="preserve">ubolewa, że europejskie inwestycje prywatne w badania, rozwój i innowacje pozostają w tyle za innymi głównymi gospodarkami, a zwiększanie skali i komercjalizacja wyników badań nadal stanowią poważne wyzwanie w Europie; podkreśla fakt, że europejskie i krajowe publiczne systemy finansowania badań naukowych i rozwoju nadal są złożone i niedostatecznie skoordynowane, co skutkuje powielaniem działań i nieefektywnością; wzywa do przyjęcia </w:t>
      </w:r>
      <w:proofErr w:type="spellStart"/>
      <w:r w:rsidRPr="004F0F51">
        <w:t>ogólnounijnego</w:t>
      </w:r>
      <w:proofErr w:type="spellEnd"/>
      <w:r w:rsidRPr="004F0F51">
        <w:t xml:space="preserve"> podejścia do koordynacji inwestycji publicznych w badania naukowe i rozwój w dziedzinie biotechnologii i </w:t>
      </w:r>
      <w:r w:rsidRPr="004F0F51">
        <w:lastRenderedPageBreak/>
        <w:t>bioprodukcji, mającego na celu zarówno wypełnienie luk w zakresie doskonałości i innowacji, jak i przyspieszenie komercjalizacji; podkreśla znaczenie zacieśnienia współpracy europejskiej, łączenia wiedzy i zasobów oraz wykorzystania finansowania publicznego wraz z inwestycjami prywatnymi; przypomina o kluczowej roli programów ramowych, takich jak „Horyzont Europa”, w promowaniu doskonałości naukowej, innowacji i rozwoju technicznego, oraz wzywa do ukierunkowanych inwestycji w strategiczne poddziedziny biotechnologii i bioprodukcji, takie jak biotechnologia przemysłowa, środowiskowa, morska, zdrowotna i rolno-spożywcza;</w:t>
      </w:r>
    </w:p>
    <w:p w14:paraId="70A95F5B" w14:textId="77777777" w:rsidR="0038789F" w:rsidRPr="004F0F51" w:rsidRDefault="0038789F" w:rsidP="0038789F">
      <w:pPr>
        <w:pStyle w:val="NormalHanging12a"/>
      </w:pPr>
      <w:r w:rsidRPr="004F0F51">
        <w:t>38.</w:t>
      </w:r>
      <w:r w:rsidRPr="004F0F51">
        <w:tab/>
        <w:t>ponawia apel o podwojenie budżetu UE na badania naukowe i realizację celu, jakim jest przeznaczenie 3 % produktu krajowego brutto UE na badania naukowe i rozwój do 2030 r.;</w:t>
      </w:r>
    </w:p>
    <w:p w14:paraId="2CBC17E0" w14:textId="77777777" w:rsidR="0038789F" w:rsidRPr="004F0F51" w:rsidRDefault="0038789F" w:rsidP="0038789F">
      <w:pPr>
        <w:pStyle w:val="NormalHanging12a"/>
      </w:pPr>
      <w:r w:rsidRPr="004F0F51">
        <w:t>39.</w:t>
      </w:r>
      <w:r w:rsidRPr="004F0F51">
        <w:tab/>
        <w:t xml:space="preserve">zwraca uwagę na rosnącą rolę biologii syntetycznej, </w:t>
      </w:r>
      <w:proofErr w:type="spellStart"/>
      <w:r w:rsidRPr="004F0F51">
        <w:t>bioinformatyki</w:t>
      </w:r>
      <w:proofErr w:type="spellEnd"/>
      <w:r w:rsidRPr="004F0F51">
        <w:t>, danych oraz przełomowych badań w dziedzinie biotechnologii i bioinżynierii opartych na AI; wzywa Komisję, by włączyła innowacje w dziedzinie biotechnologii i bioprodukcji do strategii UE w dziedzinie technologii cyfrowych i AI, zapewniając interoperacyjność między infrastrukturą danych w dziedzinie biotechnologii i produkcji biomateriałów a platformami odkrywczymi opartymi na sztucznej inteligencji; zauważa, że możliwości AI zależą od efektywnego wykorzystania danych; jest zdania, że utworzenie przestrzeni danych przemysłowych dla biotechnologii i bioprodukcji jest ważne dla skutecznego udostępniania danych;</w:t>
      </w:r>
    </w:p>
    <w:p w14:paraId="46ECC2EB" w14:textId="77777777" w:rsidR="0038789F" w:rsidRPr="004F0F51" w:rsidRDefault="0038789F" w:rsidP="0038789F">
      <w:pPr>
        <w:pStyle w:val="NormalHanging12a"/>
      </w:pPr>
      <w:r w:rsidRPr="004F0F51">
        <w:t>40.</w:t>
      </w:r>
      <w:r w:rsidRPr="004F0F51">
        <w:tab/>
        <w:t>zauważa, że chociaż systemy AI i obliczenia kwantowe mogą znacznie przyspieszyć badania naukowe i prowadzić do nowych innowacji, umożliwiając lepsze projekty obliczeniowe systemów biologicznych, mogą one również zwiększać ryzyko zagrożeń biologicznych; podkreśla zatem potrzebę stosowania podejścia opartego na ryzyku w zakresie wykorzystania AI w badaniach naukowych i produkcji;</w:t>
      </w:r>
    </w:p>
    <w:p w14:paraId="03FE8359" w14:textId="77777777" w:rsidR="0038789F" w:rsidRDefault="0038789F" w:rsidP="0038789F">
      <w:pPr>
        <w:pStyle w:val="NormalHanging12a"/>
      </w:pPr>
      <w:r w:rsidRPr="004F0F51">
        <w:t>41.</w:t>
      </w:r>
      <w:r w:rsidRPr="004F0F51">
        <w:tab/>
        <w:t xml:space="preserve">uważa, że etyczne wykorzystanie AI, </w:t>
      </w:r>
      <w:proofErr w:type="spellStart"/>
      <w:r w:rsidRPr="004F0F51">
        <w:t>bioinformatyki</w:t>
      </w:r>
      <w:proofErr w:type="spellEnd"/>
      <w:r w:rsidRPr="004F0F51">
        <w:t xml:space="preserve"> i biologii syntetycznej ma kluczowe znaczenie dla budowania zaufania i czerpania korzyści z tych technologii przez całe społeczeństwo; podkreśla potrzebę ochrony prywatności danych, bezpieczeństwa danych, przejrzystości i nadzoru ludzkiego nad wykorzystaniem systemów AI w sektorze biotechnologii zdrowotnej;</w:t>
      </w:r>
    </w:p>
    <w:p w14:paraId="0F161376" w14:textId="5CF5534F" w:rsidR="00DB4E9F" w:rsidRDefault="00DB4E9F" w:rsidP="00DB4E9F">
      <w:pPr>
        <w:pStyle w:val="NormalHanging12a"/>
        <w:ind w:left="0" w:firstLine="0"/>
        <w:jc w:val="center"/>
      </w:pPr>
      <w:r>
        <w:t>°</w:t>
      </w:r>
    </w:p>
    <w:p w14:paraId="24CE1E6E" w14:textId="1272154A" w:rsidR="00DB4E9F" w:rsidRDefault="00DB4E9F" w:rsidP="00DB4E9F">
      <w:pPr>
        <w:pStyle w:val="NormalHanging12a"/>
        <w:ind w:left="0" w:firstLine="0"/>
        <w:jc w:val="center"/>
      </w:pPr>
      <w:r>
        <w:t>°     °</w:t>
      </w:r>
    </w:p>
    <w:p w14:paraId="560195DE" w14:textId="22DCE527" w:rsidR="004F0F51" w:rsidRPr="004F0F51" w:rsidRDefault="0038789F" w:rsidP="004F0F51">
      <w:pPr>
        <w:pStyle w:val="NormalHanging12a"/>
      </w:pPr>
      <w:r w:rsidRPr="004F0F51">
        <w:t>42.</w:t>
      </w:r>
      <w:r w:rsidRPr="004F0F51">
        <w:tab/>
        <w:t>zobowiązuje swoją przewodniczącą do przekazania niniejszej rezolucji Radzie i Komisji.</w:t>
      </w:r>
    </w:p>
    <w:p w14:paraId="0946762D" w14:textId="61502D1B" w:rsidR="00E365E1" w:rsidRPr="004F0F51" w:rsidRDefault="00E365E1" w:rsidP="002A5245"/>
    <w:sectPr w:rsidR="00E365E1" w:rsidRPr="004F0F51" w:rsidSect="004F0F5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AB465" w14:textId="77777777" w:rsidR="002A5245" w:rsidRPr="004F0F51" w:rsidRDefault="002A5245">
      <w:r w:rsidRPr="004F0F51">
        <w:separator/>
      </w:r>
    </w:p>
  </w:endnote>
  <w:endnote w:type="continuationSeparator" w:id="0">
    <w:p w14:paraId="12B3FF6C" w14:textId="77777777" w:rsidR="002A5245" w:rsidRPr="004F0F51" w:rsidRDefault="002A5245">
      <w:r w:rsidRPr="004F0F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3BCE0" w14:textId="77777777" w:rsidR="00064002" w:rsidRPr="004F0F5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29F58" w14:textId="77777777" w:rsidR="00064002" w:rsidRPr="004F0F5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725E5" w14:textId="77777777" w:rsidR="00064002" w:rsidRPr="004F0F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77803" w14:textId="77777777" w:rsidR="002A5245" w:rsidRPr="004F0F51" w:rsidRDefault="002A5245">
      <w:r w:rsidRPr="004F0F51">
        <w:separator/>
      </w:r>
    </w:p>
  </w:footnote>
  <w:footnote w:type="continuationSeparator" w:id="0">
    <w:p w14:paraId="1FEBEEA8" w14:textId="77777777" w:rsidR="002A5245" w:rsidRPr="004F0F51" w:rsidRDefault="002A5245">
      <w:r w:rsidRPr="004F0F51">
        <w:continuationSeparator/>
      </w:r>
    </w:p>
  </w:footnote>
  <w:footnote w:id="1">
    <w:p w14:paraId="321D3E5E" w14:textId="13DB9912" w:rsidR="0038789F" w:rsidRPr="004F0F51" w:rsidRDefault="0038789F" w:rsidP="004F0F51">
      <w:pPr>
        <w:pStyle w:val="FootnoteText"/>
        <w:ind w:left="567" w:hanging="567"/>
        <w:rPr>
          <w:sz w:val="24"/>
          <w:lang w:val="pl-PL"/>
        </w:rPr>
      </w:pPr>
      <w:r w:rsidRPr="004F0F51">
        <w:rPr>
          <w:rStyle w:val="FootnoteReference"/>
          <w:sz w:val="24"/>
          <w:lang w:val="pl-PL"/>
        </w:rPr>
        <w:footnoteRef/>
      </w:r>
      <w:r w:rsidR="004F0F51" w:rsidRPr="004F0F51">
        <w:rPr>
          <w:sz w:val="24"/>
          <w:lang w:val="pl-PL"/>
        </w:rPr>
        <w:t xml:space="preserve"> </w:t>
      </w:r>
      <w:r w:rsidR="004F0F51" w:rsidRPr="004F0F51">
        <w:rPr>
          <w:sz w:val="24"/>
          <w:lang w:val="pl-PL"/>
        </w:rPr>
        <w:tab/>
      </w:r>
      <w:r w:rsidRPr="004F0F51">
        <w:rPr>
          <w:sz w:val="24"/>
          <w:lang w:val="pl-PL"/>
        </w:rPr>
        <w:t xml:space="preserve">Rozporządzenie Parlamentu Europejskiego i Rady (UE) 2024/1735 z dnia 13 czerwca 2024 r. w sprawie ustanowienia ram środków na rzecz wzmocnienia europejskiego ekosystemu produkcji technologii neutralnych emisyjnie i zmieniające rozporządzenie (UE) 2018/1724 (Dz.U. L, 2024/1735, 28.6.2024, ELI: </w:t>
      </w:r>
      <w:hyperlink r:id="rId1" w:history="1">
        <w:r w:rsidRPr="004F0F51">
          <w:rPr>
            <w:rStyle w:val="Hyperlink"/>
            <w:sz w:val="24"/>
            <w:lang w:val="pl-PL"/>
          </w:rPr>
          <w:t>http://data.europa.eu/eli/reg/2024/1735/oj</w:t>
        </w:r>
      </w:hyperlink>
      <w:r w:rsidRPr="004F0F51">
        <w:rPr>
          <w:sz w:val="24"/>
          <w:lang w:val="pl-PL"/>
        </w:rPr>
        <w:t>).</w:t>
      </w:r>
    </w:p>
  </w:footnote>
  <w:footnote w:id="2">
    <w:p w14:paraId="26EE5A0B" w14:textId="19E41AB4" w:rsidR="0038789F" w:rsidRPr="004F0F51" w:rsidRDefault="0038789F" w:rsidP="004F0F51">
      <w:pPr>
        <w:pStyle w:val="FootnoteText"/>
        <w:ind w:left="567" w:hanging="567"/>
        <w:rPr>
          <w:sz w:val="24"/>
          <w:lang w:val="pl-PL"/>
        </w:rPr>
      </w:pPr>
      <w:r w:rsidRPr="004F0F51">
        <w:rPr>
          <w:rStyle w:val="FootnoteReference"/>
          <w:sz w:val="24"/>
          <w:lang w:val="pl-PL"/>
        </w:rPr>
        <w:footnoteRef/>
      </w:r>
      <w:r w:rsidR="004F0F51" w:rsidRPr="004F0F51">
        <w:rPr>
          <w:sz w:val="24"/>
          <w:lang w:val="pl-PL"/>
        </w:rPr>
        <w:t xml:space="preserve"> </w:t>
      </w:r>
      <w:r w:rsidR="004F0F51" w:rsidRPr="004F0F51">
        <w:rPr>
          <w:sz w:val="24"/>
          <w:lang w:val="pl-PL"/>
        </w:rPr>
        <w:tab/>
      </w:r>
      <w:r w:rsidRPr="004F0F51">
        <w:rPr>
          <w:sz w:val="24"/>
          <w:lang w:val="pl-PL"/>
        </w:rPr>
        <w:t xml:space="preserve">Rozporządzenie Parlamentu Europejskiego i Rady (UE) nr 536/2014 z dnia 16 kwietnia 2014 r. w sprawie badań klinicznych produktów leczniczych stosowanych u ludzi oraz uchylenia dyrektywy 2001/20/WE (Dz.U. L 158 z 27.5.2014, s. 1, ELI: </w:t>
      </w:r>
      <w:r w:rsidR="009E448B">
        <w:fldChar w:fldCharType="begin"/>
      </w:r>
      <w:r w:rsidR="009E448B" w:rsidRPr="009E448B">
        <w:rPr>
          <w:lang w:val="pl-PL"/>
        </w:rPr>
        <w:instrText>HYPERLINK "http://data.europa.eu/eli/reg/2014/536/oj"</w:instrText>
      </w:r>
      <w:r w:rsidR="009E448B">
        <w:fldChar w:fldCharType="separate"/>
      </w:r>
      <w:r w:rsidRPr="004F0F51">
        <w:rPr>
          <w:rStyle w:val="Hyperlink"/>
          <w:sz w:val="24"/>
          <w:lang w:val="pl-PL"/>
        </w:rPr>
        <w:t>http://data.europa.eu/eli/reg/2014/536/oj</w:t>
      </w:r>
      <w:r w:rsidR="009E448B">
        <w:rPr>
          <w:rStyle w:val="Hyperlink"/>
          <w:sz w:val="24"/>
          <w:lang w:val="pl-PL"/>
        </w:rPr>
        <w:fldChar w:fldCharType="end"/>
      </w:r>
      <w:r w:rsidRPr="004F0F51">
        <w:rPr>
          <w:sz w:val="24"/>
          <w:lang w:val="pl-PL"/>
        </w:rPr>
        <w:t>).</w:t>
      </w:r>
    </w:p>
  </w:footnote>
  <w:footnote w:id="3">
    <w:p w14:paraId="21010CD3" w14:textId="7CC063F2" w:rsidR="0038789F" w:rsidRPr="004F0F51" w:rsidRDefault="0038789F" w:rsidP="004F0F51">
      <w:pPr>
        <w:pStyle w:val="FootnoteText"/>
        <w:ind w:left="567" w:hanging="567"/>
        <w:rPr>
          <w:sz w:val="24"/>
          <w:lang w:val="pl-PL"/>
        </w:rPr>
      </w:pPr>
      <w:r w:rsidRPr="004F0F51">
        <w:rPr>
          <w:rStyle w:val="FootnoteReference"/>
          <w:sz w:val="24"/>
          <w:lang w:val="pl-PL"/>
        </w:rPr>
        <w:footnoteRef/>
      </w:r>
      <w:r w:rsidR="004F0F51" w:rsidRPr="004F0F51">
        <w:rPr>
          <w:sz w:val="24"/>
          <w:lang w:val="pl-PL"/>
        </w:rPr>
        <w:t xml:space="preserve"> </w:t>
      </w:r>
      <w:r w:rsidR="004F0F51" w:rsidRPr="004F0F51">
        <w:rPr>
          <w:sz w:val="24"/>
          <w:lang w:val="pl-PL"/>
        </w:rPr>
        <w:tab/>
      </w:r>
      <w:r w:rsidRPr="004F0F51">
        <w:rPr>
          <w:sz w:val="24"/>
          <w:lang w:val="pl-PL"/>
        </w:rPr>
        <w:t xml:space="preserve">Rozporządzenie (WE) nr 1907/2006 Parlamentu Europejskiego i Rady z dnia 18 grudnia 2006 r. w sprawie rejestracji, oceny, udzielania zezwoleń i stosowanych ograniczeń w zakresie chemikaliów (REACH) i utworzenia Europejskiej Agencji Chemikaliów, zmieniające dyrektywę 1999/45/WE oraz uchylające rozporządzenie Rady (EWG) nr 793/93 i rozporządzenie Komisji (WE) nr 1488/94, jak również dyrektywę Rady 76/769/EWG i dyrektywy Komisji 91/155/EWG, 93/67/EWG, 93/105/WE i 2000/21/WE (Dz.U. L 396 z 30.12.2006, s. 1, ELI: </w:t>
      </w:r>
      <w:r w:rsidR="009E448B">
        <w:fldChar w:fldCharType="begin"/>
      </w:r>
      <w:r w:rsidR="009E448B" w:rsidRPr="009E448B">
        <w:rPr>
          <w:lang w:val="pl-PL"/>
        </w:rPr>
        <w:instrText>HYPERLINK "http://data.europa.eu/eli/reg/2006/1907/oj"</w:instrText>
      </w:r>
      <w:r w:rsidR="009E448B">
        <w:fldChar w:fldCharType="separate"/>
      </w:r>
      <w:r w:rsidRPr="004F0F51">
        <w:rPr>
          <w:rStyle w:val="Hyperlink"/>
          <w:sz w:val="24"/>
          <w:lang w:val="pl-PL"/>
        </w:rPr>
        <w:t>http://data.europa.eu/eli/reg/2006/1907/oj</w:t>
      </w:r>
      <w:r w:rsidR="009E448B">
        <w:rPr>
          <w:rStyle w:val="Hyperlink"/>
          <w:sz w:val="24"/>
          <w:lang w:val="pl-PL"/>
        </w:rPr>
        <w:fldChar w:fldCharType="end"/>
      </w:r>
      <w:r w:rsidRPr="004F0F51">
        <w:rPr>
          <w:sz w:val="24"/>
          <w:lang w:val="pl-PL"/>
        </w:rPr>
        <w:t>).</w:t>
      </w:r>
    </w:p>
  </w:footnote>
  <w:footnote w:id="4">
    <w:p w14:paraId="4055B04D" w14:textId="2713CA20" w:rsidR="0038789F" w:rsidRPr="004F0F51" w:rsidRDefault="0038789F" w:rsidP="004F0F51">
      <w:pPr>
        <w:pStyle w:val="FootnoteText"/>
        <w:ind w:left="567" w:hanging="567"/>
        <w:rPr>
          <w:sz w:val="24"/>
          <w:lang w:val="pl-PL"/>
        </w:rPr>
      </w:pPr>
      <w:r w:rsidRPr="004F0F51">
        <w:rPr>
          <w:rStyle w:val="FootnoteReference"/>
          <w:sz w:val="24"/>
          <w:lang w:val="pl-PL"/>
        </w:rPr>
        <w:footnoteRef/>
      </w:r>
      <w:r w:rsidR="004F0F51" w:rsidRPr="004F0F51">
        <w:rPr>
          <w:sz w:val="24"/>
          <w:lang w:val="pl-PL"/>
        </w:rPr>
        <w:t xml:space="preserve"> </w:t>
      </w:r>
      <w:r w:rsidR="004F0F51" w:rsidRPr="004F0F51">
        <w:rPr>
          <w:sz w:val="24"/>
          <w:lang w:val="pl-PL"/>
        </w:rPr>
        <w:tab/>
      </w:r>
      <w:r w:rsidRPr="004F0F51">
        <w:rPr>
          <w:sz w:val="24"/>
          <w:lang w:val="pl-PL"/>
        </w:rPr>
        <w:t xml:space="preserve">Dyrektywa Parlamentu Europejskiego i Rady (UE) 2023/2413 z dnia 18 października 2023 r. zmieniająca dyrektywę (UE) 2018/2001, rozporządzenie (UE) 2018/1999 i dyrektywę 98/70/WE w odniesieniu do promowania energii ze źródeł odnawialnych oraz uchylająca dyrektywę Rady (UE) 2015/652 (Dz.U. L, 2023/2413, 31.10.2023, ELI: </w:t>
      </w:r>
      <w:r w:rsidR="009E448B">
        <w:fldChar w:fldCharType="begin"/>
      </w:r>
      <w:r w:rsidR="009E448B" w:rsidRPr="009E448B">
        <w:rPr>
          <w:lang w:val="pl-PL"/>
        </w:rPr>
        <w:instrText>HYPERLINK "http://data.europa.eu/eli/dir/2023/2413/oj"</w:instrText>
      </w:r>
      <w:r w:rsidR="009E448B">
        <w:fldChar w:fldCharType="separate"/>
      </w:r>
      <w:r w:rsidRPr="004F0F51">
        <w:rPr>
          <w:rStyle w:val="Hyperlink"/>
          <w:sz w:val="24"/>
          <w:lang w:val="pl-PL"/>
        </w:rPr>
        <w:t>http://data.europa.eu/eli/dir/2023/2413/oj</w:t>
      </w:r>
      <w:r w:rsidR="009E448B">
        <w:rPr>
          <w:rStyle w:val="Hyperlink"/>
          <w:sz w:val="24"/>
          <w:lang w:val="pl-PL"/>
        </w:rPr>
        <w:fldChar w:fldCharType="end"/>
      </w:r>
      <w:r w:rsidRPr="004F0F51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3FD14" w14:textId="77777777" w:rsidR="00064002" w:rsidRPr="004F0F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BECB1" w14:textId="77777777" w:rsidR="00064002" w:rsidRPr="004F0F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BA73C" w14:textId="77777777" w:rsidR="00064002" w:rsidRPr="004F0F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3509210">
    <w:abstractNumId w:val="9"/>
  </w:num>
  <w:num w:numId="2" w16cid:durableId="15276380">
    <w:abstractNumId w:val="9"/>
  </w:num>
  <w:num w:numId="3" w16cid:durableId="1937983187">
    <w:abstractNumId w:val="7"/>
  </w:num>
  <w:num w:numId="4" w16cid:durableId="1855613819">
    <w:abstractNumId w:val="7"/>
  </w:num>
  <w:num w:numId="5" w16cid:durableId="1892577683">
    <w:abstractNumId w:val="6"/>
  </w:num>
  <w:num w:numId="6" w16cid:durableId="1064333977">
    <w:abstractNumId w:val="6"/>
  </w:num>
  <w:num w:numId="7" w16cid:durableId="1498417582">
    <w:abstractNumId w:val="5"/>
  </w:num>
  <w:num w:numId="8" w16cid:durableId="570775626">
    <w:abstractNumId w:val="5"/>
  </w:num>
  <w:num w:numId="9" w16cid:durableId="2027291675">
    <w:abstractNumId w:val="4"/>
  </w:num>
  <w:num w:numId="10" w16cid:durableId="1775978924">
    <w:abstractNumId w:val="4"/>
  </w:num>
  <w:num w:numId="11" w16cid:durableId="1913805735">
    <w:abstractNumId w:val="8"/>
  </w:num>
  <w:num w:numId="12" w16cid:durableId="1966035954">
    <w:abstractNumId w:val="8"/>
  </w:num>
  <w:num w:numId="13" w16cid:durableId="1309361221">
    <w:abstractNumId w:val="3"/>
  </w:num>
  <w:num w:numId="14" w16cid:durableId="1204632898">
    <w:abstractNumId w:val="3"/>
  </w:num>
  <w:num w:numId="15" w16cid:durableId="1218052959">
    <w:abstractNumId w:val="2"/>
  </w:num>
  <w:num w:numId="16" w16cid:durableId="1267350391">
    <w:abstractNumId w:val="2"/>
  </w:num>
  <w:num w:numId="17" w16cid:durableId="2018771690">
    <w:abstractNumId w:val="1"/>
  </w:num>
  <w:num w:numId="18" w16cid:durableId="1924484114">
    <w:abstractNumId w:val="1"/>
  </w:num>
  <w:num w:numId="19" w16cid:durableId="470096880">
    <w:abstractNumId w:val="0"/>
  </w:num>
  <w:num w:numId="20" w16cid:durableId="1649168176">
    <w:abstractNumId w:val="0"/>
  </w:num>
  <w:num w:numId="21" w16cid:durableId="1255625203">
    <w:abstractNumId w:val="9"/>
  </w:num>
  <w:num w:numId="22" w16cid:durableId="550311381">
    <w:abstractNumId w:val="7"/>
  </w:num>
  <w:num w:numId="23" w16cid:durableId="16856631">
    <w:abstractNumId w:val="6"/>
  </w:num>
  <w:num w:numId="24" w16cid:durableId="717557873">
    <w:abstractNumId w:val="5"/>
  </w:num>
  <w:num w:numId="25" w16cid:durableId="2070498033">
    <w:abstractNumId w:val="4"/>
  </w:num>
  <w:num w:numId="26" w16cid:durableId="196897512">
    <w:abstractNumId w:val="8"/>
  </w:num>
  <w:num w:numId="27" w16cid:durableId="336034584">
    <w:abstractNumId w:val="3"/>
  </w:num>
  <w:num w:numId="28" w16cid:durableId="927621984">
    <w:abstractNumId w:val="2"/>
  </w:num>
  <w:num w:numId="29" w16cid:durableId="2017077251">
    <w:abstractNumId w:val="1"/>
  </w:num>
  <w:num w:numId="30" w16cid:durableId="546600991">
    <w:abstractNumId w:val="0"/>
  </w:num>
  <w:num w:numId="31" w16cid:durableId="1247760557">
    <w:abstractNumId w:val="9"/>
  </w:num>
  <w:num w:numId="32" w16cid:durableId="862943203">
    <w:abstractNumId w:val="7"/>
  </w:num>
  <w:num w:numId="33" w16cid:durableId="1959213442">
    <w:abstractNumId w:val="6"/>
  </w:num>
  <w:num w:numId="34" w16cid:durableId="231625169">
    <w:abstractNumId w:val="5"/>
  </w:num>
  <w:num w:numId="35" w16cid:durableId="1046563478">
    <w:abstractNumId w:val="4"/>
  </w:num>
  <w:num w:numId="36" w16cid:durableId="1963152285">
    <w:abstractNumId w:val="8"/>
  </w:num>
  <w:num w:numId="37" w16cid:durableId="860163260">
    <w:abstractNumId w:val="3"/>
  </w:num>
  <w:num w:numId="38" w16cid:durableId="1218123489">
    <w:abstractNumId w:val="2"/>
  </w:num>
  <w:num w:numId="39" w16cid:durableId="471217488">
    <w:abstractNumId w:val="1"/>
  </w:num>
  <w:num w:numId="40" w16cid:durableId="1647274473">
    <w:abstractNumId w:val="0"/>
  </w:num>
  <w:num w:numId="41" w16cid:durableId="65493995">
    <w:abstractNumId w:val="10"/>
  </w:num>
  <w:num w:numId="42" w16cid:durableId="97869571">
    <w:abstractNumId w:val="10"/>
  </w:num>
  <w:num w:numId="43" w16cid:durableId="1142698779">
    <w:abstractNumId w:val="10"/>
  </w:num>
  <w:num w:numId="44" w16cid:durableId="2661605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5"/>
    <w:docVar w:name="dvlangue" w:val="PL"/>
    <w:docVar w:name="dvnumam" w:val="0"/>
    <w:docVar w:name="dvpe" w:val="768.143"/>
    <w:docVar w:name="dvrapporteur" w:val="Sprawozdawca: "/>
    <w:docVar w:name="dvtitre" w:val="Rezolucja Parlamentu Europejskiego z dnia  2025 r. w sprawie przyszłości unijnego sektora biotechnologii i bioprodukcji: wykorzystanie badań naukowych, pobudzenie innowacji i zwiększenie konkurencyjności(2025/2008(INI))"/>
  </w:docVars>
  <w:rsids>
    <w:rsidRoot w:val="002A5245"/>
    <w:rsid w:val="00002272"/>
    <w:rsid w:val="0001533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5245"/>
    <w:rsid w:val="002B18FE"/>
    <w:rsid w:val="002B5493"/>
    <w:rsid w:val="00343214"/>
    <w:rsid w:val="00361C00"/>
    <w:rsid w:val="0038789F"/>
    <w:rsid w:val="00395FA1"/>
    <w:rsid w:val="003B1BD7"/>
    <w:rsid w:val="003E15D4"/>
    <w:rsid w:val="0040182D"/>
    <w:rsid w:val="00411CCE"/>
    <w:rsid w:val="0041666E"/>
    <w:rsid w:val="00421060"/>
    <w:rsid w:val="00471C19"/>
    <w:rsid w:val="004867E3"/>
    <w:rsid w:val="00494A28"/>
    <w:rsid w:val="004C0004"/>
    <w:rsid w:val="004C5D52"/>
    <w:rsid w:val="004F0F51"/>
    <w:rsid w:val="0050519A"/>
    <w:rsid w:val="005072A1"/>
    <w:rsid w:val="00514517"/>
    <w:rsid w:val="00545827"/>
    <w:rsid w:val="00560270"/>
    <w:rsid w:val="005640A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0F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48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E9F"/>
    <w:rsid w:val="00E365E1"/>
    <w:rsid w:val="00E820A4"/>
    <w:rsid w:val="00EB006A"/>
    <w:rsid w:val="00EB1DBF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2B327"/>
  <w15:chartTrackingRefBased/>
  <w15:docId w15:val="{32088843-E4F2-4963-B911-04FC24D8E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8789F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38789F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38789F"/>
    <w:rPr>
      <w:b/>
      <w:i/>
      <w:u w:val="none"/>
    </w:rPr>
  </w:style>
  <w:style w:type="character" w:customStyle="1" w:styleId="Italic">
    <w:name w:val="Italic"/>
    <w:uiPriority w:val="1"/>
    <w:rsid w:val="0038789F"/>
    <w:rPr>
      <w:i/>
    </w:rPr>
  </w:style>
  <w:style w:type="paragraph" w:customStyle="1" w:styleId="Normal12a24b">
    <w:name w:val="Normal12a24b"/>
    <w:basedOn w:val="Normal"/>
    <w:rsid w:val="0038789F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38789F"/>
    <w:rPr>
      <w:color w:val="0000FF"/>
      <w:u w:val="single"/>
    </w:rPr>
  </w:style>
  <w:style w:type="paragraph" w:styleId="Revision">
    <w:name w:val="Revision"/>
    <w:hidden/>
    <w:uiPriority w:val="99"/>
    <w:semiHidden/>
    <w:rsid w:val="005640A6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PL/ALL/?uri=CELEX:52025DC008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PL/ALL/?uri=CELEX:52025DC003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EN/ALL/?uri=CELEX:52024DC0137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73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5817</Words>
  <Characters>33162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2025-07-10T10:50:00Z</dcterms:created>
  <dcterms:modified xsi:type="dcterms:W3CDTF">2025-07-10T10:50:00Z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A10-0123/2025</vt:lpwstr>
  </property>
  <property fmtid="{D5CDD505-2E9C-101B-9397-08002B2CF9AE}" pid="4" name="&lt;Type&gt;">
    <vt:lpwstr>RR</vt:lpwstr>
  </property>
</Properties>
</file>