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975F3" w14:paraId="4CF834A0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4D317D2" w14:textId="77777777" w:rsidR="00751A4A" w:rsidRPr="005975F3" w:rsidRDefault="00F05E58" w:rsidP="0010095E">
            <w:pPr>
              <w:pStyle w:val="EPName"/>
            </w:pPr>
            <w:r w:rsidRPr="005975F3">
              <w:t>Európsky parlament</w:t>
            </w:r>
          </w:p>
          <w:p w14:paraId="6145C747" w14:textId="77777777" w:rsidR="00751A4A" w:rsidRPr="005975F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975F3">
              <w:t>2024</w:t>
            </w:r>
            <w:r w:rsidR="00817416" w:rsidRPr="005975F3">
              <w:t>-202</w:t>
            </w:r>
            <w:r w:rsidRPr="005975F3">
              <w:t>9</w:t>
            </w:r>
          </w:p>
        </w:tc>
        <w:tc>
          <w:tcPr>
            <w:tcW w:w="2268" w:type="dxa"/>
            <w:shd w:val="clear" w:color="auto" w:fill="auto"/>
          </w:tcPr>
          <w:p w14:paraId="4CFACF86" w14:textId="77777777" w:rsidR="00751A4A" w:rsidRPr="005975F3" w:rsidRDefault="00187494" w:rsidP="0010095E">
            <w:pPr>
              <w:pStyle w:val="EPLogo"/>
            </w:pPr>
            <w:r w:rsidRPr="005975F3">
              <w:rPr>
                <w:noProof/>
                <w:lang w:eastAsia="ja-JP"/>
              </w:rPr>
              <w:drawing>
                <wp:inline distT="0" distB="0" distL="0" distR="0" wp14:anchorId="45269AF8" wp14:editId="7513EC9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907BC02" w14:textId="77777777" w:rsidR="00D058B8" w:rsidRPr="005975F3" w:rsidRDefault="00D058B8" w:rsidP="004C5D52">
      <w:pPr>
        <w:pStyle w:val="LineTop"/>
      </w:pPr>
    </w:p>
    <w:p w14:paraId="68C4896B" w14:textId="77777777" w:rsidR="00680577" w:rsidRPr="005975F3" w:rsidRDefault="00F05E58" w:rsidP="00680577">
      <w:pPr>
        <w:pStyle w:val="EPBodyTA1"/>
      </w:pPr>
      <w:r w:rsidRPr="005975F3">
        <w:t>PRIJATÉ TEXTY</w:t>
      </w:r>
    </w:p>
    <w:p w14:paraId="56D8AEE7" w14:textId="77777777" w:rsidR="00D058B8" w:rsidRPr="005975F3" w:rsidRDefault="00D058B8" w:rsidP="00D058B8">
      <w:pPr>
        <w:pStyle w:val="LineBottom"/>
      </w:pPr>
    </w:p>
    <w:p w14:paraId="51BAB65F" w14:textId="7412E942" w:rsidR="00F05E58" w:rsidRPr="005975F3" w:rsidRDefault="00F05E58" w:rsidP="00F05E58">
      <w:pPr>
        <w:pStyle w:val="ATHeading1"/>
      </w:pPr>
      <w:bookmarkStart w:id="0" w:name="TANumber"/>
      <w:r w:rsidRPr="005975F3">
        <w:t>P10_TA(2025)0</w:t>
      </w:r>
      <w:r w:rsidR="005975F3" w:rsidRPr="005975F3">
        <w:t>16</w:t>
      </w:r>
      <w:r w:rsidR="00440AD2">
        <w:t>5</w:t>
      </w:r>
      <w:bookmarkEnd w:id="0"/>
    </w:p>
    <w:p w14:paraId="02F34E48" w14:textId="77777777" w:rsidR="00F05E58" w:rsidRPr="005975F3" w:rsidRDefault="00F05E58" w:rsidP="00F05E58">
      <w:pPr>
        <w:pStyle w:val="ATHeading2"/>
      </w:pPr>
      <w:bookmarkStart w:id="1" w:name="title"/>
      <w:r w:rsidRPr="005975F3">
        <w:t>Budúcnosť odvetvia biotechnológie a biovýroby v EÚ: využívanie výskumu, podpora inovácií a zvyšovanie konkurencieschopnosti</w:t>
      </w:r>
      <w:bookmarkEnd w:id="1"/>
    </w:p>
    <w:p w14:paraId="4B0EC59F" w14:textId="77777777" w:rsidR="00F05E58" w:rsidRPr="005975F3" w:rsidRDefault="00F05E58" w:rsidP="00F05E58">
      <w:pPr>
        <w:rPr>
          <w:i/>
          <w:vanish/>
        </w:rPr>
      </w:pPr>
      <w:r w:rsidRPr="005975F3">
        <w:rPr>
          <w:i/>
        </w:rPr>
        <w:fldChar w:fldCharType="begin"/>
      </w:r>
      <w:r w:rsidRPr="005975F3">
        <w:rPr>
          <w:i/>
        </w:rPr>
        <w:instrText xml:space="preserve"> TC"(</w:instrText>
      </w:r>
      <w:bookmarkStart w:id="2" w:name="DocNumber"/>
      <w:r w:rsidRPr="005975F3">
        <w:rPr>
          <w:i/>
        </w:rPr>
        <w:instrText>A10-0123/2025</w:instrText>
      </w:r>
      <w:bookmarkEnd w:id="2"/>
      <w:r w:rsidRPr="005975F3">
        <w:rPr>
          <w:i/>
        </w:rPr>
        <w:instrText xml:space="preserve"> - Spravodajkyňa: Hildegard Bentele)"\l3 \n&gt; \* MERGEFORMAT </w:instrText>
      </w:r>
      <w:r w:rsidRPr="005975F3">
        <w:rPr>
          <w:i/>
        </w:rPr>
        <w:fldChar w:fldCharType="end"/>
      </w:r>
    </w:p>
    <w:p w14:paraId="10C037B6" w14:textId="77777777" w:rsidR="00F05E58" w:rsidRPr="005975F3" w:rsidRDefault="00F05E58" w:rsidP="00F05E58">
      <w:pPr>
        <w:rPr>
          <w:vanish/>
        </w:rPr>
      </w:pPr>
      <w:bookmarkStart w:id="3" w:name="Commission"/>
      <w:r w:rsidRPr="005975F3">
        <w:rPr>
          <w:vanish/>
        </w:rPr>
        <w:t>Výbor pre priemysel, výskum a energetiku</w:t>
      </w:r>
      <w:bookmarkEnd w:id="3"/>
    </w:p>
    <w:p w14:paraId="39260E85" w14:textId="77777777" w:rsidR="00F05E58" w:rsidRPr="005975F3" w:rsidRDefault="00F05E58" w:rsidP="00F05E58">
      <w:pPr>
        <w:rPr>
          <w:vanish/>
        </w:rPr>
      </w:pPr>
      <w:bookmarkStart w:id="4" w:name="PE"/>
      <w:r w:rsidRPr="005975F3">
        <w:rPr>
          <w:vanish/>
        </w:rPr>
        <w:t>PE768.143</w:t>
      </w:r>
      <w:bookmarkEnd w:id="4"/>
    </w:p>
    <w:p w14:paraId="0407D026" w14:textId="744056CC" w:rsidR="00F05E58" w:rsidRPr="005975F3" w:rsidRDefault="00F05E58" w:rsidP="00F05E58">
      <w:pPr>
        <w:pStyle w:val="ATHeading3"/>
      </w:pPr>
      <w:bookmarkStart w:id="5" w:name="Sujet"/>
      <w:r w:rsidRPr="005975F3">
        <w:t>Uznesenie Európskeho parlamentu z</w:t>
      </w:r>
      <w:r w:rsidR="005975F3" w:rsidRPr="005975F3">
        <w:t> 10</w:t>
      </w:r>
      <w:r w:rsidRPr="005975F3">
        <w:t>. júla 2025 o budúcnosti odvetvia biotechnológie a biovýroby v EÚ: využívanie výskumu, podpora inovácií a zvyšovanie konkurencieschopnosti</w:t>
      </w:r>
      <w:bookmarkEnd w:id="5"/>
      <w:r w:rsidRPr="005975F3">
        <w:t xml:space="preserve"> </w:t>
      </w:r>
      <w:bookmarkStart w:id="6" w:name="References"/>
      <w:r w:rsidRPr="005975F3">
        <w:t>(2025/2008(INI))</w:t>
      </w:r>
      <w:bookmarkEnd w:id="6"/>
    </w:p>
    <w:p w14:paraId="006153A6" w14:textId="77777777" w:rsidR="00B94D4A" w:rsidRPr="005975F3" w:rsidRDefault="00B94D4A" w:rsidP="00B94D4A">
      <w:pPr>
        <w:pStyle w:val="EPComma"/>
      </w:pPr>
      <w:r w:rsidRPr="005975F3">
        <w:rPr>
          <w:rStyle w:val="Italic"/>
        </w:rPr>
        <w:t>Európsky parlament</w:t>
      </w:r>
      <w:r w:rsidRPr="005975F3">
        <w:t>,</w:t>
      </w:r>
    </w:p>
    <w:p w14:paraId="30D2C3C6" w14:textId="77777777" w:rsidR="00B94D4A" w:rsidRPr="005975F3" w:rsidRDefault="00B94D4A" w:rsidP="00B94D4A">
      <w:pPr>
        <w:pStyle w:val="NormalHanging12a"/>
      </w:pPr>
      <w:r w:rsidRPr="005975F3">
        <w:t>–</w:t>
      </w:r>
      <w:r w:rsidRPr="005975F3">
        <w:tab/>
        <w:t>so zreteľom na Zmluvu o fungovaní Európskej únie (ZFEÚ), najmä na jej články 9, 151, 152, 153 ods. 1 a 2, ako aj na jej články 173 a 179, ktoré sa týkajú priemyselnej politiky a výskumu EÚ a odkazujú okrem iného na konkurencieschopnosť priemyslu Únie a posilnenie vedeckej a technologickej základne Únie,</w:t>
      </w:r>
    </w:p>
    <w:p w14:paraId="20AD4CD0" w14:textId="77777777" w:rsidR="00B94D4A" w:rsidRPr="005975F3" w:rsidRDefault="00B94D4A" w:rsidP="00B94D4A">
      <w:pPr>
        <w:pStyle w:val="NormalHanging12a"/>
      </w:pPr>
      <w:r w:rsidRPr="005975F3">
        <w:t>–</w:t>
      </w:r>
      <w:r w:rsidRPr="005975F3">
        <w:tab/>
        <w:t>so zreteľom na Zmluvu o Európskej únii, najmä na jej článok 5 ods. 3 a na jej protokol č. 2 o uplatňovaní zásad subsidiarity a proporcionality,</w:t>
      </w:r>
    </w:p>
    <w:p w14:paraId="33688D2C" w14:textId="77777777" w:rsidR="00B94D4A" w:rsidRPr="005975F3" w:rsidRDefault="00B94D4A" w:rsidP="00B94D4A">
      <w:pPr>
        <w:pStyle w:val="NormalHanging12a"/>
      </w:pPr>
      <w:r w:rsidRPr="005975F3">
        <w:t>–</w:t>
      </w:r>
      <w:r w:rsidRPr="005975F3">
        <w:tab/>
        <w:t>so zreteľom na oznámenie Komisie z 20. marca 2024 s názvom Budovanie budúcnosti v spojení s prírodou: podpora biotechnológií a biovýroby v EÚ (</w:t>
      </w:r>
      <w:hyperlink r:id="rId9" w:history="1">
        <w:r w:rsidRPr="005975F3">
          <w:rPr>
            <w:rStyle w:val="Hyperlink"/>
          </w:rPr>
          <w:t>COM(2024)0137</w:t>
        </w:r>
      </w:hyperlink>
      <w:r w:rsidRPr="005975F3">
        <w:t>),</w:t>
      </w:r>
    </w:p>
    <w:p w14:paraId="4CFCA102" w14:textId="77777777" w:rsidR="00B94D4A" w:rsidRPr="005975F3" w:rsidRDefault="00B94D4A" w:rsidP="00B94D4A">
      <w:pPr>
        <w:pStyle w:val="NormalHanging12a"/>
      </w:pPr>
      <w:r w:rsidRPr="005975F3">
        <w:t>–</w:t>
      </w:r>
      <w:r w:rsidRPr="005975F3">
        <w:tab/>
        <w:t>so zreteľom na správu Maria Draghiho z 9. septembra 2024 s názvom Budúcnosť európskej konkurencieschopnosti,</w:t>
      </w:r>
    </w:p>
    <w:p w14:paraId="12B9A345" w14:textId="77777777" w:rsidR="00B94D4A" w:rsidRPr="005975F3" w:rsidRDefault="00B94D4A" w:rsidP="00B94D4A">
      <w:pPr>
        <w:pStyle w:val="NormalHanging12a"/>
      </w:pPr>
      <w:r w:rsidRPr="005975F3">
        <w:t>–</w:t>
      </w:r>
      <w:r w:rsidRPr="005975F3">
        <w:tab/>
        <w:t>so zreteľom na oznámenie Komisie z 29. januára 2025 s názvom Kompas konkurencieschopnosti pre EÚ (</w:t>
      </w:r>
      <w:hyperlink r:id="rId10" w:history="1">
        <w:r w:rsidRPr="005975F3">
          <w:rPr>
            <w:rStyle w:val="Hyperlink"/>
          </w:rPr>
          <w:t>COM(2025)0030</w:t>
        </w:r>
      </w:hyperlink>
      <w:r w:rsidRPr="005975F3">
        <w:t>),</w:t>
      </w:r>
    </w:p>
    <w:p w14:paraId="76B943DD" w14:textId="77777777" w:rsidR="00B94D4A" w:rsidRPr="005975F3" w:rsidRDefault="00B94D4A" w:rsidP="00B94D4A">
      <w:pPr>
        <w:pStyle w:val="NormalHanging12a"/>
      </w:pPr>
      <w:r w:rsidRPr="005975F3">
        <w:t>–</w:t>
      </w:r>
      <w:r w:rsidRPr="005975F3">
        <w:tab/>
        <w:t>so zreteľom na oznámenie Komisie z 26. februára 2025 s názvom Dohoda o čistom priemysle: spoločný plán konkurencieschopnosti a dekarbonizácie (</w:t>
      </w:r>
      <w:hyperlink r:id="rId11" w:history="1">
        <w:r w:rsidRPr="005975F3">
          <w:rPr>
            <w:rStyle w:val="Hyperlink"/>
          </w:rPr>
          <w:t>COM(2025)0085</w:t>
        </w:r>
      </w:hyperlink>
      <w:r w:rsidRPr="005975F3">
        <w:t>),</w:t>
      </w:r>
    </w:p>
    <w:p w14:paraId="3C6D5F29" w14:textId="77777777" w:rsidR="00B94D4A" w:rsidRPr="005975F3" w:rsidRDefault="00B94D4A" w:rsidP="00B94D4A">
      <w:pPr>
        <w:pStyle w:val="NormalHanging12a"/>
      </w:pPr>
      <w:r w:rsidRPr="005975F3">
        <w:t>–</w:t>
      </w:r>
      <w:r w:rsidRPr="005975F3">
        <w:tab/>
        <w:t>so zreteľom na oznámenie Komisie z 11. decembra 2019 s názvom Európska zelená dohoda (COM(2019)0640),</w:t>
      </w:r>
    </w:p>
    <w:p w14:paraId="4AE874B2" w14:textId="77777777" w:rsidR="00B94D4A" w:rsidRPr="005975F3" w:rsidRDefault="00B94D4A" w:rsidP="00B94D4A">
      <w:pPr>
        <w:pStyle w:val="NormalHanging12a"/>
      </w:pPr>
      <w:r w:rsidRPr="005975F3">
        <w:t>–</w:t>
      </w:r>
      <w:r w:rsidRPr="005975F3">
        <w:tab/>
        <w:t>so zreteľom na správu Enrica Lettu z 10. apríla 2024 s názvom Oveľa viac než len trh,</w:t>
      </w:r>
    </w:p>
    <w:p w14:paraId="52D1B178" w14:textId="75A6050B" w:rsidR="00B94D4A" w:rsidRPr="005975F3" w:rsidRDefault="00B94D4A" w:rsidP="00B94D4A">
      <w:pPr>
        <w:pStyle w:val="NormalHanging12a"/>
      </w:pPr>
      <w:r w:rsidRPr="005975F3">
        <w:t>–</w:t>
      </w:r>
      <w:r w:rsidRPr="005975F3">
        <w:tab/>
        <w:t xml:space="preserve">so zreteľom na oznámenie Komisie z 19. februára 2025 s názvom Vízia pre poľnohospodárstvo a potravinárstvo – Spoločné formovanie atraktívneho poľnohospodárstva a potravinárstva EÚ pre budúce generácie </w:t>
      </w:r>
      <w:r w:rsidR="005975F3">
        <w:t>(</w:t>
      </w:r>
      <w:r w:rsidRPr="005975F3">
        <w:t>COM(2025)0075</w:t>
      </w:r>
      <w:r w:rsidR="005975F3">
        <w:t>)</w:t>
      </w:r>
      <w:r w:rsidRPr="005975F3">
        <w:t>,</w:t>
      </w:r>
    </w:p>
    <w:p w14:paraId="51923C82" w14:textId="77777777" w:rsidR="00B94D4A" w:rsidRPr="005975F3" w:rsidRDefault="00B94D4A" w:rsidP="00B94D4A">
      <w:pPr>
        <w:pStyle w:val="NormalHanging12a"/>
      </w:pPr>
      <w:r w:rsidRPr="005975F3">
        <w:lastRenderedPageBreak/>
        <w:t>–</w:t>
      </w:r>
      <w:r w:rsidRPr="005975F3">
        <w:tab/>
        <w:t>so zreteľom na článok 55 a článok 148 ods. 2 rokovacieho poriadku,</w:t>
      </w:r>
    </w:p>
    <w:p w14:paraId="722820FD" w14:textId="77777777" w:rsidR="00B94D4A" w:rsidRPr="005975F3" w:rsidRDefault="00B94D4A" w:rsidP="00B94D4A">
      <w:pPr>
        <w:pStyle w:val="NormalHanging12a"/>
      </w:pPr>
      <w:r w:rsidRPr="005975F3">
        <w:t>–</w:t>
      </w:r>
      <w:r w:rsidRPr="005975F3">
        <w:tab/>
        <w:t>so zreteľom na správu Výboru pre priemysel, výskum a energetiku (A10-0123/2025),</w:t>
      </w:r>
    </w:p>
    <w:p w14:paraId="08867AFB" w14:textId="77777777" w:rsidR="00B94D4A" w:rsidRPr="005975F3" w:rsidRDefault="00B94D4A" w:rsidP="00B94D4A">
      <w:pPr>
        <w:pStyle w:val="NormalHanging12a"/>
        <w:ind w:left="720" w:hanging="720"/>
      </w:pPr>
      <w:r w:rsidRPr="005975F3">
        <w:t>A.</w:t>
      </w:r>
      <w:r w:rsidRPr="005975F3">
        <w:tab/>
        <w:t>keďže odvetvie biotechnológie a biovýroby EÚ bolo uznané za jedno z 10 strategických technologických odvetví pre konkurencieschopnosť, hospodársku bezpečnosť a udržateľnosť Európy; keďže toto odvetvie sa vyznačuje veľmi vysokou produktivitou, rastom a zamestnanosťou a prináša globálne konkurencieschopné, špičkové riešenia v oblasti zdravotnej starostlivosti, vied o živej prírode, priemyselnej výroby a transformácie, udržateľnej biovýroby a energetickej a potravinovej bezpečnosti; keďže biotechnológie a biovýroba sú dôležitými faktormi pre biohospodárstvo vo všeobecnosti; keďže biotechnológia a biovýroba môže pomôcť zvýšiť strategickú autonómiu, odolnosť a obehový charakter EÚ znížením závislosti priemyslu od fosílnych vstupov a iných vonkajších závislostí v rôznych sektoroch; keďže odvetvie biotechnológie a biovýroby stále čelí regulačným a finančným prekážkam a nedokončenému vnútornému trhu; keďže sa očakáva, že Komisia predloží akt EÚ o biotechnológiách, aktualizovanú stratégiu EÚ pre biohospodárstvo, stratégiu EÚ pre vedy o živej prírode, akt EÚ o inováciách a akt EÚ o obehovom hospodárstve;</w:t>
      </w:r>
    </w:p>
    <w:p w14:paraId="2A28A668" w14:textId="77777777" w:rsidR="00B94D4A" w:rsidRPr="005975F3" w:rsidRDefault="00B94D4A" w:rsidP="00B94D4A">
      <w:pPr>
        <w:pStyle w:val="NormalHanging12a"/>
        <w:ind w:left="720" w:hanging="720"/>
      </w:pPr>
      <w:r w:rsidRPr="005975F3">
        <w:t>B.</w:t>
      </w:r>
      <w:r w:rsidRPr="005975F3">
        <w:tab/>
        <w:t>keďže podľa Organizácie pre hospodársku spoluprácu a rozvoj (OECD) je biotechnológia definovaná ako uplatňovanie vedy a techniky na živé organizmy, ako aj na ich časti, výrobky a modely s cieľom zmeniť živé alebo neživé materiály na tvorbu poznatkov, tovarov a služieb; keďže biovýroba nie je jasne vymedzená a Komisia by preto mala navrhnúť takúto definíciu; keďže definícia biovýroby by mala byť nadčasová, otvorená vedeckému a technologickému vývoju a technologicky neutrálna, aby v širšom zmysle zahŕňala využívanie biotechnológií alebo iných technológií na výrobu produktov a riešení z materiálov z biologických zdrojov, okrem iného vrátane chemických, mechanických alebo tepelných procesov;</w:t>
      </w:r>
    </w:p>
    <w:p w14:paraId="7484B899" w14:textId="77777777" w:rsidR="00B94D4A" w:rsidRPr="005975F3" w:rsidRDefault="00B94D4A" w:rsidP="00B94D4A">
      <w:pPr>
        <w:pStyle w:val="NormalHanging12a"/>
        <w:ind w:left="720" w:hanging="720"/>
      </w:pPr>
      <w:r w:rsidRPr="005975F3">
        <w:t>C.</w:t>
      </w:r>
      <w:r w:rsidRPr="005975F3">
        <w:tab/>
        <w:t>keďže odvetvie biotechnológie a biovýroby viedli vývoj a zavádzanie prelomových inovácií v zdravotníctve, ako sú vakcíny na báze mRNA; keďže biotechnologické procesy sa môžu použiť na výrobu aktívnych farmaceutických zložiek a kľúčových výrobných vstupov pre lieky;</w:t>
      </w:r>
    </w:p>
    <w:p w14:paraId="22AAB71A" w14:textId="29EBB7B5" w:rsidR="00B94D4A" w:rsidRPr="005975F3" w:rsidRDefault="00B94D4A" w:rsidP="00B94D4A">
      <w:pPr>
        <w:pStyle w:val="NormalHanging12a"/>
        <w:ind w:left="720" w:hanging="720"/>
      </w:pPr>
      <w:r w:rsidRPr="005975F3">
        <w:t>D.</w:t>
      </w:r>
      <w:r w:rsidRPr="005975F3">
        <w:tab/>
        <w:t xml:space="preserve">keďže pandémia </w:t>
      </w:r>
      <w:r w:rsidR="005975F3">
        <w:t xml:space="preserve">ochorenia </w:t>
      </w:r>
      <w:r w:rsidRPr="005975F3">
        <w:t>COVID-19 poukázala na význam pevných hodnotových reťazcov surovín a výrobných kapacít v Európe, aby sa zaistila bezpečnosť dodávok kritických výrobkov a zmiernil nedostatok, napríklad základných liekov;</w:t>
      </w:r>
    </w:p>
    <w:p w14:paraId="0A3F1B1E" w14:textId="77777777" w:rsidR="00B94D4A" w:rsidRPr="005975F3" w:rsidRDefault="00B94D4A" w:rsidP="00B94D4A">
      <w:pPr>
        <w:pStyle w:val="NormalHanging12a"/>
        <w:ind w:left="720" w:hanging="720"/>
      </w:pPr>
      <w:r w:rsidRPr="005975F3">
        <w:t>E.</w:t>
      </w:r>
      <w:r w:rsidRPr="005975F3">
        <w:tab/>
        <w:t>keďže umelá inteligencia môže pomôcť stimulovať inovácie v oblasti biotechnológií, napr. v oblasti personalizovanej medicíny a objavovania liekov, čo prinesie výhody pre zdravie a životné prostredie; keďže používanie umelej inteligencie v biotechnológiách môže predstavovať aj etické výzvy a riziká súvisiace s ochranou súkromných údajov, ktoré je potrebné riešiť v záujme zachovania dôvery a prijatia zo strany verejnosti;</w:t>
      </w:r>
    </w:p>
    <w:p w14:paraId="320009FE" w14:textId="77777777" w:rsidR="00B94D4A" w:rsidRPr="005975F3" w:rsidRDefault="00B94D4A" w:rsidP="00B94D4A">
      <w:pPr>
        <w:pStyle w:val="NormalHanging12a"/>
        <w:ind w:left="720" w:hanging="720"/>
      </w:pPr>
      <w:r w:rsidRPr="005975F3">
        <w:t>F.</w:t>
      </w:r>
      <w:r w:rsidRPr="005975F3">
        <w:tab/>
        <w:t>keďže biotechnológie sa uplatňujú v rôznych aspektoch živočíšneho a rastlinného poľnohospodárstva a tiež nepriamo prostredníctvom ich úlohy v činnostiach, ako je odpadové hospodárstvo;</w:t>
      </w:r>
    </w:p>
    <w:p w14:paraId="468C22AD" w14:textId="77777777" w:rsidR="00B94D4A" w:rsidRPr="005975F3" w:rsidRDefault="00B94D4A" w:rsidP="00B94D4A">
      <w:pPr>
        <w:pStyle w:val="NormalHanging12a"/>
        <w:ind w:left="720" w:hanging="720"/>
      </w:pPr>
      <w:r w:rsidRPr="005975F3">
        <w:lastRenderedPageBreak/>
        <w:t>G.</w:t>
      </w:r>
      <w:r w:rsidRPr="005975F3">
        <w:tab/>
        <w:t>keďže biotechnológia môže posilniť odolnosť lesov a v prípade biovýroby môže lesnícky sektor ponúknuť obnoviteľné a recyklovateľné suroviny vyrobené udržateľným spôsobom, ktoré možno použiť v inovatívnych produktoch, materiáloch a aplikáciách s vysokou hodnotou;</w:t>
      </w:r>
    </w:p>
    <w:p w14:paraId="091B12AE" w14:textId="2F270E8A" w:rsidR="00B94D4A" w:rsidRPr="005975F3" w:rsidRDefault="00B94D4A" w:rsidP="00B94D4A">
      <w:pPr>
        <w:pStyle w:val="NormalHanging12a"/>
        <w:ind w:left="720" w:hanging="720"/>
      </w:pPr>
      <w:r w:rsidRPr="005975F3">
        <w:t>H.</w:t>
      </w:r>
      <w:r w:rsidRPr="005975F3">
        <w:tab/>
        <w:t xml:space="preserve">keďže EÚ je svetovým lídrom v oblasti výskumu a biovýrobných kapacít, ale jej potenciál zostáva nevyužitý v dôsledku nedostatočne koordinovaného politického rámca, ktorý by umožňoval efektívne rozširovanie inovácií, prilákanie investícií a zavádzanie nových technológií; keďže prístup založený na zásade rovnováhy záťaže zabezpečuje, aby sa brali do úvahy všetky záťaže zavedené iniciatívami Komisie a administratívna záťaž sa kompenzuje odstránením záťaže rovnocennej váhy v tej istej oblasti politiky na úrovni EÚ alebo členských štátov; keďže </w:t>
      </w:r>
      <w:r w:rsidR="001568E5" w:rsidRPr="005975F3">
        <w:t>Európsky p</w:t>
      </w:r>
      <w:r w:rsidRPr="005975F3">
        <w:t>arlament vyzval na zdvojnásobenie rozpočtu EÚ na výskum; keďže súkromné investície EÚ do výskumu, vývoja a inovácií zaostávajú za ostatnými veľkými ekonomikami; keďže podpora investícií do priekopníckych demonštračných a komerčných výrobných zariadení môže urýchliť komercializáciu inovácií EÚ v odvetviach biopriemyslu;</w:t>
      </w:r>
    </w:p>
    <w:p w14:paraId="6EA849CA" w14:textId="77777777" w:rsidR="00B94D4A" w:rsidRPr="005975F3" w:rsidRDefault="00B94D4A" w:rsidP="00B94D4A">
      <w:pPr>
        <w:pStyle w:val="NormalHanging12a"/>
        <w:ind w:left="720" w:hanging="720"/>
      </w:pPr>
      <w:r w:rsidRPr="005975F3">
        <w:t>I.</w:t>
      </w:r>
      <w:r w:rsidRPr="005975F3">
        <w:tab/>
        <w:t>keďže v najbližších rokoch je potrebné prijať naliehavé, súdržné a dôsledné opatrenia, aby sa EÚ stala svetovým lídrom v oblasti biotechnológií, biovýroby a vied o živej prírode, a aby dosiahla odvážnu úroveň zmeny v súlade s riadnym procesom a s podporou kontrol konkurencieschopnosti a primeraného financovania;</w:t>
      </w:r>
    </w:p>
    <w:p w14:paraId="4923CD82" w14:textId="77777777" w:rsidR="00B94D4A" w:rsidRPr="005975F3" w:rsidRDefault="00B94D4A" w:rsidP="00B94D4A">
      <w:pPr>
        <w:pStyle w:val="NormalHanging12a"/>
        <w:ind w:left="720" w:hanging="720"/>
      </w:pPr>
      <w:r w:rsidRPr="005975F3">
        <w:t>J.</w:t>
      </w:r>
      <w:r w:rsidRPr="005975F3">
        <w:tab/>
        <w:t>keďže zdĺhavé a zložité schvaľovacie postupy, najmä pokiaľ ide o lehoty schvaľovania, predstavujú konkurenčnú nevýhodu pre subjekty z EÚ, vyháňajú predkladateľov projektov mimo EÚ a bránia priemyselnému nasadeniu a rastu;</w:t>
      </w:r>
    </w:p>
    <w:p w14:paraId="7D8FC944" w14:textId="77777777" w:rsidR="00B94D4A" w:rsidRPr="005975F3" w:rsidRDefault="00B94D4A" w:rsidP="00B94D4A">
      <w:pPr>
        <w:pStyle w:val="NormalHanging12a"/>
        <w:ind w:left="720" w:hanging="720"/>
      </w:pPr>
      <w:r w:rsidRPr="005975F3">
        <w:t>K.</w:t>
      </w:r>
      <w:r w:rsidRPr="005975F3">
        <w:tab/>
        <w:t>keďže súčasné regulačné rámce EÚ nezohľadňujú špecifiká výrobkov z biologického materiálu; keďže je potrebné urýchlene riešiť existujúce regulačné postupy povoľovania biotechnologických výrobkov, aby sa zabezpečilo, že EÚ zostane globálne konkurencieschopná; keďže účinný regulačný rámec pre vykonávanie klinického výskumu je nevyhnutný pre konkurencieschopnosť farmaceutického a biotechnologického odvetvia EÚ, ktoré je najviac náročné na inovácie; keďže Komisia by mala zohľadniť regulačné rámce krajín mimo EÚ, ktoré majú vedúce postavenie v odvetví biotechnológií a biovýroby, v kontexte existujúcich a budúcich právnych predpisov EÚ vzťahujúcich sa na toto odvetvie s cieľom zabezpečiť kompatibilitu bez toho, aby sa znížili existujúce bezpečnostné a environmentálne normy EÚ;</w:t>
      </w:r>
    </w:p>
    <w:p w14:paraId="10293C21" w14:textId="77777777" w:rsidR="00B94D4A" w:rsidRPr="005975F3" w:rsidRDefault="00B94D4A" w:rsidP="00B94D4A">
      <w:pPr>
        <w:pStyle w:val="NormalHanging12a"/>
        <w:ind w:left="720" w:hanging="720"/>
      </w:pPr>
      <w:r w:rsidRPr="005975F3">
        <w:t>L.</w:t>
      </w:r>
      <w:r w:rsidRPr="005975F3">
        <w:tab/>
        <w:t>keďže investície EÚ do biotechnológie a biovýroby a ekosystém rizikového kapitálu sú naďalej roztrieštené; keďže vysoké ceny energie, regulačné zaťaženie, prekážky a nedostatok dostupných kľúčových surovín, surovín a komponentov obmedzujú schopnosť startupov a iných malých a stredných podnikov (MSP) rozširovať sa a obmedzujú rozsiahle zavádzanie; keďže biovýrobná kapacita EÚ a odolnosť dodávateľského reťazca vrátane dostupnosti surovín majú zásadný význam pre zníženie závislosti od subjektov mimo EÚ; keďže efektívne globálne dodávateľské reťazce vrátane strategických partnerstiev so spoľahlivými globálnymi aktérmi sú rovnako dôležité na zabezpečenie stabilného prístupu ku kritickým zdrojom, zabránenie narušeniam dodávok a podporu neustálych inovácií v oblasti základných technológií;</w:t>
      </w:r>
    </w:p>
    <w:p w14:paraId="18F46C5F" w14:textId="77777777" w:rsidR="00B94D4A" w:rsidRPr="005975F3" w:rsidRDefault="00B94D4A" w:rsidP="00B94D4A">
      <w:pPr>
        <w:pStyle w:val="NormalHanging12a"/>
        <w:ind w:left="720" w:hanging="720"/>
      </w:pPr>
      <w:r w:rsidRPr="005975F3">
        <w:t>M.</w:t>
      </w:r>
      <w:r w:rsidRPr="005975F3">
        <w:tab/>
        <w:t xml:space="preserve">keďže na výrobu polymérov, plastov, rozpúšťadiel, farieb, detergentov, kozmetiky a liekov, by sa mohli ako alternatívne suroviny používať východiskové suroviny z </w:t>
      </w:r>
      <w:r w:rsidRPr="005975F3">
        <w:lastRenderedPageBreak/>
        <w:t>biologického materiálu, ako je biomasa získavaná udržateľným spôsobom, recyklovaný odpad a zachytený CO</w:t>
      </w:r>
      <w:r w:rsidRPr="005975F3">
        <w:rPr>
          <w:vertAlign w:val="subscript"/>
        </w:rPr>
        <w:t>2</w:t>
      </w:r>
      <w:r w:rsidRPr="005975F3">
        <w:t xml:space="preserve"> z biogénnych zdrojov, čo by prispelo k znižovaniu emisií, efektívnemu využívaniu zdrojov a strategickej autonómii EÚ; keďže EÚ by mohla ďalej stimulovať dopyt na trhu a zavádzanie udržateľných výrobkov z biologického materiálu a materiálov na trhu;</w:t>
      </w:r>
    </w:p>
    <w:p w14:paraId="73EE3CB2" w14:textId="77777777" w:rsidR="00B94D4A" w:rsidRPr="005975F3" w:rsidRDefault="00B94D4A" w:rsidP="00B94D4A">
      <w:pPr>
        <w:pStyle w:val="NormalHanging12a"/>
        <w:ind w:left="720" w:hanging="720"/>
      </w:pPr>
      <w:r w:rsidRPr="005975F3">
        <w:t>N.</w:t>
      </w:r>
      <w:r w:rsidRPr="005975F3">
        <w:tab/>
        <w:t>keďže je nevyhnutné zvýšiť využívanie udržateľných biologických surovín ako súčasť prostriedkov na dosiahnutie cieľov EÚ v oblasti klímy do roku 2050; keďže biotechnológie majú potenciál transformovať rafinérsky a chemický priemysel smerom k biovýrobe, čím by sa znížili emisie skleníkových plynov v súlade s cieľmi EÚ v oblasti klímy;</w:t>
      </w:r>
    </w:p>
    <w:p w14:paraId="159B5DBF" w14:textId="77777777" w:rsidR="00B94D4A" w:rsidRPr="005975F3" w:rsidRDefault="00B94D4A" w:rsidP="00B94D4A">
      <w:pPr>
        <w:pStyle w:val="NormalHanging12a"/>
        <w:ind w:left="720" w:hanging="720"/>
      </w:pPr>
      <w:r w:rsidRPr="005975F3">
        <w:t>O.</w:t>
      </w:r>
      <w:r w:rsidRPr="005975F3">
        <w:tab/>
        <w:t>keďže biotechnológie a biovýroba sú regulované v mnohých rôznych regulačných rámcoch; keďže súčasné regulačné rámce EÚ pre biotechnológiu a biovýrobu sú v jednotlivých odvetviach nekonzistentné, čo vytvára právnu neistotu a spomaľuje prístup inovačných riešení na trh; keďže je potrebné urýchlene riešiť a zlepšiť zdĺhavé povoľovacie procesy, najmä lehoty na schválenie, a zároveň zachovať prístup založený na riziku a vedeckých poznatkoch, aby bolo možné konkurovať príslušným lehotám mimo EÚ; keďže využívanie experimentálneho regulačného prostredia by sa malo rozšíriť, aby sa zabezpečila jasná cesta rozvoja pre vznikajúce technológie; keďže nové celoúnijné nariadenie vo forme aktu EÚ o biotechnológiách by malo byť riadne odôvodnené príkladmi konkrétnych medzier a nedostatkov v súčasných právnych predpisoch a ich vykonávaní so zameraním na osobitosti priemyslu;</w:t>
      </w:r>
    </w:p>
    <w:p w14:paraId="04681D37" w14:textId="77777777" w:rsidR="00B94D4A" w:rsidRPr="005975F3" w:rsidRDefault="00B94D4A" w:rsidP="00B94D4A">
      <w:pPr>
        <w:pStyle w:val="NormalHanging12a"/>
        <w:ind w:left="720" w:hanging="720"/>
      </w:pPr>
      <w:r w:rsidRPr="005975F3">
        <w:t>P.</w:t>
      </w:r>
      <w:r w:rsidRPr="005975F3">
        <w:tab/>
        <w:t>keďže je nevyhnutné vytvoriť súdržný, spoľahlivý a nadčasový rámec duševného vlastníctva, ktorý by v ideálnom prípade priniesol hospodárske, environmentálne a spoločenské výhody;</w:t>
      </w:r>
    </w:p>
    <w:p w14:paraId="29357CA1" w14:textId="77777777" w:rsidR="00B94D4A" w:rsidRPr="005975F3" w:rsidRDefault="00B94D4A" w:rsidP="00B94D4A">
      <w:pPr>
        <w:pStyle w:val="NormalHanging12a"/>
        <w:ind w:left="720" w:hanging="720"/>
      </w:pPr>
      <w:r w:rsidRPr="005975F3">
        <w:t>Q.</w:t>
      </w:r>
      <w:r w:rsidRPr="005975F3">
        <w:tab/>
        <w:t>keďže informovanosť verejnosti o biotechnológiách a biovýrobkoch v EÚ by sa mala ďalej posilňovať, aby sa posilnila ich akceptácia verejnosťou; keďže etické aspekty biotechnológie treba zvažovať; keďže konzultácie so zainteresovanými stranami zohrávajú kľúčovú úlohu pri formovaní zodpovedných a etických politík v oblasti biotechnológií; keďže občianska spoločnosť môže zohrávať zásadnú úlohu pri získaní dôvery verejnosti;</w:t>
      </w:r>
    </w:p>
    <w:p w14:paraId="03FB086E" w14:textId="77777777" w:rsidR="00B94D4A" w:rsidRPr="005975F3" w:rsidRDefault="00B94D4A" w:rsidP="00B94D4A">
      <w:pPr>
        <w:pStyle w:val="NormalHanging12a"/>
        <w:ind w:left="720" w:hanging="720"/>
      </w:pPr>
      <w:r w:rsidRPr="005975F3">
        <w:t>R.</w:t>
      </w:r>
      <w:r w:rsidRPr="005975F3">
        <w:tab/>
        <w:t>keďže inžinierstvo DNA a organizmov sa čoraz častejšie vykonáva v automatizovaných biofondoch, ktoré produkujú množstvo údajov a zlepšených návrhov a poznatkov o biologických funkciách;</w:t>
      </w:r>
    </w:p>
    <w:p w14:paraId="507F1291" w14:textId="77777777" w:rsidR="00B94D4A" w:rsidRPr="005975F3" w:rsidRDefault="00B94D4A" w:rsidP="00B94D4A">
      <w:pPr>
        <w:pStyle w:val="NormalHanging12a"/>
        <w:ind w:left="720" w:hanging="720"/>
      </w:pPr>
      <w:r w:rsidRPr="005975F3">
        <w:t>S.</w:t>
      </w:r>
      <w:r w:rsidRPr="005975F3">
        <w:tab/>
        <w:t>keďže regulačný rámec EÚ musí riadne riešiť vyvíjajúce sa riziká, príležitosti a oblasti zodpovednosti spojené s manipuláciou s biologickým materiálom, obchodovaním s ním a jeho syntézou, najmä v kontexte syntetickej biológie; keďže EÚ a medzinárodná spolupráca musia riešiť existujúce nedostatky v oblasti biologickej bezpečnosti;</w:t>
      </w:r>
    </w:p>
    <w:p w14:paraId="35F81DC4" w14:textId="77777777" w:rsidR="00B94D4A" w:rsidRPr="005975F3" w:rsidRDefault="00B94D4A" w:rsidP="00B94D4A">
      <w:pPr>
        <w:pStyle w:val="Normal12a24b"/>
      </w:pPr>
      <w:r w:rsidRPr="005975F3">
        <w:rPr>
          <w:rStyle w:val="BoldItalic"/>
        </w:rPr>
        <w:t>Kritériá komplexného aktu EÚ o biotechnológiách</w:t>
      </w:r>
    </w:p>
    <w:p w14:paraId="0A9AC0EC" w14:textId="77777777" w:rsidR="00B94D4A" w:rsidRPr="005975F3" w:rsidRDefault="00B94D4A" w:rsidP="00B94D4A">
      <w:pPr>
        <w:pStyle w:val="NormalHanging12a"/>
      </w:pPr>
      <w:r w:rsidRPr="005975F3">
        <w:t>1.</w:t>
      </w:r>
      <w:r w:rsidRPr="005975F3">
        <w:tab/>
        <w:t xml:space="preserve">zdôrazňuje rastový potenciál európskeho biotechnologického a biovýrobného odvetvia a že je nutné, aby EÚ zostala v tejto oblasti svetovým lídrom; zdôrazňuje záväzok dodržiavať zásady lepšej právnej regulácie a tvorby právnych predpisov, zjednodušenia a znižovania administratívnej záťaže; zdôrazňuje, že zjednodušenie právnych predpisov EÚ nesmie ohroziť žiadne zo základných práv občanov, pracovníkov a podnikov ani </w:t>
      </w:r>
      <w:r w:rsidRPr="005975F3">
        <w:lastRenderedPageBreak/>
        <w:t>ohroziť regulačnú neistotu; domnieva sa, že akýkoľvek návrh na zjednodušenie by nemal byť unáhlený ani navrhnutý bez náležitej úvahy, konzultácií a posúdení vplyvu; žiada preto Komisiu, aby v prípade, že navrhne nové celoeurópske nariadenie vo forme aktu EÚ o biotechnológiách, riešila konkrétne medzery a nedostatky v súčasných právnych predpisoch a ich vykonávaní a predložila právne predpisy, ktoré bude možné revidovať, zjednodušiť, zefektívniť, zrušiť a ktoré znížia byrokratickú záťaž, pričom by sa mala zamerať na špecifiká tohto odvetvia a zachovať príslušné normy bezpečnosti a ochrany; žiada, aby mal akt EÚ o biotechnológiách komplexný medziodvetvový rozsah pôsobnosti a aby ho sprevádzalo posúdenie vplyvu a nákladov, kontroly konkurencieschopnosti, ako aj komplexné posúdenie výborom pre kontrolu regulácie, pričom by sa mal náležite zohľadniť vplyv na MSP, startupy a scaleupy, ako aj interakcia s inými príslušnými legislatívnymi a nelegislatívnymi iniciatívami vrátane návrhov, ktoré sú v súčasnosti predmetom spoločného legislatívneho postupu;</w:t>
      </w:r>
    </w:p>
    <w:p w14:paraId="6DE7D39B" w14:textId="77777777" w:rsidR="00B94D4A" w:rsidRPr="005975F3" w:rsidRDefault="00B94D4A" w:rsidP="00B94D4A">
      <w:pPr>
        <w:pStyle w:val="NormalHanging12a"/>
      </w:pPr>
      <w:r w:rsidRPr="005975F3">
        <w:t>2.</w:t>
      </w:r>
      <w:r w:rsidRPr="005975F3">
        <w:tab/>
        <w:t>pripomína, že podľa OECD je biotechnológia definovaná ako uplatňovanie vedy a techniky na živé organizmy, ako aj na ich časti, výrobky a modely s cieľom zmeniť živé alebo neživé materiály na tvorbu poznatkov, tovarov a služieb; konštatuje však, že biovýroba nie je jasne vymedzená, a vyzýva Komisiu, aby takúto definíciu navrhla;</w:t>
      </w:r>
    </w:p>
    <w:p w14:paraId="71ADD226" w14:textId="77777777" w:rsidR="00B94D4A" w:rsidRPr="005975F3" w:rsidRDefault="00B94D4A" w:rsidP="00B94D4A">
      <w:pPr>
        <w:pStyle w:val="NormalHanging12a"/>
      </w:pPr>
      <w:r w:rsidRPr="005975F3">
        <w:t>3.</w:t>
      </w:r>
      <w:r w:rsidRPr="005975F3">
        <w:tab/>
        <w:t>odporúča zefektívniť a harmonizovať existujúce a nadchádzajúce iniciatívy týkajúce sa biotechnológií a biovýroby s cieľom posilniť odvetvie biotechnológie a biovýroby prostredníctvom jasných priemyselných, výskumných a vývojových kompetencií;</w:t>
      </w:r>
    </w:p>
    <w:p w14:paraId="3463EAED" w14:textId="77777777" w:rsidR="00B94D4A" w:rsidRPr="005975F3" w:rsidRDefault="00B94D4A" w:rsidP="00B94D4A">
      <w:pPr>
        <w:pStyle w:val="NormalHanging12a"/>
      </w:pPr>
      <w:r w:rsidRPr="005975F3">
        <w:t>4.</w:t>
      </w:r>
      <w:r w:rsidRPr="005975F3">
        <w:tab/>
        <w:t>vyzýva Komisiu, aby zabezpečila súdržnosť a konzistentnosť všetkých iniciatív a legislatívnych opatrení, ktoré môžu ovplyvniť biotechnologické a biovýrobné inovácie a spoločnosti, najmä startupy a scaleupy;</w:t>
      </w:r>
    </w:p>
    <w:p w14:paraId="783847F5" w14:textId="77777777" w:rsidR="00B94D4A" w:rsidRPr="005975F3" w:rsidRDefault="00B94D4A" w:rsidP="00B94D4A">
      <w:pPr>
        <w:pStyle w:val="NormalHanging12a"/>
      </w:pPr>
      <w:r w:rsidRPr="005975F3">
        <w:t>5.</w:t>
      </w:r>
      <w:r w:rsidRPr="005975F3">
        <w:tab/>
        <w:t>vyzýva Komisiu, aby zabezpečila, že všetky budúce relevantné legislatívne iniciatívy budú mať dostatočne široký rozsah pôsobnosti, aby zachytili celú šírku odvetvia biotechnológie a biovýroby a celú škálu jeho využitia; odporúča uľahčiť rýchle a účinné zavádzanie biotechnológií a biovýroby prostredníctvom jasných regulačných rámcov;</w:t>
      </w:r>
    </w:p>
    <w:p w14:paraId="222D753F" w14:textId="77777777" w:rsidR="00B94D4A" w:rsidRPr="005975F3" w:rsidRDefault="00B94D4A" w:rsidP="00B94D4A">
      <w:pPr>
        <w:pStyle w:val="NormalHanging12a"/>
      </w:pPr>
      <w:r w:rsidRPr="005975F3">
        <w:t>6.</w:t>
      </w:r>
      <w:r w:rsidRPr="005975F3">
        <w:tab/>
        <w:t>vyzýva Komisiu, aby v rámci svojich štruktúr zaviedla opatrenia s cieľom zabezpečiť koordináciu, súdržnosť a komplementárnosť medzi príslušnými generálnymi riaditeľstvami a umožniť účinnejšie rozširovanie a komercializáciu výsledkov výskumu, vývoja a inovácií; zdôrazňuje význam úsilia o zlepšenie súdržnosti a koordinácie politík na vnútroštátnej úrovni;</w:t>
      </w:r>
    </w:p>
    <w:p w14:paraId="44F7B373" w14:textId="77777777" w:rsidR="00B94D4A" w:rsidRPr="005975F3" w:rsidRDefault="00B94D4A" w:rsidP="00B94D4A">
      <w:pPr>
        <w:pStyle w:val="NormalHanging12a"/>
      </w:pPr>
      <w:r w:rsidRPr="005975F3">
        <w:t>7.</w:t>
      </w:r>
      <w:r w:rsidRPr="005975F3">
        <w:tab/>
        <w:t>vyzýva Komisiu, aby v kontexte existujúcich a budúcich právnych predpisov EÚ vzťahujúcich sa na odvetvie biotechnológie a biovýroby zohľadnila regulačné rámce krajín mimo EÚ, ktoré majú vedúce postavenie v tomto odvetví, s cieľom zabezpečiť kompatibilitu tam, kde je to možné a bez toho, aby bola ohrozená bezpečnosť spotrebiteľov, a rovnaké podmienky pre biotechnologické spoločnosti z EÚ, ktoré sa zúčastňujú hospodárskej súťaže na medzinárodnej úrovni, a aby sa poučila z najlepších postupov z krajín mimo EÚ bez toho, aby sa znížili existujúce normy EÚ;</w:t>
      </w:r>
    </w:p>
    <w:p w14:paraId="6DAC1A24" w14:textId="08658AB8" w:rsidR="00B94D4A" w:rsidRPr="005975F3" w:rsidRDefault="00B94D4A" w:rsidP="00B94D4A">
      <w:pPr>
        <w:pStyle w:val="NormalHanging12a"/>
      </w:pPr>
      <w:r w:rsidRPr="005975F3">
        <w:t>8.</w:t>
      </w:r>
      <w:r w:rsidRPr="005975F3">
        <w:tab/>
        <w:t xml:space="preserve">vyzýva Komisiu, aby predložila správu o vykonávaní súčasných právnych predpisov v oblasti biotechnológie a biovýroby vrátane identifikácie potenciálnych medzier a regulačných prekážok, ktoré bránia rastu priemyselných odvetví uplatňujúcich tieto technológie a výrobné procesy, vrátane prekážok zlepšenia sebestačnosti EÚ v oblasti kľúčových východiskových surovín, surovín a komponentov; pripomína zásadu </w:t>
      </w:r>
      <w:r w:rsidRPr="005975F3">
        <w:lastRenderedPageBreak/>
        <w:t xml:space="preserve">predbežnej opatrnosti ustanovenej v článku 191 ZFEÚ; naliehavo žiada Komisiu, aby </w:t>
      </w:r>
      <w:r w:rsidR="001568E5" w:rsidRPr="005975F3">
        <w:t>Európsky p</w:t>
      </w:r>
      <w:r w:rsidRPr="005975F3">
        <w:t>arlament v tejto súvislosti informovala o predbežných zisteniach svojej štúdie týkajúcej sa regulačnej záťaže a potenciálnej potreby revidovať právne predpisy v oblasti biotechnológie a biovýroby; vyzýva na zjednodušenie súčasných požiadaviek pre toto odvetvie vo všetkých regulačných rámcoch s cieľom umožniť rýchlejšie schvaľovacie postupy a prístup na trh, pričom by sa zachoval prístup založený na riziku a vede a zabránilo by sa regulačnej neistote;</w:t>
      </w:r>
    </w:p>
    <w:p w14:paraId="7E73CF56" w14:textId="77777777" w:rsidR="00B94D4A" w:rsidRPr="005975F3" w:rsidRDefault="00B94D4A" w:rsidP="00B94D4A">
      <w:pPr>
        <w:pStyle w:val="NormalHanging12a"/>
      </w:pPr>
      <w:r w:rsidRPr="005975F3">
        <w:t>9.</w:t>
      </w:r>
      <w:r w:rsidRPr="005975F3">
        <w:tab/>
        <w:t>považuje za pozitívne, že nedávno vzniklo biotechnologické a biovýrobné centrum; žiada Komisiu, aby poskytla biotechnologickým a biovýrobným spoločnostiam z EÚ a členským štátom ďalšie usmernenia týkajúce sa aktu o emisne neutrálnom priemysle</w:t>
      </w:r>
      <w:r w:rsidRPr="005975F3">
        <w:rPr>
          <w:rStyle w:val="FootnoteReference"/>
        </w:rPr>
        <w:footnoteReference w:id="1"/>
      </w:r>
      <w:r w:rsidRPr="005975F3">
        <w:t xml:space="preserve"> a novej Dohody o čistom priemysle, pokiaľ ide o udeľovanie povolení a financovanie, a aby zvážila vytvorenie podporných centier s cieľom zlepšiť usmernenia a poradenstvo pre spoločnosti, ktoré sa orientujú v regulačnom rámci;</w:t>
      </w:r>
    </w:p>
    <w:p w14:paraId="3BE6049D" w14:textId="77777777" w:rsidR="00B94D4A" w:rsidRPr="005975F3" w:rsidRDefault="00B94D4A" w:rsidP="00B94D4A">
      <w:pPr>
        <w:pStyle w:val="NormalHanging12a"/>
      </w:pPr>
      <w:r w:rsidRPr="005975F3">
        <w:t>10.</w:t>
      </w:r>
      <w:r w:rsidRPr="005975F3">
        <w:tab/>
        <w:t>vyzýva Komisiu, aby urýchlene zefektívnila, zjednodušila a skrátila čas potrebný na postupy povoľovania, najmä časové rámce na schválenie biotechnologických materiálov a výrobkov počas celého ich výrobného a životného cyklu a aby uľahčila zavádzanie riešení využívajúcich biologické materiály na trhu vrátane poskytovania usmernení pred udelením povolenia, pričom zachová prístup primeraný riziku a založený na vedeckých poznatkoch, najmä v súvislosti s pravidelným preskúmaním agentúr EÚ, ako sú Európsky úrad pre bezpečnosť potravín, Európska agentúra pre lieky a Európska chemická agentúra; vyzýva Komisiu, aby zabezpečila primerané zdroje pre príslušné agentúry EÚ s cieľom posilniť ich kapacitu na včasné vykonávanie povoľovacích postupov;</w:t>
      </w:r>
    </w:p>
    <w:p w14:paraId="024BC3F2" w14:textId="77777777" w:rsidR="00B94D4A" w:rsidRPr="005975F3" w:rsidRDefault="00B94D4A" w:rsidP="00B94D4A">
      <w:pPr>
        <w:pStyle w:val="NormalHanging12a"/>
      </w:pPr>
      <w:r w:rsidRPr="005975F3">
        <w:t>11.</w:t>
      </w:r>
      <w:r w:rsidRPr="005975F3">
        <w:tab/>
        <w:t>vyzýva Komisiu, aby zvážila možnosť zjednodušeného postupu schvaľovania biotechnologických výrobkov, ktoré už boli schválené dôveryhodnými regulačnými orgánmi v podobne zmýšľajúcich krajinách s normami zodpovedajúcimi normám EÚ;</w:t>
      </w:r>
    </w:p>
    <w:p w14:paraId="2FA8C447" w14:textId="77777777" w:rsidR="00B94D4A" w:rsidRPr="005975F3" w:rsidRDefault="00B94D4A" w:rsidP="00B94D4A">
      <w:pPr>
        <w:pStyle w:val="NormalHanging12a"/>
      </w:pPr>
      <w:r w:rsidRPr="005975F3">
        <w:t>12.</w:t>
      </w:r>
      <w:r w:rsidRPr="005975F3">
        <w:tab/>
        <w:t>vyzýva Komisiu, aby zvážila zjednodušenie postupov označovania, ako je používanie kódov QR, a zabezpečila spravodlivé trhové podmienky medzi biotechnologickými a inými výrobkami, ako je marketing a reklama, bez toho, aby bola ohrozená bezpečnosť spotrebiteľov alebo prístup spotrebiteľov k relevantným informáciám;</w:t>
      </w:r>
    </w:p>
    <w:p w14:paraId="787E9575" w14:textId="77777777" w:rsidR="00B94D4A" w:rsidRPr="005975F3" w:rsidRDefault="00B94D4A" w:rsidP="00B94D4A">
      <w:pPr>
        <w:pStyle w:val="NormalHanging12a"/>
      </w:pPr>
      <w:r w:rsidRPr="005975F3">
        <w:t>13.</w:t>
      </w:r>
      <w:r w:rsidRPr="005975F3">
        <w:tab/>
        <w:t>pripomína, že harmonizované, predvídateľné, nadčasové a medzinárodne konkurencieschopné pravidlá ochrany duševného vlastníctva a údajov pre patenty v oblasti biotechnológie a biovýroby sú nevyhnutné pre rozvoj tohto odvetvia, odolné dodávateľské reťazce a udržateľný hospodársky rast; zdôrazňuje, že je dôležité zlepšiť pravidlá ochrany duševného vlastníctva dlhodobejším spôsobom pre patentované technológie s cieľom posilniť konkurencieschopnosť EÚ, podporiť inovácie a strategickú autonómiu EÚ, chrániť špičkové technológie, odmeňovať dlhodobé investície a podporovať vysokorizikový výskum; domnieva sa, že je nevyhnutný súdržný, spoľahlivý a nadčasový rámec duševného vlastníctva; v tejto súvislosti víta nedávno zavedený systém jednotného patentu EÚ;</w:t>
      </w:r>
    </w:p>
    <w:p w14:paraId="2B38AD28" w14:textId="77777777" w:rsidR="00B94D4A" w:rsidRPr="005975F3" w:rsidRDefault="00B94D4A" w:rsidP="00B94D4A">
      <w:pPr>
        <w:pStyle w:val="NormalHanging12a"/>
      </w:pPr>
      <w:r w:rsidRPr="005975F3">
        <w:lastRenderedPageBreak/>
        <w:t>14.</w:t>
      </w:r>
      <w:r w:rsidRPr="005975F3">
        <w:tab/>
        <w:t>požaduje spoločný rámec klinického skúšania so zjednodušenými postupmi schvaľovania v členských štátoch s cieľom minimalizovať administratívne zaťaženie a oneskorenia a ktorý umožní využívanie dôkazov z praxe pre biotechnologické terapie; žiada Komisiu, aby v tejto súvislosti objasnila súčasnú situáciu, ako aj možné zlepšenia; vyzýva na urýchlené vykonávanie nariadenia o klinickom skúšaní</w:t>
      </w:r>
      <w:r w:rsidRPr="005975F3">
        <w:rPr>
          <w:rStyle w:val="FootnoteReference"/>
        </w:rPr>
        <w:footnoteReference w:id="2"/>
      </w:r>
      <w:r w:rsidRPr="005975F3">
        <w:t xml:space="preserve"> a využívanie informačného systému EÚ pre klinické skúšanie;</w:t>
      </w:r>
    </w:p>
    <w:p w14:paraId="3857908D" w14:textId="77777777" w:rsidR="00B94D4A" w:rsidRPr="005975F3" w:rsidRDefault="00B94D4A" w:rsidP="00B94D4A">
      <w:pPr>
        <w:pStyle w:val="NormalHanging12a"/>
      </w:pPr>
      <w:r w:rsidRPr="005975F3">
        <w:t>15.</w:t>
      </w:r>
      <w:r w:rsidRPr="005975F3">
        <w:tab/>
        <w:t>zdôrazňuje strategický význam silného biotechnologického ekosystému pre EÚ, ktorý podporuje výskum a vývoj, výrobu a prístup pacientov k inovatívnym liekom; poukazuje na to, že biotechnologické procesy sa môžu použiť na výrobu aktívnych farmaceutických zložiek a kľúčových výrobných vstupov pre nepatentované aj inovatívne lieky;</w:t>
      </w:r>
    </w:p>
    <w:p w14:paraId="125153D5" w14:textId="77777777" w:rsidR="00B94D4A" w:rsidRPr="005975F3" w:rsidRDefault="00B94D4A" w:rsidP="00B94D4A">
      <w:pPr>
        <w:pStyle w:val="NormalHanging12a"/>
      </w:pPr>
      <w:r w:rsidRPr="005975F3">
        <w:t>16.</w:t>
      </w:r>
      <w:r w:rsidRPr="005975F3">
        <w:tab/>
        <w:t>odporúča využiť novú generáciu experimentálnych regulačných prostredí na posúdenie konkrétnych vplyvov a možností vznikajúcich biotechnologických a biovýrobných aplikácií, čím sa zabezpečí, že nové technológie bude možné skúšať v kontrolovanom, ale flexibilnom a nadčasovom regulačnom prostredí; zdôrazňuje, že je dôležité zabezpečiť, aby politika EÚ zohľadňovala technologický a vedecký vývoj s cieľom zachovať globálnu konkurencieschopnosť EÚ;</w:t>
      </w:r>
    </w:p>
    <w:p w14:paraId="5509C75A" w14:textId="77777777" w:rsidR="00B94D4A" w:rsidRPr="005975F3" w:rsidRDefault="00B94D4A" w:rsidP="00B94D4A">
      <w:pPr>
        <w:pStyle w:val="NormalHanging12a"/>
      </w:pPr>
      <w:r w:rsidRPr="005975F3">
        <w:t>17.</w:t>
      </w:r>
      <w:r w:rsidRPr="005975F3">
        <w:tab/>
        <w:t>odporúča vypracovať stratégiu na podporu biotechnologických a biovýrobných spoločností, ktoré prechádzajú z režimu experimentálnych regulačných prostredí na úplný prístup na trh; žiada, aby stratégia okrem iného zahŕňala mechanizmy podpory, regulačnú pomoc a usmernenia týkajúce sa dodržiavania právnych predpisov EÚ.</w:t>
      </w:r>
    </w:p>
    <w:p w14:paraId="7331B1A4" w14:textId="77777777" w:rsidR="00B94D4A" w:rsidRPr="005975F3" w:rsidRDefault="00B94D4A" w:rsidP="00B94D4A">
      <w:pPr>
        <w:pStyle w:val="Normal12a24b"/>
      </w:pPr>
      <w:r w:rsidRPr="005975F3">
        <w:rPr>
          <w:rStyle w:val="BoldItalic"/>
        </w:rPr>
        <w:t>Potreba podporovať výhody a špecifiká biotechnologického a biovýrobného priemyslu</w:t>
      </w:r>
    </w:p>
    <w:p w14:paraId="5478DAA3" w14:textId="77777777" w:rsidR="00B94D4A" w:rsidRPr="005975F3" w:rsidRDefault="00B94D4A" w:rsidP="00B94D4A">
      <w:pPr>
        <w:pStyle w:val="NormalHanging12a"/>
      </w:pPr>
      <w:r w:rsidRPr="005975F3">
        <w:t>18.</w:t>
      </w:r>
      <w:r w:rsidRPr="005975F3">
        <w:tab/>
        <w:t>zdôrazňuje, že účinné rozširovanie biotechnológie a biovýroby v EÚ závisí od silného, konkurencieschopného a obehového biohospodárstva; vyzýva Komisiu, aby predložila aktualizovanú stratégiu biohospodárstva, v ktorej sa zohľadnia súčasné výzvy a posilní sa priemyselný rozmer biohospodárstva a jeho prepojenie s biotechnológiou a biovýrobou, pričom bude stimulovať vývoj a výrobu udržateľných, inovatívnych materiálov na základe biologických zdrojov, výrobkov z biologického materiálu a riešení využívajúcich biologické materiály s vysokou pridanou hodnotou, aby prispela ku konkurencieschopnosti a strategickej autonómii EÚ;</w:t>
      </w:r>
    </w:p>
    <w:p w14:paraId="3B687502" w14:textId="77777777" w:rsidR="00B94D4A" w:rsidRPr="005975F3" w:rsidRDefault="00B94D4A" w:rsidP="00B94D4A">
      <w:pPr>
        <w:pStyle w:val="NormalHanging12a"/>
      </w:pPr>
      <w:r w:rsidRPr="005975F3">
        <w:t>19.</w:t>
      </w:r>
      <w:r w:rsidRPr="005975F3">
        <w:tab/>
        <w:t>uznáva dôležitú úlohu, ktorú zohráva biomasa pri biovýrobe; v tejto súvislosti pripomína, že je dôležité prijať prístup otvorený rôznym udržateľným technológiám biomasy založený na spoľahlivej analýze a s cieľom zlepšiť prístup k surovinám a ich využívanie, ako aj využiť medzinárodné dodávateľské reťazce a zároveň sa zamerať na predchádzanie neúmyselným environmentálnym externalitám;</w:t>
      </w:r>
    </w:p>
    <w:p w14:paraId="315DA6BE" w14:textId="77777777" w:rsidR="00B94D4A" w:rsidRPr="005975F3" w:rsidRDefault="00B94D4A" w:rsidP="00B94D4A">
      <w:pPr>
        <w:pStyle w:val="NormalHanging12a"/>
      </w:pPr>
      <w:r w:rsidRPr="005975F3">
        <w:t>20.</w:t>
      </w:r>
      <w:r w:rsidRPr="005975F3">
        <w:tab/>
        <w:t xml:space="preserve">zdôrazňuje, že je potrebné zohľadniť špecifiká biogénneho uhlíka, výrobkov z biologického materiálu a procesov a odlíšiť ich od petrochemických a fosílnych </w:t>
      </w:r>
      <w:r w:rsidRPr="005975F3">
        <w:lastRenderedPageBreak/>
        <w:t>výrobkov v kontexte právnych predpisov EÚ a vnútroštátnych právnych predpisov v oblasti chemikálií, materiálov a životného prostredia;</w:t>
      </w:r>
    </w:p>
    <w:p w14:paraId="70D298C4" w14:textId="77777777" w:rsidR="00B94D4A" w:rsidRPr="005975F3" w:rsidRDefault="00B94D4A" w:rsidP="00B94D4A">
      <w:pPr>
        <w:pStyle w:val="NormalHanging12a"/>
      </w:pPr>
      <w:r w:rsidRPr="005975F3">
        <w:t>21.</w:t>
      </w:r>
      <w:r w:rsidRPr="005975F3">
        <w:tab/>
        <w:t>poukazuje na to, že základné zložky, ako sú enzýmy alebo baktérie mliečneho kvasenia a iné mikroorganizmy, podliehajú riziku, že budú zakázané alebo neprimerane znevýhodnené predpismi EÚ, ktoré sú primárne určené pre petrochemické a syntetické látky, ako je nariadenie REACH</w:t>
      </w:r>
      <w:r w:rsidRPr="005975F3">
        <w:rPr>
          <w:rStyle w:val="FootnoteReference"/>
        </w:rPr>
        <w:footnoteReference w:id="3"/>
      </w:r>
      <w:r w:rsidRPr="005975F3">
        <w:t>;</w:t>
      </w:r>
    </w:p>
    <w:p w14:paraId="5A3B9DEC" w14:textId="77777777" w:rsidR="00B94D4A" w:rsidRPr="005975F3" w:rsidRDefault="00B94D4A" w:rsidP="00B94D4A">
      <w:pPr>
        <w:pStyle w:val="NormalHanging12a"/>
      </w:pPr>
      <w:r w:rsidRPr="005975F3">
        <w:t>22.</w:t>
      </w:r>
      <w:r w:rsidRPr="005975F3">
        <w:tab/>
        <w:t>vyjadruje znepokojenie nad tým, že výklad kritérií udržateľnosti zo strany Európskej investičnej banky (EIB) v rámci zosúlaďovania skupiny EIB s Parížskou dohodou môže viesť k odopretiu prístupu k financovaniu v prípade biologických materiálov a projektov; žiada Komisiu, aby zodpovedajúcim spôsobom preskúmala príslušné vymedzenia pojmov a podporovala výklady priaznivé pre biotechnológiu a biovýrobu; vyzýva EIB, aby navrhla nástroje na zníženie rizika pre biotechnológiu a biovýrobu s cieľom získať kapitál; okrem toho vyzýva EIB, aby zlepšila dosah, poradenskú podporu a informovanosť o finančných nástrojoch a možnostiach pre oprávnené projekty v oblasti biotechnológií a biovýroby, najmä pre MSP, startupy a scaleupy;</w:t>
      </w:r>
    </w:p>
    <w:p w14:paraId="3C26575A" w14:textId="77777777" w:rsidR="00B94D4A" w:rsidRPr="005975F3" w:rsidRDefault="00B94D4A" w:rsidP="00B94D4A">
      <w:pPr>
        <w:pStyle w:val="NormalHanging12a"/>
      </w:pPr>
      <w:r w:rsidRPr="005975F3">
        <w:t>23.</w:t>
      </w:r>
      <w:r w:rsidRPr="005975F3">
        <w:tab/>
        <w:t>zdôrazňuje úžitok a prínos výrobkov z biologického materiálu a procesov využívajúcich biologické materiály k cieľom EÚ v oblasti znižovania emisií CO</w:t>
      </w:r>
      <w:r w:rsidRPr="005975F3">
        <w:rPr>
          <w:vertAlign w:val="subscript"/>
        </w:rPr>
        <w:t>2</w:t>
      </w:r>
      <w:r w:rsidRPr="005975F3">
        <w:t>, ktoré je, vzhľadom na potenciál týchto výrobkov zvýšiť udržateľnosť a znížiť environmentálnu stopu EÚ, potrebné zohľadniť v príslušných posúdeniach životného cyklu, informáciách pre spotrebiteľov a verejnom obstarávaní;</w:t>
      </w:r>
    </w:p>
    <w:p w14:paraId="25F1F1C3" w14:textId="77777777" w:rsidR="00B94D4A" w:rsidRPr="005975F3" w:rsidRDefault="00B94D4A" w:rsidP="00B94D4A">
      <w:pPr>
        <w:pStyle w:val="NormalHanging12a"/>
      </w:pPr>
      <w:r w:rsidRPr="005975F3">
        <w:t>24.</w:t>
      </w:r>
      <w:r w:rsidRPr="005975F3">
        <w:tab/>
        <w:t>domnieva sa, že na urýchlenie nahradenia fosílnych surovín by sa v EÚ mohol ďalej stimulovať dopyt po udržateľných výrobkoch z biologického materiálu a ich zavádzanie na trh; domnieva sa, že suroviny z biologického materiálu, ako je biomasa získavaná udržateľným spôsobom, recyklovaný odpad a zachytený CO</w:t>
      </w:r>
      <w:r w:rsidRPr="005975F3">
        <w:rPr>
          <w:vertAlign w:val="subscript"/>
        </w:rPr>
        <w:t>2</w:t>
      </w:r>
      <w:r w:rsidRPr="005975F3">
        <w:t xml:space="preserve"> z biogénnych zdrojov, by sa mohli používať ako alternatívne suroviny na výrobu rôznych výrobkov, čo by prispelo k znižovaniu emisií, efektívnemu využívaniu zdrojov a strategickej autonómii EÚ; v tejto súvislosti pripomína záväzok uvedený v Kompase konkurencieschopnosti EÚ vypracovať politiky na odmeňovanie priekopníkov; domnieva sa, že pre biomasu by sa mali zabezpečiť súdržné a primerané kritériá udržateľnosti;</w:t>
      </w:r>
    </w:p>
    <w:p w14:paraId="4DD4860E" w14:textId="77777777" w:rsidR="00B94D4A" w:rsidRPr="005975F3" w:rsidRDefault="00B94D4A" w:rsidP="00B94D4A">
      <w:pPr>
        <w:pStyle w:val="NormalHanging12a"/>
      </w:pPr>
      <w:r w:rsidRPr="005975F3">
        <w:t>25.</w:t>
      </w:r>
      <w:r w:rsidRPr="005975F3">
        <w:tab/>
        <w:t xml:space="preserve">zdôrazňuje význam dodržiavania prísnych noriem EÚ v oblasti bezpečnosti potravín a spotrebiteľov a potenciálu biotechnológií pri posudzovaní biotechnologických aplikácií v potravinách a krmivách s cieľom chrániť zdravie spotrebiteľov, posúdiť vplyv na obehovosť a udržateľnosť a zohľadniť sociálne, etické, hospodárske, environmentálne a kultúrne aspekty inovácií v oblasti potravín; vyzýva Komisiu, aby identifikovala bezproblémové spôsoby uvedenia na trh pre bezpečné aplikácie biotechnológie v potravinových výrobkoch, pričom pripomína, že takéto biotechnologické aplikácie musia byť pred akýmkoľvek budúcim povolením a následným uvedením na trh EÚ </w:t>
      </w:r>
      <w:r w:rsidRPr="005975F3">
        <w:lastRenderedPageBreak/>
        <w:t>riadne preskúmané, vrátane zhromaždenia toxikologických informácií a prípadných klinických a predklinických štúdií a zabezpečenia vysledovateľnosti;</w:t>
      </w:r>
    </w:p>
    <w:p w14:paraId="6D27941C" w14:textId="77777777" w:rsidR="00B94D4A" w:rsidRPr="005975F3" w:rsidRDefault="00B94D4A" w:rsidP="00B94D4A">
      <w:pPr>
        <w:pStyle w:val="NormalHanging12a"/>
      </w:pPr>
      <w:r w:rsidRPr="005975F3">
        <w:t>26.</w:t>
      </w:r>
      <w:r w:rsidRPr="005975F3">
        <w:tab/>
        <w:t>zdôrazňuje, že riziká biologickej bezpečnosti vrátane bioetických aspektov sa musia riešiť v spojení s inováciami v oblasti biotechnológie a biovýroby, pričom sa zabezpečí zodpovedný prístup k nástrojom syntetickej biológie, technológiám na úpravu génov a biologickým materiálom a ich používanie; vyzýva na vytvorenie registra biologickej bezpečnosti EÚ pre nástroje syntetickej DNA, zariadenia na stolovú syntézu a nástroje génového inžinierstva, čím sa zlepší transparentnosť a mechanizmy hodnotenia rizika po konzultácii s príslušnými zainteresovanými stranami, ako je priemysel a občianska spoločnosť, a zároveň sa zabezpečí primeraná ochrana citlivých údajov; zdôrazňuje význam strategickej autonómie EÚ v biotechnologických dodávateľských reťazcoch, ktorá zabezpečí, že rozhodujúce vstupy a odborné znalosti v oblasti biovýroby zostanú v Európe; vyzýva na posilnenie medzinárodnej spolupráce v oblasti noriem biologickej bezpečnosti vrátane povinných medzinárodných noriem kontroly, aby sa zabezpečilo, že biotechnologické a biovýrobné spoločnosti so sídlom v EÚ budú využívať globálne najlepšie postupy a zároveň si zachovajú konkurencieschopnosť;</w:t>
      </w:r>
    </w:p>
    <w:p w14:paraId="2269EBE3" w14:textId="77777777" w:rsidR="00B94D4A" w:rsidRPr="005975F3" w:rsidRDefault="00B94D4A" w:rsidP="00B94D4A">
      <w:pPr>
        <w:pStyle w:val="NormalHanging12a"/>
      </w:pPr>
      <w:r w:rsidRPr="005975F3">
        <w:t>27.</w:t>
      </w:r>
      <w:r w:rsidRPr="005975F3">
        <w:tab/>
        <w:t>vyzýva Komisiu, aby vypracovala štúdiu o biologických materiáloch a predložila aktualizované oznámenie a akčný plán o chemických, biologických, rádiologických a jadrových rizikách, najmä pokiaľ ide o bioterorizmus a biologické riziká;</w:t>
      </w:r>
    </w:p>
    <w:p w14:paraId="548B24BA" w14:textId="77777777" w:rsidR="00B94D4A" w:rsidRPr="005975F3" w:rsidRDefault="00B94D4A" w:rsidP="00B94D4A">
      <w:pPr>
        <w:pStyle w:val="Normal12a24b"/>
      </w:pPr>
      <w:r w:rsidRPr="005975F3">
        <w:rPr>
          <w:rStyle w:val="BoldItalic"/>
        </w:rPr>
        <w:t>Horizontálne otázky</w:t>
      </w:r>
    </w:p>
    <w:p w14:paraId="790CD56C" w14:textId="77777777" w:rsidR="00B94D4A" w:rsidRPr="005975F3" w:rsidRDefault="00B94D4A" w:rsidP="00B94D4A">
      <w:pPr>
        <w:pStyle w:val="NormalHanging12a"/>
      </w:pPr>
      <w:r w:rsidRPr="005975F3">
        <w:t>28.</w:t>
      </w:r>
      <w:r w:rsidRPr="005975F3">
        <w:tab/>
        <w:t>zdôrazňuje, že pre bezpečnosť dodávateľského reťazca je dôležité zabezpečiť dostatočné, stabilné a konkurencieschopné dodávky východiskových surovín, surovín a základných komponentov, ako je udržateľná biomasa a enzýmy pre biotechnologické a biovýrobné spoločnosti; žiada, aby sa dôkladne monitorovali potenciálne riziká, medzery a závislosti a zároveň chránili citlivé údaje spoločností a fungovanie vnútorného trhu;</w:t>
      </w:r>
    </w:p>
    <w:p w14:paraId="7C6498FA" w14:textId="77777777" w:rsidR="00B94D4A" w:rsidRPr="005975F3" w:rsidRDefault="00B94D4A" w:rsidP="00B94D4A">
      <w:pPr>
        <w:pStyle w:val="NormalHanging12a"/>
      </w:pPr>
      <w:r w:rsidRPr="005975F3">
        <w:t>29.</w:t>
      </w:r>
      <w:r w:rsidRPr="005975F3">
        <w:tab/>
        <w:t>zdôrazňuje, že je dôležité rozvíjať hodnotové reťazce a výrobu surovín v EÚ a podľa možnosti zvyšovať sebestačnosť a zároveň podporovať strategické partnerstvá a spoluprácu s podobne zmýšľajúcimi krajinami mimo EÚ s cieľom zabezpečiť odolný a diverzifikovaný prístup ku kritickým vstupom biotechnologického a biovýrobného priemyslu v EÚ;</w:t>
      </w:r>
    </w:p>
    <w:p w14:paraId="3A4D9BB1" w14:textId="77777777" w:rsidR="00B94D4A" w:rsidRPr="005975F3" w:rsidRDefault="00B94D4A" w:rsidP="00B94D4A">
      <w:pPr>
        <w:pStyle w:val="NormalHanging12a"/>
      </w:pPr>
      <w:r w:rsidRPr="005975F3">
        <w:t>30.</w:t>
      </w:r>
      <w:r w:rsidRPr="005975F3">
        <w:tab/>
        <w:t>zdôrazňuje, že v čoraz napätejšom geopolitickom kontexte by sa biotechnológia a biovýroba mali v plnej miere využiť na posilnenie strategickej autonómie EÚ, zvýšenie potravinovej bezpečnosti a zníženie závislosti od krajín mimo EÚ; zdôrazňuje potrebu stimulovať dopyt na trhu a zavádzanie výrobkov z biologického materiálu s cieľom zvýšiť rast, konkurencieschopnosť a udržateľnosť odvetvia biotechnológie a biovýroby v EÚ;</w:t>
      </w:r>
    </w:p>
    <w:p w14:paraId="4E5AAC4B" w14:textId="77777777" w:rsidR="00B94D4A" w:rsidRPr="005975F3" w:rsidRDefault="00B94D4A" w:rsidP="00B94D4A">
      <w:pPr>
        <w:pStyle w:val="NormalHanging12a"/>
      </w:pPr>
      <w:r w:rsidRPr="005975F3">
        <w:t>31.</w:t>
      </w:r>
      <w:r w:rsidRPr="005975F3">
        <w:tab/>
        <w:t xml:space="preserve">konštatuje, že rozšírenie a komercializácia výsledkov výskumu zostáva v EÚ veľkou výzvou a zdôrazňuje, že je potrebné zlepšiť prenos poznatkov a technológií medzi akademickou obcou a priemyslom s cieľom zabezpečiť, aby výskum v oblasti biotechnológie a biovýroby financovaný EÚ viedol ku komerčným aplikáciám a priemyselnému zavádzaniu; zdôrazňuje význam posilnenia spolupráce medzi verejným a súkromným sektorom a podpory univerzít a výskumných inštitúcií s vysokou úrovňou transferu technológií, spin-off podnikov a zakladania startupov, napríklad uplatňovaním </w:t>
      </w:r>
      <w:r w:rsidRPr="005975F3">
        <w:lastRenderedPageBreak/>
        <w:t>modelu CERN na budovanie startupových štúdií v rámci výskumných inštitúciách; požaduje strategické investície do spoločnej infraštruktúry EÚ, ako sú pilotné zariadenia, biobanky alebo urýchľovače inovácií, s cieľom podporiť rozširovanie prototypov a zavádzanie inovačných biotechnológií a biovýrobných riešení na trh; zdôrazňuje, že inovácie sa nemôžu uskutočňovať len na účely krátkodobého hospodárskeho prospechu a že inovácie v oblasti biotechnológií a biovýroby by sa mali riadiť prístupom zdola nahor v rámci samostatného a dlhodobého rámcového programu; vyzýva Komisiu, aby uľahčila vytváranie popredných svetových výskumných centier pre biotechnológiu a biovýrobu s cieľom podporiť inovácie a spoluprácu medzi akademickou obcou, priemyslom a rizikovým kapitálom; zdôrazňuje potrebu spoľahlivých fyzických testovacích zariadení v odvetví biotechnológie a biovýroby s cieľom podporiť inovácie a uľahčiť výrobu a prístup na trh pre MSP a startupy;</w:t>
      </w:r>
    </w:p>
    <w:p w14:paraId="07908EAB" w14:textId="77777777" w:rsidR="00B94D4A" w:rsidRPr="005975F3" w:rsidRDefault="00B94D4A" w:rsidP="00B94D4A">
      <w:pPr>
        <w:pStyle w:val="NormalHanging12a"/>
      </w:pPr>
      <w:r w:rsidRPr="005975F3">
        <w:t>32.</w:t>
      </w:r>
      <w:r w:rsidRPr="005975F3">
        <w:tab/>
        <w:t>zdôrazňuje, že je potrebné zabezpečiť prístup k cenovo dostupnej energii pre subjekty pôsobiace v oblasti biotechnológií a biovýroby vzhľadom na vysokú energetickú náročnosť rozsiahlych procesov biologickej produkcie; zdôrazňuje, že je dôležité uľahčiť povoľovanie a validáciu veľkých priemyselných zariadení, ako sú bioreaktory, ktoré sú nevyhnutné na rozšírenie, ale čelia aj významným stavebným a prevádzkovým rizikám; víta najnovšiu revíziu smernice o energii z obnoviteľných zdrojov</w:t>
      </w:r>
      <w:r w:rsidRPr="005975F3">
        <w:rPr>
          <w:rStyle w:val="FootnoteReference"/>
        </w:rPr>
        <w:footnoteReference w:id="4"/>
      </w:r>
      <w:r w:rsidRPr="005975F3">
        <w:t xml:space="preserve"> a jej ustanovení na zjednodušenie postupov udeľovania povolení a vyzýva členské štáty, aby urýchlene vykonali príslušné opatrenia na podporu zavádzania biotechnológií a biovýrobnej infraštruktúry;</w:t>
      </w:r>
    </w:p>
    <w:p w14:paraId="4FBDEC4B" w14:textId="77777777" w:rsidR="00B94D4A" w:rsidRPr="005975F3" w:rsidRDefault="00B94D4A" w:rsidP="00B94D4A">
      <w:pPr>
        <w:pStyle w:val="NormalHanging12a"/>
      </w:pPr>
      <w:r w:rsidRPr="005975F3">
        <w:t>33.</w:t>
      </w:r>
      <w:r w:rsidRPr="005975F3">
        <w:tab/>
        <w:t>zdôrazňuje, že treba zabezpečiť kvalifikovanú a rôznorodú európsku pracovnú silu v odvetví biotechnológie a biovýroby a podporovať podnikateľské zručnosti v úzkej spolupráci s odvetvím a výskumnými inštitúciami; vyzýva na zvýšenie investícií do vzdelávania v oblasti biotechnológií a biovýroby a cielenej odbornej prípravy, okrem iného aj v oblastiach, ako je dodržiavanie právnych predpisov, zabezpečenie kvality a procesné inžinierstvo; podporuje rozvoj kompetenčných centier a verejno-súkromných iniciatív odbornej prípravy vo všetkých členských štátoch s cieľom umožniť zvyšovanie úrovne zručností, rekvalifikáciu a celoživotné vzdelávanie s cieľom zabezpečiť atraktívnosť biotechnologického a biovýrobného priemyslu; zdôrazňuje, že je dôležité prispôsobiť vzdelávacie osnovy vyvíjajúcim sa potrebám odvetvia a podporovať vedu, technológiu, inžinierstvo a matematiku (STEM) s osobitným zameraním na prilákanie väčšieho počtu dievčat a žien do kariéry v oblasti biotechnológií a biovýroby; nabáda k zvyšovaniu povedomia verejnosti o kariérnych príležitostiach v tejto oblasti s cieľom prilákať talenty z krajín mimo EÚ a navrhuje preskúmať potenciál transatlantickej spolupráce; víta nedávno spustený pilotný program Choose Europe for Science, ktorého cieľom je prilákať popredných výskumných pracovníkov, vedcov a akademických pracovníkov z krajín mimo EÚ do Európy;</w:t>
      </w:r>
    </w:p>
    <w:p w14:paraId="441EDF99" w14:textId="62688EC1" w:rsidR="00B94D4A" w:rsidRPr="005975F3" w:rsidRDefault="00B94D4A" w:rsidP="00B94D4A">
      <w:pPr>
        <w:pStyle w:val="NormalHanging12a"/>
      </w:pPr>
      <w:r w:rsidRPr="005975F3">
        <w:t>34.</w:t>
      </w:r>
      <w:r w:rsidRPr="005975F3">
        <w:tab/>
        <w:t xml:space="preserve">vyzýva na urýchlené dokončenie únie kapitálových trhov s cieľom prilákať inštitucionálnych investorov do odvetvia biotechnológie a biovýroby vrátane rizikového kapitálu, dôchodkových fondov a súkromného kapitálu; zdôrazňuje, že toto odvetvie sa vyznačuje vysokou mierou rizika a že na prilákanie rozsiahlych kapitálových investícií </w:t>
      </w:r>
      <w:r w:rsidRPr="005975F3">
        <w:lastRenderedPageBreak/>
        <w:t>je potrebné znížiť náklady na neúspech v EÚ; vyzýva na cielenú podporu s cieľom zabezpečiť, aby mali MSP, startupy a scaleupy v oblasti biotechnológií a biovýroby prístup k dostatočným finančným prostriedkom a mohli konkurovať na celosvetovej úrovni; zdôrazňuje, že je potrebné znížiť cezhraničné investičné prekážky v záujme uľahčenia investícií do rozširujúcich sa podnikov pôsobiacich v oblasti biotechnológie a biovýroby;</w:t>
      </w:r>
    </w:p>
    <w:p w14:paraId="6F74CF10" w14:textId="77777777" w:rsidR="00B94D4A" w:rsidRPr="005975F3" w:rsidRDefault="00B94D4A" w:rsidP="00B94D4A">
      <w:pPr>
        <w:pStyle w:val="NormalHanging12a"/>
      </w:pPr>
      <w:r w:rsidRPr="005975F3">
        <w:t>35.</w:t>
      </w:r>
      <w:r w:rsidRPr="005975F3">
        <w:tab/>
        <w:t>konštatuje, že verejno-súkromné partnerstvá a investičné stratégie EÚ zamerané na konkrétne úlohy, ako je spoločný podnik pre európske obehové hospodárstvo využívajúce biologické materiály, majú zásadný význam pre znižovanie rizika inovácií v oblasti biotechnológie a biovýroby a zvyšujú vyhliadky na to, že duševné vlastníctvo a priemyselná kapacita zostanú v Európe; naliehavo žiada, aby sa posilnili investičné nástroje EÚ, ako je Program InvestEU, s cieľom podporiť biotechnologické a biovýrobné projekty, ktoré sa z investičného hľadiska považujú za vysokorizikové; zdôrazňuje, že toto odvetvie sa vyznačuje vysokou koncentráciou MSP, ktoré čelia neprimeraným prekážkam v prístupe ku kapitálu napriek tomu, že sú kritickými hnacími silami inovácií; podporuje preskúmanie dôležitého projektu spoločného európskeho záujmu v oblasti biotechnológií s cieľom uľahčiť priemyselné nasadenie a investície prvého hráča v oblasti chemických látok, materiálov, výrobkov a riešení na biologickej báze;</w:t>
      </w:r>
    </w:p>
    <w:p w14:paraId="6F389AE3" w14:textId="77777777" w:rsidR="00B94D4A" w:rsidRPr="005975F3" w:rsidRDefault="00B94D4A" w:rsidP="00B94D4A">
      <w:pPr>
        <w:pStyle w:val="NormalHanging12a"/>
      </w:pPr>
      <w:r w:rsidRPr="005975F3">
        <w:t>36.</w:t>
      </w:r>
      <w:r w:rsidRPr="005975F3">
        <w:tab/>
        <w:t>konštatuje, že informovanosť verejnosti o biotechnológiách a biovýrobkoch v EÚ by sa mala ďalej posilňovať s cieľom zvýšiť akceptáciu zo strany verejnosti; odporúča spolupracovať s občanmi a organizáciami občianskej spoločnosti s cieľom informovať o charakteristikách, prínosoch a dôsledkoch rastúcej prítomnosti biotechnologických produktov a služieb na európskom trhu;</w:t>
      </w:r>
    </w:p>
    <w:p w14:paraId="699ADCE4" w14:textId="77777777" w:rsidR="00B94D4A" w:rsidRPr="005975F3" w:rsidRDefault="00B94D4A" w:rsidP="00B94D4A">
      <w:pPr>
        <w:pStyle w:val="Normal12a24b"/>
      </w:pPr>
      <w:r w:rsidRPr="005975F3">
        <w:rPr>
          <w:rStyle w:val="BoldItalic"/>
        </w:rPr>
        <w:t>Nadčasový výskum a inovácie</w:t>
      </w:r>
    </w:p>
    <w:p w14:paraId="7518FC5A" w14:textId="77777777" w:rsidR="00B94D4A" w:rsidRPr="005975F3" w:rsidRDefault="00B94D4A" w:rsidP="00B94D4A">
      <w:pPr>
        <w:pStyle w:val="NormalHanging12a"/>
      </w:pPr>
      <w:r w:rsidRPr="005975F3">
        <w:t>37.</w:t>
      </w:r>
      <w:r w:rsidRPr="005975F3">
        <w:tab/>
        <w:t>vyjadruje poľutovanie nad tým, že európske súkromné investície do výskumu, vývoja a inovácií zaostávajú za ostatnými veľkými ekonomikami a že rozširovanie a komercializácia výsledkov výskumu sú v Európe naďalej veľkou výzvou; zdôrazňuje skutočnosť, že európske a národné verejné systémy na financovanie výskumu a vývoja sú naďalej zložité a nedostatočne koordinované, čo vedie k duplicite a neefektívnosti; požaduje celoúnijný prístup ku koordinácii verejných investícií do výskumu a vývoja v oblasti biotechnológie a biovýroby s dvojitým cieľom odstrániť rozdiely v oblasti excelentnosti a inovácií a urýchliť komercializáciu; zdôrazňuje, že je dôležité posilniť európsku spoluprácu, združovať poznatky a zdroje a mobilizovať verejné financovanie so súkromnými investíciami; pripomína kľúčovú úlohu rámcových programov, ako je Horizont Európa, pri podpore vedeckej excelentnosti, inovácií a technického rozvoja a vyzýva na cielené investície do strategických biotechnológií a biovýrobných podoblastí, ako sú priemyselné, environmentálne, morské, zdravotnícke a agropotravinové biotechnológie;</w:t>
      </w:r>
    </w:p>
    <w:p w14:paraId="5A960D9E" w14:textId="77777777" w:rsidR="00B94D4A" w:rsidRPr="005975F3" w:rsidRDefault="00B94D4A" w:rsidP="00B94D4A">
      <w:pPr>
        <w:pStyle w:val="NormalHanging12a"/>
      </w:pPr>
      <w:r w:rsidRPr="005975F3">
        <w:t>38.</w:t>
      </w:r>
      <w:r w:rsidRPr="005975F3">
        <w:tab/>
        <w:t>opakuje výzvu, aby sa zdvojnásobil rozpočet EÚ na výskum a dosiahol cieľ spočívajúci vo vyčlenení 3 % hrubého domáceho produktu EÚ na výskum a vývoj do roku 2030;</w:t>
      </w:r>
    </w:p>
    <w:p w14:paraId="4995493B" w14:textId="77777777" w:rsidR="00B94D4A" w:rsidRPr="005975F3" w:rsidRDefault="00B94D4A" w:rsidP="00B94D4A">
      <w:pPr>
        <w:pStyle w:val="NormalHanging12a"/>
      </w:pPr>
      <w:r w:rsidRPr="005975F3">
        <w:t>39.</w:t>
      </w:r>
      <w:r w:rsidRPr="005975F3">
        <w:tab/>
        <w:t xml:space="preserve">berie na vedomie rastúcu úlohu syntetickej biológie, bioinformatiky, údajov a prevratného biotechnologického a biovýrobného výskumu založeného na umelej inteligencii; vyzýva Komisiu, aby začlenila inovácie v oblasti biotechnológie a biovýroby do digitálnych stratégií a stratégií v oblasti umelej inteligencie EÚ a </w:t>
      </w:r>
      <w:r w:rsidRPr="005975F3">
        <w:lastRenderedPageBreak/>
        <w:t>zabezpečila interoperabilitu medzi dátovou infraštruktúrou v oblasti biotechnológie a biovýroby a platformami pre objavovanie založené na umelej inteligencii; poznamenáva, že schopnosti umelej inteligencie závisia od efektívneho využívania údajov; domnieva sa, že vytvorenie priemyselných dátových priestorov pre biotechnológiu a biovýrobu je dôležité na účely účinnej výmeny údajov;</w:t>
      </w:r>
    </w:p>
    <w:p w14:paraId="7F27264F" w14:textId="77777777" w:rsidR="00B94D4A" w:rsidRPr="005975F3" w:rsidRDefault="00B94D4A" w:rsidP="00B94D4A">
      <w:pPr>
        <w:pStyle w:val="NormalHanging12a"/>
      </w:pPr>
      <w:r w:rsidRPr="005975F3">
        <w:t>40.</w:t>
      </w:r>
      <w:r w:rsidRPr="005975F3">
        <w:tab/>
        <w:t>uznáva, že systémy umelej inteligencie a kvantová výpočtová technika síce môžu výrazne urýchliť výskum a viesť k novým inováciám, umožniť lepšie počítačové návrhy biologických systémov, ale môžu tiež zvýšiť riziko biologických hrozieb; zdôrazňuje preto potrebu uplatňovať prístup založený na riziku k využívaniu umelej inteligencie vo vedeckom výskume a výrobe;</w:t>
      </w:r>
    </w:p>
    <w:p w14:paraId="1BF5A8A7" w14:textId="77777777" w:rsidR="00B94D4A" w:rsidRPr="005975F3" w:rsidRDefault="00B94D4A" w:rsidP="00B94D4A">
      <w:pPr>
        <w:pStyle w:val="NormalHanging12a"/>
      </w:pPr>
      <w:r w:rsidRPr="005975F3">
        <w:t>41.</w:t>
      </w:r>
      <w:r w:rsidRPr="005975F3">
        <w:tab/>
        <w:t>domnieva sa, že etické využívanie umelej inteligencie, bioinformatiky a syntetickej biológie je nevyhnutné na budovanie dôvery a na to, aby z týchto technológií mala prospech celá spoločnosť; zdôrazňuje potrebu chrániť súkromie údajov, bezpečnosť údajov, transparentnosť a ľudský dohľad nad používaním systémov umelej inteligencie v odvetví zdravotníckych biotechnológií;</w:t>
      </w:r>
    </w:p>
    <w:p w14:paraId="5E882AD1" w14:textId="28DF8598" w:rsidR="00EA45F6" w:rsidRPr="005975F3" w:rsidRDefault="00EA45F6" w:rsidP="00EA45F6">
      <w:pPr>
        <w:pStyle w:val="NormalHanging12a"/>
        <w:ind w:left="0" w:firstLine="0"/>
        <w:jc w:val="center"/>
      </w:pPr>
      <w:r w:rsidRPr="005975F3">
        <w:t>°</w:t>
      </w:r>
    </w:p>
    <w:p w14:paraId="15FEF900" w14:textId="71A320E8" w:rsidR="00EA45F6" w:rsidRPr="005975F3" w:rsidRDefault="00EA45F6" w:rsidP="00EA45F6">
      <w:pPr>
        <w:pStyle w:val="NormalHanging12a"/>
        <w:ind w:left="0" w:firstLine="0"/>
        <w:jc w:val="center"/>
      </w:pPr>
      <w:r w:rsidRPr="005975F3">
        <w:t>°     °</w:t>
      </w:r>
    </w:p>
    <w:p w14:paraId="221D3C77" w14:textId="664B845B" w:rsidR="00E365E1" w:rsidRPr="005975F3" w:rsidRDefault="00B94D4A" w:rsidP="001568E5">
      <w:pPr>
        <w:pStyle w:val="NormalHanging12a"/>
      </w:pPr>
      <w:r w:rsidRPr="005975F3">
        <w:t>42.</w:t>
      </w:r>
      <w:r w:rsidRPr="005975F3">
        <w:tab/>
        <w:t>poveruje svoju predsedníčku, aby postúpila toto uznesenie Rade a Komisii.</w:t>
      </w:r>
    </w:p>
    <w:sectPr w:rsidR="00E365E1" w:rsidRPr="005975F3" w:rsidSect="00670D6A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4240A5" w14:textId="77777777" w:rsidR="00F05E58" w:rsidRPr="00670D6A" w:rsidRDefault="00F05E58">
      <w:r w:rsidRPr="00670D6A">
        <w:separator/>
      </w:r>
    </w:p>
  </w:endnote>
  <w:endnote w:type="continuationSeparator" w:id="0">
    <w:p w14:paraId="6DE9A328" w14:textId="77777777" w:rsidR="00F05E58" w:rsidRPr="00670D6A" w:rsidRDefault="00F05E58">
      <w:r w:rsidRPr="00670D6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2D84A2" w14:textId="77777777" w:rsidR="00064002" w:rsidRPr="00670D6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631048" w14:textId="77777777" w:rsidR="00064002" w:rsidRPr="00670D6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6960E4" w14:textId="77777777" w:rsidR="00064002" w:rsidRPr="00670D6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016445" w14:textId="77777777" w:rsidR="00F05E58" w:rsidRPr="00670D6A" w:rsidRDefault="00F05E58">
      <w:r w:rsidRPr="00670D6A">
        <w:separator/>
      </w:r>
    </w:p>
  </w:footnote>
  <w:footnote w:type="continuationSeparator" w:id="0">
    <w:p w14:paraId="0CB08097" w14:textId="77777777" w:rsidR="00F05E58" w:rsidRPr="00670D6A" w:rsidRDefault="00F05E58">
      <w:r w:rsidRPr="00670D6A">
        <w:continuationSeparator/>
      </w:r>
    </w:p>
  </w:footnote>
  <w:footnote w:id="1">
    <w:p w14:paraId="1C610025" w14:textId="152A3E90" w:rsidR="00B94D4A" w:rsidRPr="00670D6A" w:rsidRDefault="00B94D4A" w:rsidP="00670D6A">
      <w:pPr>
        <w:pStyle w:val="FootnoteText"/>
        <w:ind w:left="567" w:hanging="567"/>
        <w:rPr>
          <w:sz w:val="24"/>
          <w:lang w:val="sk-SK"/>
        </w:rPr>
      </w:pPr>
      <w:r w:rsidRPr="00670D6A">
        <w:rPr>
          <w:rStyle w:val="FootnoteReference"/>
          <w:sz w:val="24"/>
          <w:lang w:val="sk-SK"/>
        </w:rPr>
        <w:footnoteRef/>
      </w:r>
      <w:r w:rsidR="00670D6A" w:rsidRPr="00670D6A">
        <w:rPr>
          <w:sz w:val="24"/>
          <w:lang w:val="sk-SK"/>
        </w:rPr>
        <w:t xml:space="preserve"> </w:t>
      </w:r>
      <w:r w:rsidR="00670D6A" w:rsidRPr="00670D6A">
        <w:rPr>
          <w:sz w:val="24"/>
          <w:lang w:val="sk-SK"/>
        </w:rPr>
        <w:tab/>
      </w:r>
      <w:r w:rsidRPr="00670D6A">
        <w:rPr>
          <w:sz w:val="24"/>
          <w:lang w:val="sk-SK"/>
        </w:rPr>
        <w:t xml:space="preserve">Nariadenie Európskeho parlamentu a Rady (EÚ) 2024/1735 z 13. júna 2024 o zriadení rámca opatrení na posilnenie európskeho ekosystému výroby emisne neutrálnych technológií a o zmene nariadenia (EÚ) 2018/1724 </w:t>
      </w:r>
      <w:r w:rsidR="000C67B2">
        <w:rPr>
          <w:sz w:val="24"/>
          <w:lang w:val="sk-SK"/>
        </w:rPr>
        <w:t>(</w:t>
      </w:r>
      <w:r w:rsidRPr="00670D6A">
        <w:rPr>
          <w:sz w:val="24"/>
          <w:lang w:val="sk-SK"/>
        </w:rPr>
        <w:t xml:space="preserve">Ú. v. EÚ L, 2024/1735, 28.6.2024, ELI: </w:t>
      </w:r>
      <w:hyperlink r:id="rId1" w:history="1">
        <w:r w:rsidR="00EA45F6" w:rsidRPr="00EA45F6">
          <w:rPr>
            <w:rStyle w:val="Hyperlink"/>
            <w:sz w:val="24"/>
            <w:lang w:val="sk-SK"/>
          </w:rPr>
          <w:t>http://data.europa.eu/eli/reg/2024/1735/oj</w:t>
        </w:r>
      </w:hyperlink>
      <w:r w:rsidR="000C67B2">
        <w:rPr>
          <w:rStyle w:val="Hyperlink"/>
          <w:sz w:val="24"/>
          <w:lang w:val="sk-SK"/>
        </w:rPr>
        <w:t>)</w:t>
      </w:r>
      <w:r w:rsidRPr="00670D6A">
        <w:rPr>
          <w:sz w:val="24"/>
          <w:lang w:val="sk-SK"/>
        </w:rPr>
        <w:t>.</w:t>
      </w:r>
    </w:p>
  </w:footnote>
  <w:footnote w:id="2">
    <w:p w14:paraId="504F40F1" w14:textId="50EF42BB" w:rsidR="00B94D4A" w:rsidRPr="00670D6A" w:rsidRDefault="00B94D4A" w:rsidP="00670D6A">
      <w:pPr>
        <w:pStyle w:val="FootnoteText"/>
        <w:ind w:left="567" w:hanging="567"/>
        <w:rPr>
          <w:sz w:val="24"/>
          <w:lang w:val="sk-SK"/>
        </w:rPr>
      </w:pPr>
      <w:r w:rsidRPr="00670D6A">
        <w:rPr>
          <w:rStyle w:val="FootnoteReference"/>
          <w:sz w:val="24"/>
          <w:lang w:val="sk-SK"/>
        </w:rPr>
        <w:footnoteRef/>
      </w:r>
      <w:r w:rsidR="00670D6A" w:rsidRPr="00670D6A">
        <w:rPr>
          <w:sz w:val="24"/>
          <w:lang w:val="sk-SK"/>
        </w:rPr>
        <w:t xml:space="preserve"> </w:t>
      </w:r>
      <w:r w:rsidR="00670D6A" w:rsidRPr="00670D6A">
        <w:rPr>
          <w:sz w:val="24"/>
          <w:lang w:val="sk-SK"/>
        </w:rPr>
        <w:tab/>
      </w:r>
      <w:r w:rsidRPr="00670D6A">
        <w:rPr>
          <w:sz w:val="24"/>
          <w:lang w:val="sk-SK"/>
        </w:rPr>
        <w:t xml:space="preserve">Nariadenie Európskeho parlamentu a Rady (EÚ) č. 536/2014 zo 16. apríla 2014 o klinickom skúšaní liekov na humánne použitie, ktorým sa zrušuje smernica 2001/20/ES (Ú. v. EÚ L 158, 27.5.2014, s. 1, ELI: </w:t>
      </w:r>
      <w:hyperlink r:id="rId2" w:history="1">
        <w:r w:rsidRPr="00670D6A">
          <w:rPr>
            <w:rStyle w:val="Hyperlink"/>
            <w:sz w:val="24"/>
            <w:lang w:val="sk-SK"/>
          </w:rPr>
          <w:t>http://data.europa.eu/eli/reg/2014/536/oj</w:t>
        </w:r>
      </w:hyperlink>
      <w:r w:rsidRPr="00670D6A">
        <w:rPr>
          <w:sz w:val="24"/>
          <w:lang w:val="sk-SK"/>
        </w:rPr>
        <w:t>).</w:t>
      </w:r>
    </w:p>
  </w:footnote>
  <w:footnote w:id="3">
    <w:p w14:paraId="0B7B2B8E" w14:textId="7AC30F4B" w:rsidR="00B94D4A" w:rsidRPr="00670D6A" w:rsidRDefault="00B94D4A" w:rsidP="00670D6A">
      <w:pPr>
        <w:pStyle w:val="FootnoteText"/>
        <w:ind w:left="567" w:hanging="567"/>
        <w:rPr>
          <w:sz w:val="24"/>
          <w:lang w:val="sk-SK"/>
        </w:rPr>
      </w:pPr>
      <w:r w:rsidRPr="00670D6A">
        <w:rPr>
          <w:rStyle w:val="FootnoteReference"/>
          <w:sz w:val="24"/>
          <w:lang w:val="sk-SK"/>
        </w:rPr>
        <w:footnoteRef/>
      </w:r>
      <w:r w:rsidR="00670D6A" w:rsidRPr="00670D6A">
        <w:rPr>
          <w:sz w:val="24"/>
          <w:lang w:val="sk-SK"/>
        </w:rPr>
        <w:t xml:space="preserve"> </w:t>
      </w:r>
      <w:r w:rsidR="00670D6A" w:rsidRPr="00670D6A">
        <w:rPr>
          <w:sz w:val="24"/>
          <w:lang w:val="sk-SK"/>
        </w:rPr>
        <w:tab/>
      </w:r>
      <w:r w:rsidRPr="00670D6A">
        <w:rPr>
          <w:sz w:val="24"/>
          <w:lang w:val="sk-SK"/>
        </w:rPr>
        <w:t xml:space="preserve">Nariadenie Európskeho parlamentu a Rady (ES) č. 1907/2006 z 18. decembra 2006 o registrácii, hodnotení, autorizácii a obmedzovaní chemikálií (REACH) a o zriadení Európskej chemickej agentúry, o zmene a doplnení smernice 1999/45/ES a o zrušení nariadenia Rady (EHS) č. 793/93 a nariadenia Komisie (ES) č. 1488/94, smernice Rady 76/769/EHS a smerníc Komisie 91/155/EHS, 93/67/EHS, 93/105/ES a 2000/21/ES (Ú. v. EÚ L 396, 30.12.2006, s. 1, ELI: </w:t>
      </w:r>
      <w:hyperlink r:id="rId3" w:history="1">
        <w:r w:rsidRPr="00670D6A">
          <w:rPr>
            <w:rStyle w:val="Hyperlink"/>
            <w:sz w:val="24"/>
            <w:lang w:val="sk-SK"/>
          </w:rPr>
          <w:t>http://data.europa.eu/eli/reg/2006/1907/oj</w:t>
        </w:r>
      </w:hyperlink>
      <w:r w:rsidRPr="00670D6A">
        <w:rPr>
          <w:sz w:val="24"/>
          <w:lang w:val="sk-SK"/>
        </w:rPr>
        <w:t>).</w:t>
      </w:r>
    </w:p>
  </w:footnote>
  <w:footnote w:id="4">
    <w:p w14:paraId="0F429D70" w14:textId="10AEDD9A" w:rsidR="00B94D4A" w:rsidRPr="00670D6A" w:rsidRDefault="00B94D4A" w:rsidP="00670D6A">
      <w:pPr>
        <w:pStyle w:val="FootnoteText"/>
        <w:ind w:left="567" w:hanging="567"/>
        <w:rPr>
          <w:sz w:val="24"/>
          <w:lang w:val="sk-SK"/>
        </w:rPr>
      </w:pPr>
      <w:r w:rsidRPr="00670D6A">
        <w:rPr>
          <w:rStyle w:val="FootnoteReference"/>
          <w:sz w:val="24"/>
          <w:lang w:val="sk-SK"/>
        </w:rPr>
        <w:footnoteRef/>
      </w:r>
      <w:r w:rsidR="00670D6A" w:rsidRPr="00670D6A">
        <w:rPr>
          <w:sz w:val="24"/>
          <w:lang w:val="sk-SK"/>
        </w:rPr>
        <w:t xml:space="preserve"> </w:t>
      </w:r>
      <w:r w:rsidR="00670D6A" w:rsidRPr="00670D6A">
        <w:rPr>
          <w:sz w:val="24"/>
          <w:lang w:val="sk-SK"/>
        </w:rPr>
        <w:tab/>
      </w:r>
      <w:r w:rsidRPr="00670D6A">
        <w:rPr>
          <w:sz w:val="24"/>
          <w:lang w:val="sk-SK"/>
        </w:rPr>
        <w:t xml:space="preserve">Smernica Európskeho parlamentu a Rady (EÚ) 2023/2413 z 18. októbra 2023, ktorou sa mení smernica (EÚ) 2018/2001, nariadenie (EÚ) 2018/1999 a smernica 98/70/ES, pokiaľ ide o podporu energie z obnoviteľných zdrojov, a ktorou sa zrušuje smernica Rady (EÚ) 2015/652 (Ú. v. EÚ L, 2023/2413, 31.10.2023, ELI: </w:t>
      </w:r>
      <w:hyperlink w:history="1"/>
      <w:hyperlink r:id="rId4" w:history="1">
        <w:r w:rsidR="000C67B2" w:rsidRPr="000C67B2">
          <w:rPr>
            <w:rStyle w:val="Hyperlink"/>
            <w:sz w:val="24"/>
            <w:lang w:val="sk-SK"/>
          </w:rPr>
          <w:t>http://data.europa.eu/eli/dir/2023/2413/oj</w:t>
        </w:r>
      </w:hyperlink>
      <w:r w:rsidRPr="00670D6A">
        <w:rPr>
          <w:sz w:val="24"/>
          <w:lang w:val="sk-SK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7A56D7" w14:textId="77777777" w:rsidR="00064002" w:rsidRPr="00670D6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42ECDB" w14:textId="77777777" w:rsidR="00064002" w:rsidRPr="00670D6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33F393" w14:textId="77777777" w:rsidR="00064002" w:rsidRPr="00670D6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79187421">
    <w:abstractNumId w:val="9"/>
  </w:num>
  <w:num w:numId="2" w16cid:durableId="939724132">
    <w:abstractNumId w:val="9"/>
  </w:num>
  <w:num w:numId="3" w16cid:durableId="2058552808">
    <w:abstractNumId w:val="7"/>
  </w:num>
  <w:num w:numId="4" w16cid:durableId="236861635">
    <w:abstractNumId w:val="7"/>
  </w:num>
  <w:num w:numId="5" w16cid:durableId="1165361807">
    <w:abstractNumId w:val="6"/>
  </w:num>
  <w:num w:numId="6" w16cid:durableId="1134329606">
    <w:abstractNumId w:val="6"/>
  </w:num>
  <w:num w:numId="7" w16cid:durableId="1551309428">
    <w:abstractNumId w:val="5"/>
  </w:num>
  <w:num w:numId="8" w16cid:durableId="1511412445">
    <w:abstractNumId w:val="5"/>
  </w:num>
  <w:num w:numId="9" w16cid:durableId="353113757">
    <w:abstractNumId w:val="4"/>
  </w:num>
  <w:num w:numId="10" w16cid:durableId="273364623">
    <w:abstractNumId w:val="4"/>
  </w:num>
  <w:num w:numId="11" w16cid:durableId="152525480">
    <w:abstractNumId w:val="8"/>
  </w:num>
  <w:num w:numId="12" w16cid:durableId="345451555">
    <w:abstractNumId w:val="8"/>
  </w:num>
  <w:num w:numId="13" w16cid:durableId="1240628161">
    <w:abstractNumId w:val="3"/>
  </w:num>
  <w:num w:numId="14" w16cid:durableId="2046054472">
    <w:abstractNumId w:val="3"/>
  </w:num>
  <w:num w:numId="15" w16cid:durableId="284820592">
    <w:abstractNumId w:val="2"/>
  </w:num>
  <w:num w:numId="16" w16cid:durableId="1225918694">
    <w:abstractNumId w:val="2"/>
  </w:num>
  <w:num w:numId="17" w16cid:durableId="1219315130">
    <w:abstractNumId w:val="1"/>
  </w:num>
  <w:num w:numId="18" w16cid:durableId="1344043844">
    <w:abstractNumId w:val="1"/>
  </w:num>
  <w:num w:numId="19" w16cid:durableId="1781948714">
    <w:abstractNumId w:val="0"/>
  </w:num>
  <w:num w:numId="20" w16cid:durableId="2087878267">
    <w:abstractNumId w:val="0"/>
  </w:num>
  <w:num w:numId="21" w16cid:durableId="374502032">
    <w:abstractNumId w:val="9"/>
  </w:num>
  <w:num w:numId="22" w16cid:durableId="2118405625">
    <w:abstractNumId w:val="7"/>
  </w:num>
  <w:num w:numId="23" w16cid:durableId="2053070092">
    <w:abstractNumId w:val="6"/>
  </w:num>
  <w:num w:numId="24" w16cid:durableId="1717469011">
    <w:abstractNumId w:val="5"/>
  </w:num>
  <w:num w:numId="25" w16cid:durableId="947200658">
    <w:abstractNumId w:val="4"/>
  </w:num>
  <w:num w:numId="26" w16cid:durableId="812060664">
    <w:abstractNumId w:val="8"/>
  </w:num>
  <w:num w:numId="27" w16cid:durableId="648633483">
    <w:abstractNumId w:val="3"/>
  </w:num>
  <w:num w:numId="28" w16cid:durableId="1263101722">
    <w:abstractNumId w:val="2"/>
  </w:num>
  <w:num w:numId="29" w16cid:durableId="202328992">
    <w:abstractNumId w:val="1"/>
  </w:num>
  <w:num w:numId="30" w16cid:durableId="1259218118">
    <w:abstractNumId w:val="0"/>
  </w:num>
  <w:num w:numId="31" w16cid:durableId="1040015965">
    <w:abstractNumId w:val="9"/>
  </w:num>
  <w:num w:numId="32" w16cid:durableId="2141606646">
    <w:abstractNumId w:val="7"/>
  </w:num>
  <w:num w:numId="33" w16cid:durableId="2138988853">
    <w:abstractNumId w:val="6"/>
  </w:num>
  <w:num w:numId="34" w16cid:durableId="1422675198">
    <w:abstractNumId w:val="5"/>
  </w:num>
  <w:num w:numId="35" w16cid:durableId="1332635591">
    <w:abstractNumId w:val="4"/>
  </w:num>
  <w:num w:numId="36" w16cid:durableId="1701276903">
    <w:abstractNumId w:val="8"/>
  </w:num>
  <w:num w:numId="37" w16cid:durableId="555556068">
    <w:abstractNumId w:val="3"/>
  </w:num>
  <w:num w:numId="38" w16cid:durableId="1391227950">
    <w:abstractNumId w:val="2"/>
  </w:num>
  <w:num w:numId="39" w16cid:durableId="1955165489">
    <w:abstractNumId w:val="1"/>
  </w:num>
  <w:num w:numId="40" w16cid:durableId="777523607">
    <w:abstractNumId w:val="0"/>
  </w:num>
  <w:num w:numId="41" w16cid:durableId="602541056">
    <w:abstractNumId w:val="10"/>
  </w:num>
  <w:num w:numId="42" w16cid:durableId="1290546142">
    <w:abstractNumId w:val="10"/>
  </w:num>
  <w:num w:numId="43" w16cid:durableId="177934473">
    <w:abstractNumId w:val="10"/>
  </w:num>
  <w:num w:numId="44" w16cid:durableId="72059547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23/2025"/>
    <w:docVar w:name="dvlangue" w:val="SK"/>
    <w:docVar w:name="dvnumam" w:val="0"/>
    <w:docVar w:name="dvpe" w:val="768.143"/>
    <w:docVar w:name="dvrapporteur" w:val="Spravodajkyňa: "/>
    <w:docVar w:name="dvtitre" w:val="Uznesenie Európskeho parlamentu z xx. júla 2025 o budúcnosti odvetvia biotechnológie a biovýroby v EÚ: využívanie výskumu, podpora inovácií a zvyšovanie konkurencieschopnosti(2025/2008(INI))"/>
  </w:docVars>
  <w:rsids>
    <w:rsidRoot w:val="00F05E58"/>
    <w:rsid w:val="00002272"/>
    <w:rsid w:val="00064002"/>
    <w:rsid w:val="000677B9"/>
    <w:rsid w:val="000831BA"/>
    <w:rsid w:val="000A42CC"/>
    <w:rsid w:val="000C67B2"/>
    <w:rsid w:val="000E7DD9"/>
    <w:rsid w:val="0010095E"/>
    <w:rsid w:val="00125B37"/>
    <w:rsid w:val="001568E5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40AD2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975F3"/>
    <w:rsid w:val="005C2568"/>
    <w:rsid w:val="005F1B17"/>
    <w:rsid w:val="006037C0"/>
    <w:rsid w:val="006631B6"/>
    <w:rsid w:val="00670D6A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268EF"/>
    <w:rsid w:val="00930C23"/>
    <w:rsid w:val="0093193B"/>
    <w:rsid w:val="009509D8"/>
    <w:rsid w:val="00950B64"/>
    <w:rsid w:val="00981893"/>
    <w:rsid w:val="009E4FE1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94D4A"/>
    <w:rsid w:val="00BC0AC7"/>
    <w:rsid w:val="00BD48FE"/>
    <w:rsid w:val="00BD7BD8"/>
    <w:rsid w:val="00BE6ADC"/>
    <w:rsid w:val="00C05BFE"/>
    <w:rsid w:val="00C23CD4"/>
    <w:rsid w:val="00C61C0C"/>
    <w:rsid w:val="00C74333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A45F6"/>
    <w:rsid w:val="00EB006A"/>
    <w:rsid w:val="00EB4772"/>
    <w:rsid w:val="00ED169E"/>
    <w:rsid w:val="00ED4235"/>
    <w:rsid w:val="00F04346"/>
    <w:rsid w:val="00F05E58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5D44078"/>
  <w15:chartTrackingRefBased/>
  <w15:docId w15:val="{0E9A81DA-0341-49EA-8DDC-F910E5C64E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B94D4A"/>
    <w:pPr>
      <w:spacing w:before="480" w:after="240"/>
    </w:pPr>
    <w:rPr>
      <w:snapToGrid w:val="0"/>
      <w:lang w:eastAsia="en-US"/>
    </w:rPr>
  </w:style>
  <w:style w:type="paragraph" w:customStyle="1" w:styleId="NormalHanging12a">
    <w:name w:val="NormalHanging12a"/>
    <w:basedOn w:val="Normal"/>
    <w:rsid w:val="00B94D4A"/>
    <w:pPr>
      <w:widowControl/>
      <w:spacing w:after="240"/>
      <w:ind w:left="567" w:hanging="567"/>
    </w:pPr>
    <w:rPr>
      <w:snapToGrid w:val="0"/>
      <w:lang w:eastAsia="en-US"/>
    </w:rPr>
  </w:style>
  <w:style w:type="character" w:customStyle="1" w:styleId="BoldItalic">
    <w:name w:val="BoldItalic"/>
    <w:uiPriority w:val="1"/>
    <w:rsid w:val="00B94D4A"/>
    <w:rPr>
      <w:b/>
      <w:i/>
      <w:u w:val="none"/>
    </w:rPr>
  </w:style>
  <w:style w:type="character" w:customStyle="1" w:styleId="Italic">
    <w:name w:val="Italic"/>
    <w:uiPriority w:val="1"/>
    <w:rsid w:val="00B94D4A"/>
    <w:rPr>
      <w:i/>
    </w:rPr>
  </w:style>
  <w:style w:type="paragraph" w:customStyle="1" w:styleId="Normal12a24b">
    <w:name w:val="Normal12a24b"/>
    <w:basedOn w:val="Normal"/>
    <w:rsid w:val="00B94D4A"/>
    <w:pPr>
      <w:spacing w:before="360" w:after="240"/>
    </w:pPr>
    <w:rPr>
      <w:snapToGrid w:val="0"/>
      <w:lang w:eastAsia="en-US"/>
    </w:rPr>
  </w:style>
  <w:style w:type="character" w:styleId="Hyperlink">
    <w:name w:val="Hyperlink"/>
    <w:basedOn w:val="DefaultParagraphFont"/>
    <w:uiPriority w:val="99"/>
    <w:rsid w:val="00B94D4A"/>
    <w:rPr>
      <w:color w:val="0000FF"/>
      <w:u w:val="single"/>
    </w:rPr>
  </w:style>
  <w:style w:type="paragraph" w:styleId="Revision">
    <w:name w:val="Revision"/>
    <w:hidden/>
    <w:uiPriority w:val="99"/>
    <w:semiHidden/>
    <w:rsid w:val="001568E5"/>
    <w:rPr>
      <w:sz w:val="24"/>
      <w:lang w:val="sk-SK"/>
    </w:rPr>
  </w:style>
  <w:style w:type="character" w:styleId="UnresolvedMention">
    <w:name w:val="Unresolved Mention"/>
    <w:basedOn w:val="DefaultParagraphFont"/>
    <w:uiPriority w:val="99"/>
    <w:semiHidden/>
    <w:unhideWhenUsed/>
    <w:rsid w:val="000C67B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ur-lex.europa.eu/legal-content/SK/ALL/?uri=CELEX:52025DC0085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eur-lex.europa.eu/legal-content/SK/ALL/?uri=CELEX:52025DC0030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eur-lex.europa.eu/legal-content/EN/ALL/?uri=CELEX:52024DC0137" TargetMode="External"/><Relationship Id="rId14" Type="http://schemas.openxmlformats.org/officeDocument/2006/relationships/footer" Target="footer1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reg/2006/1907/oj" TargetMode="External"/><Relationship Id="rId2" Type="http://schemas.openxmlformats.org/officeDocument/2006/relationships/hyperlink" Target="http://data.europa.eu/eli/reg/2014/536/oj" TargetMode="External"/><Relationship Id="rId1" Type="http://schemas.openxmlformats.org/officeDocument/2006/relationships/hyperlink" Target="http://data.europa.eu/eli/reg/2024/1735/oj" TargetMode="External"/><Relationship Id="rId4" Type="http://schemas.openxmlformats.org/officeDocument/2006/relationships/hyperlink" Target="http://data.europa.eu/eli/dir/2023/2413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4636</Words>
  <Characters>30881</Characters>
  <Application>Microsoft Office Word</Application>
  <DocSecurity>0</DocSecurity>
  <Lines>857</Lines>
  <Paragraphs>507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35010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SOLTYSOVA Zuzana</cp:lastModifiedBy>
  <cp:revision>2</cp:revision>
  <cp:lastPrinted>2004-11-19T15:42:00Z</cp:lastPrinted>
  <dcterms:created xsi:type="dcterms:W3CDTF">2025-07-10T10:08:00Z</dcterms:created>
  <dcterms:modified xsi:type="dcterms:W3CDTF">2025-07-10T10:08:00Z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A10-0123/2025</vt:lpwstr>
  </property>
  <property fmtid="{D5CDD505-2E9C-101B-9397-08002B2CF9AE}" pid="4" name="&lt;Type&gt;">
    <vt:lpwstr>RR</vt:lpwstr>
  </property>
</Properties>
</file>