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77C1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77C1F" w:rsidRDefault="00354B87" w:rsidP="0010095E">
            <w:pPr>
              <w:pStyle w:val="EPName"/>
            </w:pPr>
            <w:r w:rsidRPr="00177C1F">
              <w:t>Evropský parlament</w:t>
            </w:r>
          </w:p>
          <w:p w:rsidR="00751A4A" w:rsidRPr="00177C1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77C1F">
              <w:t>2024</w:t>
            </w:r>
            <w:r w:rsidR="00817416" w:rsidRPr="00177C1F">
              <w:t>-202</w:t>
            </w:r>
            <w:r w:rsidRPr="00177C1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77C1F" w:rsidRDefault="00187494" w:rsidP="0010095E">
            <w:pPr>
              <w:pStyle w:val="EPLogo"/>
            </w:pPr>
            <w:r w:rsidRPr="00177C1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77C1F" w:rsidRDefault="00D058B8" w:rsidP="004C5D52">
      <w:pPr>
        <w:pStyle w:val="LineTop"/>
      </w:pPr>
    </w:p>
    <w:p w:rsidR="00680577" w:rsidRPr="00177C1F" w:rsidRDefault="00354B87" w:rsidP="00680577">
      <w:pPr>
        <w:pStyle w:val="EPBodyTA1"/>
      </w:pPr>
      <w:r w:rsidRPr="00177C1F">
        <w:t>PŘIJATÉ TEXTY</w:t>
      </w:r>
    </w:p>
    <w:p w:rsidR="00D058B8" w:rsidRPr="00177C1F" w:rsidRDefault="00D058B8" w:rsidP="00D058B8">
      <w:pPr>
        <w:pStyle w:val="LineBottom"/>
      </w:pPr>
    </w:p>
    <w:p w:rsidR="00354B87" w:rsidRPr="00177C1F" w:rsidRDefault="00354B87" w:rsidP="00354B87">
      <w:pPr>
        <w:pStyle w:val="ATHeading1"/>
      </w:pPr>
      <w:bookmarkStart w:id="0" w:name="TANumber"/>
      <w:r w:rsidRPr="00177C1F">
        <w:t>P10_TA(2025)0</w:t>
      </w:r>
      <w:bookmarkEnd w:id="0"/>
      <w:r w:rsidR="00C36998">
        <w:t>166</w:t>
      </w:r>
      <w:bookmarkStart w:id="1" w:name="_GoBack"/>
      <w:bookmarkEnd w:id="1"/>
    </w:p>
    <w:p w:rsidR="00354B87" w:rsidRPr="00177C1F" w:rsidRDefault="00354B87" w:rsidP="00354B87">
      <w:pPr>
        <w:pStyle w:val="ATHeading2"/>
      </w:pPr>
      <w:bookmarkStart w:id="2" w:name="title"/>
      <w:r w:rsidRPr="00177C1F">
        <w:t>Řešení omezení vývozu kritických surovin z Číny</w:t>
      </w:r>
      <w:bookmarkEnd w:id="2"/>
    </w:p>
    <w:p w:rsidR="00354B87" w:rsidRPr="00177C1F" w:rsidRDefault="00354B87" w:rsidP="00354B87">
      <w:pPr>
        <w:rPr>
          <w:i/>
          <w:vanish/>
        </w:rPr>
      </w:pPr>
      <w:r w:rsidRPr="00177C1F">
        <w:rPr>
          <w:i/>
        </w:rPr>
        <w:fldChar w:fldCharType="begin"/>
      </w:r>
      <w:r w:rsidRPr="00177C1F">
        <w:rPr>
          <w:i/>
        </w:rPr>
        <w:instrText xml:space="preserve"> TC"(</w:instrText>
      </w:r>
      <w:bookmarkStart w:id="3" w:name="DocNumber"/>
      <w:r w:rsidRPr="00177C1F">
        <w:rPr>
          <w:i/>
        </w:rPr>
        <w:instrText>B10-0324, 0329, 0330, 0331 a 0332/2025</w:instrText>
      </w:r>
      <w:bookmarkEnd w:id="3"/>
      <w:r w:rsidRPr="00177C1F">
        <w:rPr>
          <w:i/>
        </w:rPr>
        <w:instrText xml:space="preserve">)"\l3 \n&gt; \* MERGEFORMAT </w:instrText>
      </w:r>
      <w:r w:rsidRPr="00177C1F">
        <w:rPr>
          <w:i/>
        </w:rPr>
        <w:fldChar w:fldCharType="end"/>
      </w:r>
    </w:p>
    <w:p w:rsidR="00354B87" w:rsidRPr="00177C1F" w:rsidRDefault="00354B87" w:rsidP="00354B87">
      <w:pPr>
        <w:rPr>
          <w:vanish/>
        </w:rPr>
      </w:pPr>
      <w:bookmarkStart w:id="4" w:name="PE"/>
      <w:r w:rsidRPr="00177C1F">
        <w:rPr>
          <w:vanish/>
        </w:rPr>
        <w:t>PE774.020</w:t>
      </w:r>
      <w:bookmarkEnd w:id="4"/>
    </w:p>
    <w:p w:rsidR="00354B87" w:rsidRPr="00177C1F" w:rsidRDefault="00354B87" w:rsidP="00354B87">
      <w:pPr>
        <w:pStyle w:val="ATHeading3"/>
      </w:pPr>
      <w:bookmarkStart w:id="5" w:name="Sujet"/>
      <w:r w:rsidRPr="00177C1F">
        <w:t xml:space="preserve">Usnesení </w:t>
      </w:r>
      <w:r w:rsidR="00DA5749">
        <w:t>Evropského parlamentu ze dne 10. července</w:t>
      </w:r>
      <w:r w:rsidRPr="00177C1F">
        <w:t xml:space="preserve"> 2025 o řešení omezení vývozu kritických surovin z Číny</w:t>
      </w:r>
      <w:bookmarkEnd w:id="5"/>
      <w:r w:rsidRPr="00177C1F">
        <w:t xml:space="preserve"> </w:t>
      </w:r>
      <w:bookmarkStart w:id="6" w:name="References"/>
      <w:r w:rsidRPr="00177C1F">
        <w:t>(2025/2800(RSP))</w:t>
      </w:r>
      <w:bookmarkEnd w:id="6"/>
    </w:p>
    <w:p w:rsidR="00564ED1" w:rsidRPr="00177C1F" w:rsidRDefault="00564ED1" w:rsidP="00564ED1">
      <w:pPr>
        <w:pStyle w:val="EPComma"/>
      </w:pPr>
      <w:bookmarkStart w:id="7" w:name="TextBodyBegin"/>
      <w:bookmarkEnd w:id="7"/>
      <w:r w:rsidRPr="00177C1F">
        <w:rPr>
          <w:i/>
        </w:rPr>
        <w:t>Evropský parlament</w:t>
      </w:r>
      <w:r w:rsidRPr="00177C1F">
        <w:t>,</w:t>
      </w:r>
    </w:p>
    <w:p w:rsidR="00564ED1" w:rsidRPr="00177C1F" w:rsidRDefault="00564ED1" w:rsidP="00564ED1">
      <w:pPr>
        <w:pStyle w:val="NormalHanging12a"/>
      </w:pPr>
      <w:r w:rsidRPr="00177C1F">
        <w:t>–</w:t>
      </w:r>
      <w:r w:rsidRPr="00177C1F">
        <w:tab/>
        <w:t>s ohledem na svá předchozí usnesení o Číně,</w:t>
      </w:r>
    </w:p>
    <w:p w:rsidR="00564ED1" w:rsidRPr="00177C1F" w:rsidRDefault="00564ED1" w:rsidP="00564ED1">
      <w:pPr>
        <w:pStyle w:val="NormalHanging12a"/>
      </w:pPr>
      <w:r w:rsidRPr="00177C1F">
        <w:t>–</w:t>
      </w:r>
      <w:r w:rsidRPr="00177C1F">
        <w:tab/>
        <w:t>s ohledem na nadcházející summit EU-Čína, který se má konat ve dnech 24. a 25. července 2025,</w:t>
      </w:r>
    </w:p>
    <w:p w:rsidR="00564ED1" w:rsidRPr="00177C1F" w:rsidRDefault="00564ED1" w:rsidP="00564ED1">
      <w:pPr>
        <w:pStyle w:val="NormalHanging12a"/>
      </w:pPr>
      <w:r w:rsidRPr="00177C1F">
        <w:t>–</w:t>
      </w:r>
      <w:r w:rsidRPr="00177C1F">
        <w:tab/>
        <w:t>s ohledem na nařízení Evropského parlamentu a Rady (EU) 2024/1252 ze dne 11. dubna 2024, kterým se stanoví rámec pro zajištění bezpečných a udržitelných dodávek kritických surovin a mění nařízení (EU) č. 168/2013, (EU) 2018/858, (EU) 2018/1724 a (EU) 2019/1020(akt o kritických surovinách)</w:t>
      </w:r>
      <w:r w:rsidRPr="00177C1F">
        <w:rPr>
          <w:rStyle w:val="FootnoteReference"/>
        </w:rPr>
        <w:footnoteReference w:id="1"/>
      </w:r>
      <w:r w:rsidRPr="00177C1F">
        <w:t>,</w:t>
      </w:r>
    </w:p>
    <w:p w:rsidR="00564ED1" w:rsidRPr="00177C1F" w:rsidRDefault="00564ED1" w:rsidP="00564ED1">
      <w:pPr>
        <w:pStyle w:val="NormalHanging12a"/>
      </w:pPr>
      <w:r w:rsidRPr="00177C1F">
        <w:t>–</w:t>
      </w:r>
      <w:r w:rsidRPr="00177C1F">
        <w:tab/>
        <w:t>s ohledem na nařízení Evropského parlamentu a Rady (EU) 2024/1735 ze dne 13. června 2024, kterým se zřizuje rámec opatření pro posílení evropského ekosystému výroby technologií pro nulové čisté emise a mění nařízení (EU) 2018/1724(akt o průmyslu pro nulové čisté emise)</w:t>
      </w:r>
      <w:r w:rsidRPr="00177C1F">
        <w:rPr>
          <w:rStyle w:val="FootnoteReference"/>
        </w:rPr>
        <w:footnoteReference w:id="2"/>
      </w:r>
      <w:r w:rsidRPr="00177C1F">
        <w:t>,</w:t>
      </w:r>
    </w:p>
    <w:p w:rsidR="00564ED1" w:rsidRPr="00177C1F" w:rsidRDefault="00564ED1" w:rsidP="00564ED1">
      <w:pPr>
        <w:pStyle w:val="NormalHanging12a"/>
      </w:pPr>
      <w:r w:rsidRPr="00177C1F">
        <w:t>–</w:t>
      </w:r>
      <w:r w:rsidRPr="00177C1F">
        <w:tab/>
        <w:t>s ohledem na prohlášení vedoucích představitelů skupiny G7 o Akčním plánu skupiny G7 pro kritické nerostné suroviny,</w:t>
      </w:r>
    </w:p>
    <w:p w:rsidR="00564ED1" w:rsidRPr="00177C1F" w:rsidRDefault="00564ED1" w:rsidP="00564ED1">
      <w:pPr>
        <w:pStyle w:val="NormalHanging12a"/>
      </w:pPr>
      <w:r w:rsidRPr="00177C1F">
        <w:t>–</w:t>
      </w:r>
      <w:r w:rsidRPr="00177C1F">
        <w:tab/>
        <w:t>s ohledem na sdělení Komise ze dne 26. února 2025 nazvané „Dohoda o čistém průmyslu: společný plán konkurenceschopnosti a dekarbonizace“ (</w:t>
      </w:r>
      <w:proofErr w:type="gramStart"/>
      <w:r w:rsidRPr="00177C1F">
        <w:t>COM(2025</w:t>
      </w:r>
      <w:proofErr w:type="gramEnd"/>
      <w:r w:rsidRPr="00177C1F">
        <w:t>)0085),</w:t>
      </w:r>
    </w:p>
    <w:p w:rsidR="00564ED1" w:rsidRPr="00177C1F" w:rsidRDefault="00564ED1" w:rsidP="00564ED1">
      <w:pPr>
        <w:pStyle w:val="NormalHanging12a"/>
      </w:pPr>
      <w:r w:rsidRPr="00177C1F">
        <w:t>–</w:t>
      </w:r>
      <w:r w:rsidRPr="00177C1F">
        <w:tab/>
        <w:t>s ohledem na partnerství v oblasti čistého obchodu a investic, o nichž EU jedná, a na její partnerství v oblasti kritických surovin,</w:t>
      </w:r>
    </w:p>
    <w:p w:rsidR="00564ED1" w:rsidRPr="00177C1F" w:rsidRDefault="00564ED1" w:rsidP="00564ED1">
      <w:pPr>
        <w:pStyle w:val="NormalHanging12a"/>
      </w:pPr>
      <w:r w:rsidRPr="00177C1F">
        <w:t>–</w:t>
      </w:r>
      <w:r w:rsidRPr="00177C1F">
        <w:tab/>
        <w:t xml:space="preserve">s ohledem na společné sdělení Komise a vysokého představitele Unie pro zahraniční věci a bezpečnostní politiku ze dne 20. června 2023 nazvané „Evropská strategie hospodářské bezpečnosti“ (JOIN(2023)0020) a na projevy předsedkyně Komise Ursuly von der </w:t>
      </w:r>
      <w:proofErr w:type="spellStart"/>
      <w:r w:rsidRPr="00177C1F">
        <w:t>Leyenové</w:t>
      </w:r>
      <w:proofErr w:type="spellEnd"/>
      <w:r w:rsidRPr="00177C1F">
        <w:t xml:space="preserve"> o snižování rizik, které pronesla v Centru pro evropskou politiku dne 30. března 2023 a v Parlamentu dne 18. dubna 2023,</w:t>
      </w:r>
    </w:p>
    <w:p w:rsidR="00564ED1" w:rsidRPr="00177C1F" w:rsidRDefault="00564ED1" w:rsidP="00564ED1">
      <w:pPr>
        <w:pStyle w:val="NormalHanging12a"/>
      </w:pPr>
      <w:r w:rsidRPr="00177C1F">
        <w:lastRenderedPageBreak/>
        <w:t>–</w:t>
      </w:r>
      <w:r w:rsidRPr="00177C1F">
        <w:tab/>
        <w:t xml:space="preserve">s ohledem na 13. strategický dialog EU-Čína mezi místopředsedkyní Komise, vysokou představitelkou Unie pro zahraniční věci a bezpečnostní politiku </w:t>
      </w:r>
      <w:proofErr w:type="spellStart"/>
      <w:r w:rsidRPr="00177C1F">
        <w:t>Kajou</w:t>
      </w:r>
      <w:proofErr w:type="spellEnd"/>
      <w:r w:rsidRPr="00177C1F">
        <w:t xml:space="preserve"> </w:t>
      </w:r>
      <w:proofErr w:type="spellStart"/>
      <w:r w:rsidRPr="00177C1F">
        <w:t>Kallasovou</w:t>
      </w:r>
      <w:proofErr w:type="spellEnd"/>
      <w:r w:rsidRPr="00177C1F">
        <w:t xml:space="preserve"> a čínským ministrem zahraničních věcí </w:t>
      </w:r>
      <w:proofErr w:type="spellStart"/>
      <w:r w:rsidRPr="00177C1F">
        <w:t>Wang</w:t>
      </w:r>
      <w:proofErr w:type="spellEnd"/>
      <w:r w:rsidRPr="00177C1F">
        <w:t xml:space="preserve"> </w:t>
      </w:r>
      <w:proofErr w:type="spellStart"/>
      <w:r w:rsidRPr="00177C1F">
        <w:t>Iem</w:t>
      </w:r>
      <w:proofErr w:type="spellEnd"/>
      <w:r w:rsidRPr="00177C1F">
        <w:t>, který proběhl v Bruselu dne 2. července 2025,</w:t>
      </w:r>
    </w:p>
    <w:p w:rsidR="00564ED1" w:rsidRPr="00177C1F" w:rsidRDefault="00564ED1" w:rsidP="00564ED1">
      <w:pPr>
        <w:pStyle w:val="NormalHanging12a"/>
      </w:pPr>
      <w:r w:rsidRPr="00177C1F">
        <w:t>–</w:t>
      </w:r>
      <w:r w:rsidRPr="00177C1F">
        <w:tab/>
        <w:t xml:space="preserve">s ohledem na prohlášení předsedkyně Komise Ursuly von der </w:t>
      </w:r>
      <w:proofErr w:type="spellStart"/>
      <w:r w:rsidRPr="00177C1F">
        <w:t>Leyenové</w:t>
      </w:r>
      <w:proofErr w:type="spellEnd"/>
      <w:r w:rsidRPr="00177C1F">
        <w:t xml:space="preserve"> na summitu skupiny G7, který se konal ve dnech 16. až 17. června 2025 v kanadském </w:t>
      </w:r>
      <w:proofErr w:type="spellStart"/>
      <w:r w:rsidRPr="00177C1F">
        <w:t>Kananaskisu</w:t>
      </w:r>
      <w:proofErr w:type="spellEnd"/>
      <w:r w:rsidRPr="00177C1F">
        <w:t>,</w:t>
      </w:r>
    </w:p>
    <w:p w:rsidR="00564ED1" w:rsidRPr="00177C1F" w:rsidRDefault="00564ED1" w:rsidP="00564ED1">
      <w:pPr>
        <w:pStyle w:val="NormalHanging12a"/>
      </w:pPr>
      <w:r w:rsidRPr="00177C1F">
        <w:t>–</w:t>
      </w:r>
      <w:r w:rsidRPr="00177C1F">
        <w:tab/>
        <w:t>s ohledem na pravidla Světové obchodní organizace (WTO), zejména na zásady nediskriminace a transparentnosti, pokud jde o omezení vývozu,</w:t>
      </w:r>
    </w:p>
    <w:p w:rsidR="00564ED1" w:rsidRPr="00177C1F" w:rsidRDefault="00564ED1" w:rsidP="00564ED1">
      <w:pPr>
        <w:pStyle w:val="NormalHanging12a"/>
      </w:pPr>
      <w:r w:rsidRPr="00177C1F">
        <w:t>–</w:t>
      </w:r>
      <w:r w:rsidRPr="00177C1F">
        <w:tab/>
        <w:t>s ohledem na rozhodnutí WTO o řešení sporů DS431, DS432 a DS433 o čínských omezeních vývozu vzácných zemin,</w:t>
      </w:r>
    </w:p>
    <w:p w:rsidR="00564ED1" w:rsidRPr="00177C1F" w:rsidRDefault="00564ED1" w:rsidP="00564ED1">
      <w:pPr>
        <w:pStyle w:val="NormalHanging12a"/>
      </w:pPr>
      <w:r w:rsidRPr="00177C1F">
        <w:t>–</w:t>
      </w:r>
      <w:r w:rsidRPr="00177C1F">
        <w:tab/>
        <w:t>s ohledem na obecné zásady OSN v oblasti podnikání a lidských práv,</w:t>
      </w:r>
    </w:p>
    <w:p w:rsidR="00564ED1" w:rsidRPr="00177C1F" w:rsidRDefault="00564ED1" w:rsidP="00564ED1">
      <w:pPr>
        <w:pStyle w:val="NormalHanging12a"/>
      </w:pPr>
      <w:r w:rsidRPr="00177C1F">
        <w:t>–</w:t>
      </w:r>
      <w:r w:rsidRPr="00177C1F">
        <w:tab/>
        <w:t>s ohledem na čl. 136 odst. 2 a 4 jednacího řádu,</w:t>
      </w:r>
    </w:p>
    <w:p w:rsidR="00564ED1" w:rsidRPr="00177C1F" w:rsidRDefault="00564ED1" w:rsidP="00564ED1">
      <w:pPr>
        <w:pStyle w:val="NormalHanging12a"/>
      </w:pPr>
      <w:r w:rsidRPr="00177C1F">
        <w:t>A.</w:t>
      </w:r>
      <w:r w:rsidRPr="00177C1F">
        <w:tab/>
        <w:t>vzhledem k tomu, že dne 4. dubna 2025 začala Čína uplatňovat vývozní omezení pro 7 ze 17 prvků vzácných zemin a pro permanentní magnety, které se z nich vyrábějí, přičemž zavedla systém neautomatického udělování licencí a jako odůvodnění uvedla hlediska dvojího užití a bezpečnosti; vzhledem k tomu, že seznam položek, na něž se tato omezení vztahují, zahrnuje středně těžké a těžké prvky vzácných zemin (samarium, gadolinium, terbium, dysprosium, lutecium, skandium a yttrium);</w:t>
      </w:r>
    </w:p>
    <w:p w:rsidR="00564ED1" w:rsidRPr="00177C1F" w:rsidRDefault="00564ED1" w:rsidP="00564ED1">
      <w:pPr>
        <w:pStyle w:val="NormalHanging12a"/>
      </w:pPr>
      <w:r w:rsidRPr="00177C1F">
        <w:t>B.</w:t>
      </w:r>
      <w:r w:rsidRPr="00177C1F">
        <w:tab/>
        <w:t>vzhledem k tomu, že kritické suroviny představují základní vstupy pro širokou škálu průmyslových výrobků a procesů, a to i v kritických odvětvích, jako jsou čisté technologie, digitální technologie, zdravotní péče a obrana; vzhledem k tomu, že bezpečné a udržitelné dodávky kritických surovin mají zásadní význam pro dosažení cílů Unie v oblasti klimatu, digitalizace, konkurenceschopnosti a obrany;</w:t>
      </w:r>
    </w:p>
    <w:p w:rsidR="00564ED1" w:rsidRPr="00177C1F" w:rsidRDefault="00564ED1" w:rsidP="00564ED1">
      <w:pPr>
        <w:pStyle w:val="NormalHanging12a"/>
      </w:pPr>
      <w:r w:rsidRPr="00177C1F">
        <w:t>C.</w:t>
      </w:r>
      <w:r w:rsidRPr="00177C1F">
        <w:tab/>
        <w:t>vzhledem k tomu, že objem vývozu se údajně snížil až o 80 %, což má obrovský dopad na širokou škálu odvětví, včetně elektroniky a spotřebitelských technologií, zelené energie a obnovitelných zdrojů energie, automobilového průmyslu, letectví a zdravotní péče;</w:t>
      </w:r>
    </w:p>
    <w:p w:rsidR="00564ED1" w:rsidRPr="00177C1F" w:rsidRDefault="00564ED1" w:rsidP="00564ED1">
      <w:pPr>
        <w:pStyle w:val="NormalHanging12a"/>
      </w:pPr>
      <w:r w:rsidRPr="00177C1F">
        <w:t>D.</w:t>
      </w:r>
      <w:r w:rsidRPr="00177C1F">
        <w:tab/>
        <w:t xml:space="preserve">vzhledem k tomu, že závislost EU na Číně, pokud jde o kritické suroviny, nadále roste nebo je v nejlepším případě setrvale vysoká; vzhledem k tomu, že globální dodavatelský řetězec vzácných zemin je z velké části soustředěn v Číně, která má kontrolu nad přibližně 75 % těžební produkce a 85 % zpracovatelské kapacity, přičemž v případě některých vzácných zemin, jako je terbium, yttrium a dysprosium, dosahuje více než 95 %; vzhledem k tomu, že EU je i nadále příliš závislá na třetích zemích, pokud jde o dodávky kritických surovin, a téměř zcela závislá na Číně, pokud jde o dodávky těžkých prvků vzácných zemin; vzhledem k tomu, že EU pokrývá 98 % své poptávky po permanentních magnetech a 92 % své poptávky po magnetech </w:t>
      </w:r>
      <w:proofErr w:type="spellStart"/>
      <w:r w:rsidRPr="00177C1F">
        <w:t>NdFeB</w:t>
      </w:r>
      <w:proofErr w:type="spellEnd"/>
      <w:r w:rsidRPr="00177C1F">
        <w:t xml:space="preserve"> dovozem z Číny;</w:t>
      </w:r>
    </w:p>
    <w:p w:rsidR="00564ED1" w:rsidRPr="00177C1F" w:rsidRDefault="00564ED1" w:rsidP="00564ED1">
      <w:pPr>
        <w:pStyle w:val="NormalHanging12a"/>
        <w:rPr>
          <w:rFonts w:eastAsia="Calibri"/>
        </w:rPr>
      </w:pPr>
      <w:r w:rsidRPr="00177C1F">
        <w:t>E.</w:t>
      </w:r>
      <w:r w:rsidRPr="00177C1F">
        <w:tab/>
        <w:t xml:space="preserve">vzhledem k tomu, že Čína výrazně rozšířila své dominantní postavení v celosvětové těžbě, zpracování a rafinaci kritických surovin a meziproduktů, čímž vytvořila strategickou závislost v klíčových hodnotových řetězcích, kterou někdy záměrně využívá prostřednictvím omezujících obchodních opatření; vzhledem k tomu, že Čína v roce 2010 poprvé omezila vývoz prvků vzácných zemin v důsledku územního sporu </w:t>
      </w:r>
      <w:r w:rsidRPr="00177C1F">
        <w:lastRenderedPageBreak/>
        <w:t xml:space="preserve">s Japonskem, nicméně toto omezení bylo Odvolacím orgánem prohlášeno za neslučitelné s pravidly WTO; vzhledem k tomu, že Čína rovněž uplatňuje rozsáhlá omezení vývozu surovin, které EU klasifikuje jako strategické a/nebo kritické, včetně </w:t>
      </w:r>
      <w:proofErr w:type="spellStart"/>
      <w:r w:rsidRPr="00177C1F">
        <w:t>gallia</w:t>
      </w:r>
      <w:proofErr w:type="spellEnd"/>
      <w:r w:rsidRPr="00177C1F">
        <w:t xml:space="preserve"> a germania od 1. srpna 2023, grafitu od prosince 2023, výrobků z antimonu od 15. září 2024, wolframu a bismutu od 4. února 2025 a skandia od 17. dubna 2025;</w:t>
      </w:r>
    </w:p>
    <w:p w:rsidR="00564ED1" w:rsidRPr="00177C1F" w:rsidRDefault="00564ED1" w:rsidP="00564ED1">
      <w:pPr>
        <w:pStyle w:val="NormalHanging12a"/>
      </w:pPr>
      <w:r w:rsidRPr="00177C1F">
        <w:t>F.</w:t>
      </w:r>
      <w:r w:rsidRPr="00177C1F">
        <w:tab/>
        <w:t xml:space="preserve">vzhledem k tomu, že uplatňování těchto vývozních omezení již začalo způsobovat vážná narušení průmyslové výroby v EU, včetně automobilového průmyslu, přičemž v květnu 2025 bylo dočasně odstaveno až 17 montážních linek; vzhledem k tomu, že problémům by mohla čelit široká škála odvětví, jako je zdravotní péče, vesmír a obrana (včetně stíhacích letounů, fregat, </w:t>
      </w:r>
      <w:proofErr w:type="spellStart"/>
      <w:r w:rsidRPr="00177C1F">
        <w:t>dronů</w:t>
      </w:r>
      <w:proofErr w:type="spellEnd"/>
      <w:r w:rsidRPr="00177C1F">
        <w:t xml:space="preserve"> a přesně naváděných systémů zbraní), výroba větrných turbín a baterií, stejně jako ekologická a digitální transformace obecně;</w:t>
      </w:r>
    </w:p>
    <w:p w:rsidR="00564ED1" w:rsidRPr="00177C1F" w:rsidRDefault="00564ED1" w:rsidP="00564ED1">
      <w:pPr>
        <w:pStyle w:val="NormalHanging12a"/>
        <w:rPr>
          <w:rFonts w:eastAsia="Calibri"/>
        </w:rPr>
      </w:pPr>
      <w:r w:rsidRPr="00177C1F">
        <w:t>G.</w:t>
      </w:r>
      <w:r w:rsidRPr="00177C1F">
        <w:tab/>
        <w:t>vzhledem k tomu, že čínské licenční řízení vyžaduje, aby žadatelé předávali čínským orgánům citlivé informace, což porušuje hospodářské tajemství; vzhledem k tomu, že aktualizovaný čínský rámec pro kontrolu vývozu z prosince 2024 propůjčuje čínskému ministerstvu obchodu, Státní radě a Ústřední vojenské komisi větší diskreční pravomoci k tomu, aby kontroly vývozu uvalilo i na zboží, které není formálně vedeno jako zboží dvojího užití; vzhledem k tomu, že tato nová pravidla zahrnují opatření s </w:t>
      </w:r>
      <w:proofErr w:type="spellStart"/>
      <w:r w:rsidRPr="00177C1F">
        <w:t>extrateritoriálním</w:t>
      </w:r>
      <w:proofErr w:type="spellEnd"/>
      <w:r w:rsidRPr="00177C1F">
        <w:t xml:space="preserve"> dopadem;</w:t>
      </w:r>
    </w:p>
    <w:p w:rsidR="00564ED1" w:rsidRPr="00177C1F" w:rsidRDefault="00564ED1" w:rsidP="00564ED1">
      <w:pPr>
        <w:pStyle w:val="NormalHanging12a"/>
        <w:rPr>
          <w:rFonts w:eastAsia="Calibri"/>
        </w:rPr>
      </w:pPr>
      <w:r w:rsidRPr="00177C1F">
        <w:t>H.</w:t>
      </w:r>
      <w:r w:rsidRPr="00177C1F">
        <w:tab/>
        <w:t>vzhledem k tomu, že EU uplatňuje kontroly vývozu některých druhů kritických a pokročilých materiálů, ale tyto kontroly jsou jasně zaměřeny na druhy materiálů s přesnými technickými parametry, jež se týkají jejich použití ve zvláštních vojenských aplikacích, neovlivňují obchod s komerčními produkty, které nepatří mezi citlivé, a představují pouze malý podíl na celkovém vývozu těchto materiálů;</w:t>
      </w:r>
    </w:p>
    <w:p w:rsidR="00564ED1" w:rsidRPr="00177C1F" w:rsidRDefault="00564ED1" w:rsidP="00564ED1">
      <w:pPr>
        <w:pStyle w:val="NormalHanging12a"/>
        <w:rPr>
          <w:rFonts w:eastAsia="Calibri"/>
        </w:rPr>
      </w:pPr>
      <w:r w:rsidRPr="00177C1F">
        <w:t>I.</w:t>
      </w:r>
      <w:r w:rsidRPr="00177C1F">
        <w:tab/>
        <w:t xml:space="preserve">vzhledem k tomu, že Čína záměrně uplatňuje strategii cenového podbízení na světovém trhu a zároveň udržuje svůj domácí trh uzavřený, obecně ve prospěch státních podniků, a spojuje to s rozsáhlými dotačními režimy, což vede k výraznému narušení celosvětové hospodářské soutěže a ohrožuje nedávné úsilí EU a jejích členských států o zachování zbývajících těžebních odvětví v EU; </w:t>
      </w:r>
    </w:p>
    <w:p w:rsidR="00564ED1" w:rsidRPr="00177C1F" w:rsidRDefault="00564ED1" w:rsidP="00564ED1">
      <w:pPr>
        <w:pStyle w:val="NormalHanging12a"/>
      </w:pPr>
      <w:r w:rsidRPr="00177C1F">
        <w:t>J.</w:t>
      </w:r>
      <w:r w:rsidRPr="00177C1F">
        <w:tab/>
        <w:t>vzhledem k tomu, že EU přijala v dubnu 2024 evropský akt o kritických surovinách, který je výchozím bodem snah o zlepšení odolnosti a autonomie dodávek kritických a strategických surovin do EU; vzhledem k tomu, že akt o kritických surovinách řeší problematiku nabídky i poptávky,</w:t>
      </w:r>
      <w:r w:rsidR="00DA5749">
        <w:t xml:space="preserve"> a to mimo jiné prostřednictvím</w:t>
      </w:r>
      <w:r w:rsidRPr="00177C1F">
        <w:t xml:space="preserve"> výrobních cílů, účinného využívání zdrojů v zájmu tlumení spotřeby a nahrazování strategických surovin; vzhledem k tomu, že jádrem aktu o kritických surovinách je princip </w:t>
      </w:r>
      <w:proofErr w:type="spellStart"/>
      <w:r w:rsidRPr="00177C1F">
        <w:t>oběhovosti</w:t>
      </w:r>
      <w:proofErr w:type="spellEnd"/>
      <w:r w:rsidRPr="00177C1F">
        <w:t>, neboť jeho cílem je dosáhnout toho, aby 25 % strategických surovin, které Unie potřebuje, bylo do roku 2030 získáváno pomocí recyklace, a aby bylo z odpadu recyklováno mnohem větší množství každé z těchto surovin, mimo jiné pro výrobu permanentních magnetů;</w:t>
      </w:r>
    </w:p>
    <w:p w:rsidR="00564ED1" w:rsidRPr="00177C1F" w:rsidRDefault="00564ED1" w:rsidP="00564ED1">
      <w:pPr>
        <w:pStyle w:val="NormalHanging12a"/>
        <w:rPr>
          <w:bCs/>
        </w:rPr>
      </w:pPr>
      <w:r w:rsidRPr="00177C1F">
        <w:t>K.</w:t>
      </w:r>
      <w:r w:rsidRPr="00177C1F">
        <w:tab/>
        <w:t>vzhledem k tomu, že nadcházející summit EU-Čína je příležitostí k tomu, abychom zahájili dialog a zároveň nadále důrazně vystupovali proti nátlaku;</w:t>
      </w:r>
    </w:p>
    <w:p w:rsidR="00564ED1" w:rsidRPr="00177C1F" w:rsidRDefault="00564ED1" w:rsidP="00564ED1">
      <w:pPr>
        <w:pStyle w:val="NormalHanging12a"/>
      </w:pPr>
      <w:r w:rsidRPr="00177C1F">
        <w:t>L.</w:t>
      </w:r>
      <w:r w:rsidRPr="00177C1F">
        <w:tab/>
        <w:t>vzhledem k tomu, že Čína dosud uplatňuje sankce vůči bývalému poslanci EP, členům parlamentů členských států a několika evropským analytickým střediskům;</w:t>
      </w:r>
    </w:p>
    <w:p w:rsidR="00564ED1" w:rsidRPr="00177C1F" w:rsidRDefault="00564ED1" w:rsidP="00564ED1">
      <w:pPr>
        <w:pStyle w:val="NormalHanging12a"/>
      </w:pPr>
      <w:r w:rsidRPr="00177C1F">
        <w:t>1.</w:t>
      </w:r>
      <w:r w:rsidRPr="00177C1F">
        <w:tab/>
        <w:t xml:space="preserve">ostře odsuzuje rozhodnutí Číny zavést omezení vývozu prvků vzácných zemin, které </w:t>
      </w:r>
      <w:r w:rsidRPr="00177C1F">
        <w:lastRenderedPageBreak/>
        <w:t>vedlo k zastavení vývozu a výrazně narušilo dodavatelské řetězce zásadního významu pro automobilový průmysl, výrobce obranného vybavení, podniky v oblasti polovodičů, ekologické technologie, zdravotnické aplikace a další odvětví v EU a po celém světě; je přesvědčen, že jednání Číny je neodůvodněné a je ve skutečnosti nátlakovou akcí, kdy Čína využívá obrovskou sílu, kterou jí dává její v podstatě monopolní postavení na globálním trhu;</w:t>
      </w:r>
    </w:p>
    <w:p w:rsidR="00564ED1" w:rsidRPr="00177C1F" w:rsidRDefault="00564ED1" w:rsidP="00564ED1">
      <w:pPr>
        <w:pStyle w:val="NormalHanging12a"/>
      </w:pPr>
      <w:r w:rsidRPr="00177C1F">
        <w:t>2.</w:t>
      </w:r>
      <w:r w:rsidRPr="00177C1F">
        <w:tab/>
      </w:r>
      <w:bookmarkStart w:id="8" w:name="_Hlk202535774"/>
      <w:r w:rsidRPr="00177C1F">
        <w:t>je přesvědčen, že Čína využívá tato vývozní omezení k posílení své vyjednávací pozice; zdůrazňuje, že EU musí důrazně odmítnout veškeré pokusy Číny využít tato omezení k vynucení ústupků při jednáních o jiných aktuálních překážkách obchodu, a je přesvědčen, že jakékoli ústupky vůči Číně v této věci by snížily schopnost EU bránit se současným i budoucím tlakům;</w:t>
      </w:r>
      <w:bookmarkEnd w:id="8"/>
    </w:p>
    <w:p w:rsidR="00564ED1" w:rsidRPr="00177C1F" w:rsidRDefault="00564ED1" w:rsidP="00564ED1">
      <w:pPr>
        <w:pStyle w:val="NormalHanging12a"/>
      </w:pPr>
      <w:r w:rsidRPr="00177C1F">
        <w:t>3.</w:t>
      </w:r>
      <w:r w:rsidRPr="00177C1F">
        <w:tab/>
      </w:r>
      <w:bookmarkStart w:id="9" w:name="_Hlk202907727"/>
      <w:r w:rsidRPr="00177C1F">
        <w:t>zdůrazňuje, že je velmi důležité, aby EU na nadcházejícím summitu s Čínou vyjádřila znepokojení nad omezením vývozu prvků vzácných zemin z Číny a nad jeho širšími důsledky pro globální dodavatelské řetězce; je přesvědčen, že kontroly vývozu by měly být součástí mnohostranného přístupu, jehož smyslem je mezinárodní bezpečnost, a zajišťovat rovné podmínky na globální úrovni; trvá na tom, že jednostranné kontroly se musí omezovat na to, co je nezbytně nutné z důvodu národní bezpečnosti, a musí se řídit transparentními a jednoznačně definovanými pravidly, a proto zdůrazňuje, že jednání Číny je v rozporu s mnohostrannými pravidly a postupy, a </w:t>
      </w:r>
      <w:bookmarkStart w:id="10" w:name="_Hlk202909856"/>
      <w:r w:rsidRPr="00177C1F">
        <w:t>vyzývá Komisi a členské státy, aby zaujaly pevný a jednotný postoj, zahájily jednání s Čínou s cílem dospět ke strukturálnímu řešení a pokračovaly v dialogu s Čínou v tomto ohledu</w:t>
      </w:r>
      <w:bookmarkEnd w:id="10"/>
      <w:r w:rsidRPr="00177C1F">
        <w:t>;</w:t>
      </w:r>
      <w:bookmarkEnd w:id="9"/>
    </w:p>
    <w:p w:rsidR="00564ED1" w:rsidRPr="00177C1F" w:rsidRDefault="00564ED1" w:rsidP="00564ED1">
      <w:pPr>
        <w:pStyle w:val="NormalHanging12a"/>
      </w:pPr>
      <w:r w:rsidRPr="00177C1F">
        <w:t>4.</w:t>
      </w:r>
      <w:r w:rsidRPr="00177C1F">
        <w:tab/>
        <w:t>žádá čínské orgány, aby na základě svého návrhu učinily reálné kroky a veškerá tato vývozní omezení zrušily; bere mezitím na vědomí aktuální návrh čínských orgánů na vytvoření takzvaných „zelených pruhů“, které by zjednodušily postupy pro evropské podniky;</w:t>
      </w:r>
    </w:p>
    <w:p w:rsidR="00564ED1" w:rsidRPr="00177C1F" w:rsidRDefault="00564ED1" w:rsidP="00564ED1">
      <w:pPr>
        <w:pStyle w:val="NormalHanging12a"/>
      </w:pPr>
      <w:r w:rsidRPr="00177C1F">
        <w:t>5.</w:t>
      </w:r>
      <w:r w:rsidRPr="00177C1F">
        <w:tab/>
      </w:r>
      <w:bookmarkStart w:id="11" w:name="_Hlk202909943"/>
      <w:r w:rsidRPr="00177C1F">
        <w:t xml:space="preserve">poukazuje na to, že EU musí co nejdříve zvýšit svou strategickou sílu a nepostradatelnost tím, že bude jednak definovat, využívat a posilovat oblasti, v nichž má před Čínou zásadní výhody, pokud jde o základní zboží a technologie, s cílem posílit strategickou autonomii EU, a jednak omezí přístup rizikových čínských prodejců na vnitřní trh EU v souladu s unijním a mezinárodním obchodním právem; </w:t>
      </w:r>
      <w:r w:rsidRPr="00177C1F">
        <w:tab/>
      </w:r>
      <w:bookmarkEnd w:id="11"/>
    </w:p>
    <w:p w:rsidR="00564ED1" w:rsidRPr="00177C1F" w:rsidRDefault="00564ED1" w:rsidP="00564ED1">
      <w:pPr>
        <w:pStyle w:val="NormalHanging12a"/>
      </w:pPr>
      <w:r w:rsidRPr="00177C1F">
        <w:t>6.</w:t>
      </w:r>
      <w:r w:rsidRPr="00177C1F">
        <w:tab/>
        <w:t>domnívá se, že Čína bez pádných důvodů účelově využívá svých dodavatelských řetězců kritických surovin, které se tak stávají nespolehlivým zdrojem pro kritická odvětví a hrozbou pro hospodářské a klíčové bezpečnostní zájmy Unie;</w:t>
      </w:r>
    </w:p>
    <w:p w:rsidR="00564ED1" w:rsidRPr="00177C1F" w:rsidRDefault="00564ED1" w:rsidP="00564ED1">
      <w:pPr>
        <w:pStyle w:val="NormalHanging12a"/>
      </w:pPr>
      <w:r w:rsidRPr="00177C1F">
        <w:t>7.</w:t>
      </w:r>
      <w:r w:rsidRPr="00177C1F">
        <w:tab/>
        <w:t>vyjadřuje hluboké znepokojení nad požadavky kladenými na žadatele o vývozní licence, kteří musí čínským orgánům předávat citlivé údaje, a nad značným rizikem úniku technologií, které je s tím spojeno, pokud jde o hodnotový řetězec technologické a průmyslové základny obrany a utajované skutečnosti týkající se národní bezpečnosti; domnívá se, že je velmi důležité, aby Komise a členské státy posoudily a zmírnily bezpečnostní důsledky předávání těchto údajů v souladu s evropskou strategií ekonomické bezpečnosti;</w:t>
      </w:r>
    </w:p>
    <w:p w:rsidR="00564ED1" w:rsidRPr="00177C1F" w:rsidRDefault="00564ED1" w:rsidP="00564ED1">
      <w:pPr>
        <w:pStyle w:val="NormalHanging12a"/>
        <w:rPr>
          <w:bCs/>
        </w:rPr>
      </w:pPr>
      <w:r w:rsidRPr="00177C1F">
        <w:t>8.</w:t>
      </w:r>
      <w:r w:rsidRPr="00177C1F">
        <w:tab/>
        <w:t xml:space="preserve">žádá Komisi a členské státy, aby uspíšily provedení aktu o kritických surovinách; poukazuje na to, že z hlediska rychlého a účinného provedení aktu o kritických surovinách hraje důležitou úlohu Evropská rada pro suroviny a její podskupiny; připomíná, že v zájmu posílení kapacity EU v oblasti těžby, zpracování a recyklace </w:t>
      </w:r>
      <w:r w:rsidRPr="00177C1F">
        <w:lastRenderedPageBreak/>
        <w:t>strategických surovin na domácí půdě byly stanoveny jasné a ambiciózní cíle, které mají být splněny do roku 2030; poukazuje na to, že v rámci aktu o kritických surovinách již bylo vybráno prvních 60 strategických projektů;</w:t>
      </w:r>
    </w:p>
    <w:p w:rsidR="00564ED1" w:rsidRPr="00177C1F" w:rsidRDefault="00564ED1" w:rsidP="00564ED1">
      <w:pPr>
        <w:pStyle w:val="NormalHanging12a"/>
        <w:rPr>
          <w:bCs/>
        </w:rPr>
      </w:pPr>
      <w:r w:rsidRPr="00177C1F">
        <w:t>9.</w:t>
      </w:r>
      <w:r w:rsidRPr="00177C1F">
        <w:tab/>
        <w:t xml:space="preserve">vyjadřuje politování nad tím, že na akt o kritických surovinách není vyčleněn samostatný oddíl rozpočtu EU, a to přesto, že právě nedostatek finančních prostředků je při jeho uplatňování hlavním problémem; poukazuje na to, že je třeba co nejdříve zabezpečit investice do strategických projektů schválených na základě aktu o kritických surovinách a investice do jiných projektů na podporu těžby, rafinace, zpracování a recyklace, které přispívají ke snížení rizik, jež představuje Čína, a k dosažení referenčních hodnot aktu o kritických surovinách; žádá Komisi, aby na úrovni EU poskytla další podporu na diverzifikaci dodávek prvků vzácných zemin a kritických surovin a aby zaručila, že v příštím víceletém finančním rámci bude rozpočtová položka na podporu investic do těžby, zpracování, </w:t>
      </w:r>
      <w:proofErr w:type="spellStart"/>
      <w:r w:rsidRPr="00177C1F">
        <w:t>oběhovosti</w:t>
      </w:r>
      <w:proofErr w:type="spellEnd"/>
      <w:r w:rsidRPr="00177C1F">
        <w:t>, výzkumu a inovací, včetně nahrazování kritických surovin;</w:t>
      </w:r>
    </w:p>
    <w:p w:rsidR="00564ED1" w:rsidRPr="00177C1F" w:rsidRDefault="00564ED1" w:rsidP="00564ED1">
      <w:pPr>
        <w:pStyle w:val="NormalHanging12a"/>
      </w:pPr>
      <w:r w:rsidRPr="00177C1F">
        <w:t>10.</w:t>
      </w:r>
      <w:r w:rsidRPr="00177C1F">
        <w:tab/>
        <w:t>zdůrazňuje, že EU musí tyto suroviny těžit na svém území a obnovit svou zpracovatelskou kapacitu; zdůrazňuje, že jedním z cílů aktu o kritických surovinách je zvýšení účinnosti při využívání zdrojů prostřednictvím technologických inovací; poukazuje na to, že postupy recyklace a získávání surovin z městských odpadů mají velký potenciál zmírnit v krátkodobém horizontu omezení na straně dodávky, a žádá Komisi, aby přijala okamžitá opatření ke zlepšení sběru a uchovávání prvků vzácných zemin na vnitřním trhu;</w:t>
      </w:r>
    </w:p>
    <w:p w:rsidR="00564ED1" w:rsidRPr="00177C1F" w:rsidRDefault="00564ED1" w:rsidP="00564ED1">
      <w:pPr>
        <w:pStyle w:val="NormalHanging12a"/>
      </w:pPr>
      <w:r w:rsidRPr="00177C1F">
        <w:t>11.</w:t>
      </w:r>
      <w:r w:rsidRPr="00177C1F">
        <w:tab/>
        <w:t>zdůrazňuje, že je třeba zajistit, aby investice do hodnotových řetězců kritických surovin byly ekonomicky výhodné a životaschopné, mimo jiné prostřednictvím opatření finanční podpory, jako jsou minimální ceny, závazky k odběru a strategické vytváření zásob; vyzývá členské státy, aby od velkých výrobců technologií ve strategických odvětvích požadovaly, aby pravidelně prováděli činnosti a přijímali opatření v oblasti rizikové připravenosti s cílem omezit riziko nedostatku kritických surovin, a to mimo jiné prostřednictvím vytváření zásob;</w:t>
      </w:r>
    </w:p>
    <w:p w:rsidR="00564ED1" w:rsidRPr="00177C1F" w:rsidRDefault="00564ED1" w:rsidP="00564ED1">
      <w:pPr>
        <w:pStyle w:val="NormalHanging12a"/>
      </w:pPr>
      <w:r w:rsidRPr="00177C1F">
        <w:t>12.</w:t>
      </w:r>
      <w:r w:rsidRPr="00177C1F">
        <w:tab/>
        <w:t xml:space="preserve">vyzývá Komisi, aby společně s členskými státy posoudila, jakou minimální úroveň by měly mít unijní strategické zásoby prvků vzácných zemin patřících mezi strategické suroviny (neodym, </w:t>
      </w:r>
      <w:proofErr w:type="spellStart"/>
      <w:r w:rsidRPr="00177C1F">
        <w:t>praseodym</w:t>
      </w:r>
      <w:proofErr w:type="spellEnd"/>
      <w:r w:rsidRPr="00177C1F">
        <w:t>, terbium, dysprosium, gadolinium, samarium a cer) a způsoby jejich konečného použití, mimo jiné v obranném průmyslu;</w:t>
      </w:r>
    </w:p>
    <w:p w:rsidR="00564ED1" w:rsidRPr="00177C1F" w:rsidRDefault="00564ED1" w:rsidP="00564ED1">
      <w:pPr>
        <w:pStyle w:val="NormalHanging12a"/>
      </w:pPr>
      <w:r w:rsidRPr="00177C1F">
        <w:t>13.</w:t>
      </w:r>
      <w:r w:rsidRPr="00177C1F">
        <w:tab/>
        <w:t xml:space="preserve">dále vyzývá k většímu úsilí o uzavírání partnerství v oblasti čistého obchodu a investic a bilaterálních strategických partnerství v oblasti surovin, která by byla skutečně prospěšná pro obě strany a splňovala přísné normy udržitelnosti a lidských práv; trvá na tom, že je třeba začít uzavírat závazné dohody o kritických surovinách, které by dlouhodobě zabezpečily dodávky do EU, zvýšily transparentnost a posílily kontrolní pravomoci Parlamentu; poukazuje na to, že při zlepšování přístupu ke kritickým surovinám mají velký význam dohody o volném obchodu a iniciativa </w:t>
      </w:r>
      <w:proofErr w:type="spellStart"/>
      <w:r w:rsidRPr="00177C1F">
        <w:t>Global</w:t>
      </w:r>
      <w:proofErr w:type="spellEnd"/>
      <w:r w:rsidRPr="00177C1F">
        <w:t xml:space="preserve"> </w:t>
      </w:r>
      <w:proofErr w:type="spellStart"/>
      <w:r w:rsidRPr="00177C1F">
        <w:t>Gateway</w:t>
      </w:r>
      <w:proofErr w:type="spellEnd"/>
      <w:r w:rsidRPr="00177C1F">
        <w:t xml:space="preserve">; </w:t>
      </w:r>
    </w:p>
    <w:p w:rsidR="00564ED1" w:rsidRPr="00177C1F" w:rsidRDefault="00564ED1" w:rsidP="00564ED1">
      <w:pPr>
        <w:pStyle w:val="NormalHanging12a"/>
        <w:rPr>
          <w:bCs/>
        </w:rPr>
      </w:pPr>
      <w:r w:rsidRPr="00177C1F">
        <w:t>14.</w:t>
      </w:r>
      <w:r w:rsidRPr="00177C1F">
        <w:tab/>
        <w:t xml:space="preserve">vybízí k tomu, aby se do příslušných právních předpisů v oblasti zadávání veřejných zakázek vkládala ustanovení o tom, že prvky vzácných zemin je třeba přednostně získávat od dodavatelů a důvěryhodných partnerů z EU; vyzývá k větší koordinaci s podobně smýšlejícími mezinárodními partnery, zejména v rámci G7 a NATO a s Japonskou organizací pro kovy a energetickou bezpečnost, v zájmu zlepšení transferu znalostí, harmonizace bezpečnosti dodavatelských řetězců, společných strategií </w:t>
      </w:r>
      <w:r w:rsidRPr="00177C1F">
        <w:lastRenderedPageBreak/>
        <w:t>v oblasti investic a vytváření zásob a k vývoji norem pro určení důvěryhodných zdrojů ve strategických odvětvích a projektech;</w:t>
      </w:r>
    </w:p>
    <w:p w:rsidR="00177C1F" w:rsidRPr="00177C1F" w:rsidRDefault="00564ED1" w:rsidP="00177C1F">
      <w:pPr>
        <w:pStyle w:val="NormalHanging12a"/>
      </w:pPr>
      <w:r w:rsidRPr="00177C1F">
        <w:t>15.</w:t>
      </w:r>
      <w:r w:rsidRPr="00177C1F">
        <w:tab/>
        <w:t>pověřuje svou předsedkyni, aby předala toto usnesení Radě, Komisi, místopředsedkyni Komise, vysoké představitelce Unie pro zahraniční věci a bezpečnostní politiku, vládám a parlamentům členských států a vládě a parlamentu Čínské lidové republiky.</w:t>
      </w:r>
    </w:p>
    <w:p w:rsidR="00E365E1" w:rsidRPr="00177C1F" w:rsidRDefault="00E365E1" w:rsidP="00354B87"/>
    <w:sectPr w:rsidR="00E365E1" w:rsidRPr="00177C1F" w:rsidSect="00177C1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4B87" w:rsidRPr="00177C1F" w:rsidRDefault="00354B87">
      <w:r w:rsidRPr="00177C1F">
        <w:separator/>
      </w:r>
    </w:p>
  </w:endnote>
  <w:endnote w:type="continuationSeparator" w:id="0">
    <w:p w:rsidR="00354B87" w:rsidRPr="00177C1F" w:rsidRDefault="00354B87">
      <w:r w:rsidRPr="00177C1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77C1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77C1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77C1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4B87" w:rsidRPr="00177C1F" w:rsidRDefault="00354B87">
      <w:r w:rsidRPr="00177C1F">
        <w:separator/>
      </w:r>
    </w:p>
  </w:footnote>
  <w:footnote w:type="continuationSeparator" w:id="0">
    <w:p w:rsidR="00354B87" w:rsidRPr="00177C1F" w:rsidRDefault="00354B87">
      <w:r w:rsidRPr="00177C1F">
        <w:continuationSeparator/>
      </w:r>
    </w:p>
  </w:footnote>
  <w:footnote w:id="1">
    <w:p w:rsidR="00564ED1" w:rsidRPr="00177C1F" w:rsidRDefault="00564ED1" w:rsidP="00177C1F">
      <w:pPr>
        <w:pStyle w:val="FootnoteText"/>
        <w:ind w:left="567" w:hanging="567"/>
        <w:rPr>
          <w:sz w:val="24"/>
          <w:lang w:val="cs-CZ"/>
        </w:rPr>
      </w:pPr>
      <w:r w:rsidRPr="00177C1F">
        <w:rPr>
          <w:rStyle w:val="FootnoteReference"/>
          <w:sz w:val="24"/>
          <w:lang w:val="cs-CZ"/>
        </w:rPr>
        <w:footnoteRef/>
      </w:r>
      <w:r w:rsidR="00177C1F" w:rsidRPr="00177C1F">
        <w:rPr>
          <w:sz w:val="24"/>
          <w:lang w:val="cs-CZ"/>
        </w:rPr>
        <w:t xml:space="preserve"> </w:t>
      </w:r>
      <w:r w:rsidR="00177C1F" w:rsidRPr="00177C1F">
        <w:rPr>
          <w:sz w:val="24"/>
          <w:lang w:val="cs-CZ"/>
        </w:rPr>
        <w:tab/>
      </w:r>
      <w:proofErr w:type="spellStart"/>
      <w:r w:rsidRPr="00177C1F">
        <w:rPr>
          <w:sz w:val="24"/>
          <w:lang w:val="cs-CZ"/>
        </w:rPr>
        <w:t>Úř</w:t>
      </w:r>
      <w:proofErr w:type="spellEnd"/>
      <w:r w:rsidRPr="00177C1F">
        <w:rPr>
          <w:sz w:val="24"/>
          <w:lang w:val="cs-CZ"/>
        </w:rPr>
        <w:t xml:space="preserve">. </w:t>
      </w:r>
      <w:proofErr w:type="spellStart"/>
      <w:proofErr w:type="gramStart"/>
      <w:r w:rsidRPr="00177C1F">
        <w:rPr>
          <w:sz w:val="24"/>
          <w:lang w:val="cs-CZ"/>
        </w:rPr>
        <w:t>věst</w:t>
      </w:r>
      <w:proofErr w:type="spellEnd"/>
      <w:proofErr w:type="gramEnd"/>
      <w:r w:rsidRPr="00177C1F">
        <w:rPr>
          <w:sz w:val="24"/>
          <w:lang w:val="cs-CZ"/>
        </w:rPr>
        <w:t xml:space="preserve">. L, 2024/1252, </w:t>
      </w:r>
      <w:proofErr w:type="gramStart"/>
      <w:r w:rsidRPr="00177C1F">
        <w:rPr>
          <w:sz w:val="24"/>
          <w:lang w:val="cs-CZ"/>
        </w:rPr>
        <w:t>3.5.2024</w:t>
      </w:r>
      <w:proofErr w:type="gramEnd"/>
      <w:r w:rsidRPr="00177C1F">
        <w:rPr>
          <w:sz w:val="24"/>
          <w:lang w:val="cs-CZ"/>
        </w:rPr>
        <w:t xml:space="preserve">, ELI: </w:t>
      </w:r>
      <w:hyperlink r:id="rId1" w:history="1">
        <w:r w:rsidRPr="00DA5749">
          <w:rPr>
            <w:rStyle w:val="Hyperlink"/>
            <w:sz w:val="24"/>
            <w:lang w:val="cs-CZ"/>
          </w:rPr>
          <w:t>http://data.europa.eu/eli/reg/2024/1252/oj</w:t>
        </w:r>
      </w:hyperlink>
      <w:r w:rsidRPr="00177C1F">
        <w:rPr>
          <w:sz w:val="24"/>
          <w:lang w:val="cs-CZ"/>
        </w:rPr>
        <w:t>.</w:t>
      </w:r>
    </w:p>
  </w:footnote>
  <w:footnote w:id="2">
    <w:p w:rsidR="00564ED1" w:rsidRPr="00177C1F" w:rsidRDefault="00564ED1" w:rsidP="00177C1F">
      <w:pPr>
        <w:pStyle w:val="FootnoteText"/>
        <w:ind w:left="567" w:hanging="567"/>
        <w:rPr>
          <w:sz w:val="24"/>
          <w:lang w:val="cs-CZ"/>
        </w:rPr>
      </w:pPr>
      <w:r w:rsidRPr="00177C1F">
        <w:rPr>
          <w:rStyle w:val="FootnoteReference"/>
          <w:sz w:val="24"/>
          <w:lang w:val="cs-CZ"/>
        </w:rPr>
        <w:footnoteRef/>
      </w:r>
      <w:r w:rsidR="00177C1F" w:rsidRPr="00177C1F">
        <w:rPr>
          <w:sz w:val="24"/>
          <w:lang w:val="cs-CZ"/>
        </w:rPr>
        <w:t xml:space="preserve"> </w:t>
      </w:r>
      <w:r w:rsidR="00177C1F" w:rsidRPr="00177C1F">
        <w:rPr>
          <w:sz w:val="24"/>
          <w:lang w:val="cs-CZ"/>
        </w:rPr>
        <w:tab/>
      </w:r>
      <w:proofErr w:type="spellStart"/>
      <w:r w:rsidRPr="00177C1F">
        <w:rPr>
          <w:sz w:val="24"/>
          <w:lang w:val="cs-CZ"/>
        </w:rPr>
        <w:t>Úř</w:t>
      </w:r>
      <w:proofErr w:type="spellEnd"/>
      <w:r w:rsidRPr="00177C1F">
        <w:rPr>
          <w:sz w:val="24"/>
          <w:lang w:val="cs-CZ"/>
        </w:rPr>
        <w:t xml:space="preserve">. </w:t>
      </w:r>
      <w:proofErr w:type="spellStart"/>
      <w:proofErr w:type="gramStart"/>
      <w:r w:rsidRPr="00177C1F">
        <w:rPr>
          <w:sz w:val="24"/>
          <w:lang w:val="cs-CZ"/>
        </w:rPr>
        <w:t>věst</w:t>
      </w:r>
      <w:proofErr w:type="spellEnd"/>
      <w:proofErr w:type="gramEnd"/>
      <w:r w:rsidRPr="00177C1F">
        <w:rPr>
          <w:sz w:val="24"/>
          <w:lang w:val="cs-CZ"/>
        </w:rPr>
        <w:t xml:space="preserve">. L, 2024/1735, </w:t>
      </w:r>
      <w:proofErr w:type="gramStart"/>
      <w:r w:rsidRPr="00177C1F">
        <w:rPr>
          <w:sz w:val="24"/>
          <w:lang w:val="cs-CZ"/>
        </w:rPr>
        <w:t>28.6.2024</w:t>
      </w:r>
      <w:proofErr w:type="gramEnd"/>
      <w:r w:rsidRPr="00177C1F">
        <w:rPr>
          <w:sz w:val="24"/>
          <w:lang w:val="cs-CZ"/>
        </w:rPr>
        <w:t xml:space="preserve">, ELI: </w:t>
      </w:r>
      <w:hyperlink r:id="rId2" w:history="1">
        <w:r w:rsidRPr="00DA5749">
          <w:rPr>
            <w:rStyle w:val="Hyperlink"/>
            <w:sz w:val="24"/>
            <w:lang w:val="cs-CZ"/>
          </w:rPr>
          <w:t>http://data.europa.eu/eli/reg/2024/1735/oj</w:t>
        </w:r>
      </w:hyperlink>
      <w:r w:rsidRPr="00177C1F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77C1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77C1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77C1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324, 0329, 0330, 0331 a 0332/2025"/>
    <w:docVar w:name="dvlangue" w:val="CS"/>
    <w:docVar w:name="dvnumam" w:val="0"/>
    <w:docVar w:name="dvpe" w:val="774.020"/>
    <w:docVar w:name="dvtitre" w:val="Usnesení Evropského parlamentu ze dne.... 2025 o řešení omezení vývozu kritických surovin z Číny(2025/2800(RSP))"/>
  </w:docVars>
  <w:rsids>
    <w:rsidRoot w:val="00354B87"/>
    <w:rsid w:val="00002272"/>
    <w:rsid w:val="00064002"/>
    <w:rsid w:val="000677B9"/>
    <w:rsid w:val="000831BA"/>
    <w:rsid w:val="000A42CC"/>
    <w:rsid w:val="000E7DD9"/>
    <w:rsid w:val="0010095E"/>
    <w:rsid w:val="00125B37"/>
    <w:rsid w:val="00177C1F"/>
    <w:rsid w:val="00187494"/>
    <w:rsid w:val="001F32AE"/>
    <w:rsid w:val="002767FF"/>
    <w:rsid w:val="002B18FE"/>
    <w:rsid w:val="002B5493"/>
    <w:rsid w:val="00343214"/>
    <w:rsid w:val="00354B87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4ED1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6998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5749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91B730"/>
  <w15:chartTrackingRefBased/>
  <w15:docId w15:val="{03D55CED-827C-4884-844A-599A04D29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64ED1"/>
    <w:pPr>
      <w:spacing w:after="240"/>
      <w:ind w:left="567" w:hanging="567"/>
    </w:pPr>
  </w:style>
  <w:style w:type="paragraph" w:customStyle="1" w:styleId="EPComma">
    <w:name w:val="EPComma"/>
    <w:basedOn w:val="Normal"/>
    <w:rsid w:val="00564ED1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564ED1"/>
    <w:rPr>
      <w:sz w:val="24"/>
      <w:lang w:val="cs-CZ"/>
    </w:rPr>
  </w:style>
  <w:style w:type="character" w:styleId="Hyperlink">
    <w:name w:val="Hyperlink"/>
    <w:basedOn w:val="DefaultParagraphFont"/>
    <w:rsid w:val="00DA57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24/1735/oj" TargetMode="External"/><Relationship Id="rId1" Type="http://schemas.openxmlformats.org/officeDocument/2006/relationships/hyperlink" Target="http://data.europa.eu/eli/reg/2024/125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23553-0B71-45EF-9AAE-43A47FA84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2302</Words>
  <Characters>13279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2025-07-10T10:39:00Z</dcterms:created>
  <dcterms:modified xsi:type="dcterms:W3CDTF">2025-07-10T10:39:00Z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B10-0324, 0329, 0330, 0331 a 0332/2025</vt:lpwstr>
  </property>
  <property fmtid="{D5CDD505-2E9C-101B-9397-08002B2CF9AE}" pid="4" name="&lt;Type&gt;">
    <vt:lpwstr>RR</vt:lpwstr>
  </property>
</Properties>
</file>