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1A7C" w:rsidTr="0010095E">
        <w:trPr>
          <w:trHeight w:hRule="exact" w:val="1418"/>
        </w:trPr>
        <w:tc>
          <w:tcPr>
            <w:tcW w:w="6804" w:type="dxa"/>
            <w:shd w:val="clear" w:color="auto" w:fill="auto"/>
            <w:vAlign w:val="center"/>
          </w:tcPr>
          <w:p w:rsidR="00751A4A" w:rsidRPr="004A1A7C" w:rsidRDefault="00247AE1" w:rsidP="0010095E">
            <w:pPr>
              <w:pStyle w:val="EPName"/>
            </w:pPr>
            <w:r w:rsidRPr="004A1A7C">
              <w:t>Ευρωπαϊκό Κοινοβούλιο</w:t>
            </w:r>
          </w:p>
          <w:p w:rsidR="00751A4A" w:rsidRPr="004A1A7C" w:rsidRDefault="005F1B17" w:rsidP="005F1B17">
            <w:pPr>
              <w:pStyle w:val="EPTerm"/>
              <w:rPr>
                <w:rStyle w:val="HideTWBExt"/>
                <w:noProof w:val="0"/>
                <w:vanish w:val="0"/>
                <w:color w:val="auto"/>
              </w:rPr>
            </w:pPr>
            <w:r w:rsidRPr="004A1A7C">
              <w:t>2024</w:t>
            </w:r>
            <w:r w:rsidR="00817416" w:rsidRPr="004A1A7C">
              <w:t>-202</w:t>
            </w:r>
            <w:r w:rsidRPr="004A1A7C">
              <w:t>9</w:t>
            </w:r>
          </w:p>
        </w:tc>
        <w:tc>
          <w:tcPr>
            <w:tcW w:w="2268" w:type="dxa"/>
            <w:shd w:val="clear" w:color="auto" w:fill="auto"/>
          </w:tcPr>
          <w:p w:rsidR="00751A4A" w:rsidRPr="004A1A7C" w:rsidRDefault="00187494" w:rsidP="0010095E">
            <w:pPr>
              <w:pStyle w:val="EPLogo"/>
            </w:pPr>
            <w:r w:rsidRPr="004A1A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1A7C" w:rsidRDefault="00D058B8" w:rsidP="004C5D52">
      <w:pPr>
        <w:pStyle w:val="LineTop"/>
      </w:pPr>
    </w:p>
    <w:p w:rsidR="00680577" w:rsidRPr="004A1A7C" w:rsidRDefault="00247AE1" w:rsidP="00680577">
      <w:pPr>
        <w:pStyle w:val="EPBodyTA1"/>
      </w:pPr>
      <w:r w:rsidRPr="004A1A7C">
        <w:t>ΚΕΙΜΕΝΑ ΠΟΥ ΕΓΚΡΙΘΗΚΑΝ</w:t>
      </w:r>
    </w:p>
    <w:p w:rsidR="00D058B8" w:rsidRPr="004A1A7C" w:rsidRDefault="00D058B8" w:rsidP="00D058B8">
      <w:pPr>
        <w:pStyle w:val="LineBottom"/>
      </w:pPr>
    </w:p>
    <w:p w:rsidR="00247AE1" w:rsidRPr="004A1A7C" w:rsidRDefault="00247AE1" w:rsidP="00247AE1">
      <w:pPr>
        <w:pStyle w:val="ATHeading1"/>
      </w:pPr>
      <w:bookmarkStart w:id="0" w:name="TANumber"/>
      <w:r w:rsidRPr="004A1A7C">
        <w:t>P10_TA(2025)0</w:t>
      </w:r>
      <w:bookmarkEnd w:id="0"/>
      <w:r w:rsidR="00A8264F" w:rsidRPr="004A1A7C">
        <w:t>166</w:t>
      </w:r>
    </w:p>
    <w:p w:rsidR="00247AE1" w:rsidRPr="004A1A7C" w:rsidRDefault="0065578D" w:rsidP="00247AE1">
      <w:pPr>
        <w:pStyle w:val="ATHeading2"/>
      </w:pPr>
      <w:bookmarkStart w:id="1" w:name="title"/>
      <w:r w:rsidRPr="004A1A7C">
        <w:t>Αντιμετώπιση των περιορισμών στις εξαγωγές κρίσιμων πρώτων υλών εκ μέρους της Κίνας</w:t>
      </w:r>
      <w:bookmarkEnd w:id="1"/>
    </w:p>
    <w:p w:rsidR="00247AE1" w:rsidRPr="004A1A7C" w:rsidRDefault="00247AE1" w:rsidP="00247AE1">
      <w:pPr>
        <w:rPr>
          <w:i/>
          <w:vanish/>
        </w:rPr>
      </w:pPr>
      <w:r w:rsidRPr="004A1A7C">
        <w:rPr>
          <w:i/>
        </w:rPr>
        <w:fldChar w:fldCharType="begin"/>
      </w:r>
      <w:r w:rsidRPr="004A1A7C">
        <w:rPr>
          <w:i/>
        </w:rPr>
        <w:instrText xml:space="preserve"> TC"(</w:instrText>
      </w:r>
      <w:bookmarkStart w:id="2" w:name="DocNumber"/>
      <w:r w:rsidRPr="004A1A7C">
        <w:rPr>
          <w:i/>
        </w:rPr>
        <w:instrText>B10-0324</w:instrText>
      </w:r>
      <w:r w:rsidR="0065578D" w:rsidRPr="004A1A7C">
        <w:rPr>
          <w:i/>
        </w:rPr>
        <w:instrText>, 0329, 0330, 0331 και 0332/Αναθ.</w:instrText>
      </w:r>
      <w:r w:rsidRPr="004A1A7C">
        <w:rPr>
          <w:i/>
        </w:rPr>
        <w:instrText>/2025</w:instrText>
      </w:r>
      <w:bookmarkEnd w:id="2"/>
      <w:r w:rsidRPr="004A1A7C">
        <w:rPr>
          <w:i/>
        </w:rPr>
        <w:instrText xml:space="preserve">)"\l3 \n&gt; \* MERGEFORMAT </w:instrText>
      </w:r>
      <w:r w:rsidRPr="004A1A7C">
        <w:rPr>
          <w:i/>
        </w:rPr>
        <w:fldChar w:fldCharType="end"/>
      </w:r>
    </w:p>
    <w:p w:rsidR="00247AE1" w:rsidRPr="004A1A7C" w:rsidRDefault="00247AE1" w:rsidP="00247AE1">
      <w:pPr>
        <w:rPr>
          <w:vanish/>
        </w:rPr>
      </w:pPr>
      <w:bookmarkStart w:id="3" w:name="PE"/>
      <w:r w:rsidRPr="004A1A7C">
        <w:rPr>
          <w:vanish/>
        </w:rPr>
        <w:t>PE774.020</w:t>
      </w:r>
      <w:bookmarkEnd w:id="3"/>
    </w:p>
    <w:p w:rsidR="00247AE1" w:rsidRPr="004A1A7C" w:rsidRDefault="00247AE1" w:rsidP="00247AE1">
      <w:pPr>
        <w:pStyle w:val="ATHeading3"/>
      </w:pPr>
      <w:bookmarkStart w:id="4" w:name="Sujet"/>
      <w:r w:rsidRPr="004A1A7C">
        <w:t xml:space="preserve">Ψήφισμα του Ευρωπαϊκού Κοινοβουλίου </w:t>
      </w:r>
      <w:r w:rsidR="0065578D" w:rsidRPr="004A1A7C">
        <w:t xml:space="preserve">της 10ης Ιουλίου 2025 </w:t>
      </w:r>
      <w:r w:rsidRPr="004A1A7C">
        <w:t>σχετικά με την αντιμετώπιση των περιορισμών της Κίνας στις εξαγωγές κρίσιμων πρώτων υλών</w:t>
      </w:r>
      <w:bookmarkEnd w:id="4"/>
      <w:r w:rsidRPr="004A1A7C">
        <w:t xml:space="preserve"> </w:t>
      </w:r>
      <w:bookmarkStart w:id="5" w:name="References"/>
      <w:r w:rsidRPr="004A1A7C">
        <w:t>(2025/2800(RSP))</w:t>
      </w:r>
      <w:bookmarkEnd w:id="5"/>
    </w:p>
    <w:p w:rsidR="00CC49CE" w:rsidRPr="004A1A7C" w:rsidRDefault="00CC49CE" w:rsidP="00CC49CE">
      <w:pPr>
        <w:pStyle w:val="EPComma"/>
      </w:pPr>
      <w:bookmarkStart w:id="6" w:name="TextBodyBegin"/>
      <w:bookmarkEnd w:id="6"/>
      <w:r w:rsidRPr="004A1A7C">
        <w:rPr>
          <w:i/>
        </w:rPr>
        <w:t>Το Ευρωπαϊκό Κοινοβούλιο</w:t>
      </w:r>
      <w:r w:rsidRPr="004A1A7C">
        <w:t>,</w:t>
      </w:r>
    </w:p>
    <w:p w:rsidR="00CC49CE" w:rsidRPr="004A1A7C" w:rsidRDefault="00CC49CE" w:rsidP="0065578D">
      <w:pPr>
        <w:pStyle w:val="NormalHanging12a"/>
        <w:widowControl/>
      </w:pPr>
      <w:r w:rsidRPr="004A1A7C">
        <w:t>–</w:t>
      </w:r>
      <w:r w:rsidRPr="004A1A7C">
        <w:tab/>
        <w:t>έχοντας υπόψη τα προηγούμενα ψηφίσματά του σχετικά με την Κίνα,</w:t>
      </w:r>
    </w:p>
    <w:p w:rsidR="00CC49CE" w:rsidRPr="004A1A7C" w:rsidRDefault="00CC49CE" w:rsidP="0065578D">
      <w:pPr>
        <w:pStyle w:val="NormalHanging12a"/>
        <w:widowControl/>
      </w:pPr>
      <w:r w:rsidRPr="004A1A7C">
        <w:t>–</w:t>
      </w:r>
      <w:r w:rsidRPr="004A1A7C">
        <w:tab/>
        <w:t>έχοντας υπόψη την επικείμενη σύνοδο κορυφής ΕΕ-Κίνας η οποία έχει προγραμματιστεί για τις 24 και 25 Ιουλίου 2025,</w:t>
      </w:r>
    </w:p>
    <w:p w:rsidR="00CC49CE" w:rsidRPr="004A1A7C" w:rsidRDefault="00CC49CE">
      <w:pPr>
        <w:pStyle w:val="NormalHanging12a"/>
        <w:widowControl/>
      </w:pPr>
      <w:r w:rsidRPr="004A1A7C">
        <w:t>–</w:t>
      </w:r>
      <w:r w:rsidRPr="004A1A7C">
        <w:tab/>
        <w:t>έχοντας υπόψη τον κανονισμό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w:t>
      </w:r>
      <w:r w:rsidRPr="004A1A7C">
        <w:rPr>
          <w:rStyle w:val="FootnoteReference"/>
        </w:rPr>
        <w:footnoteReference w:id="1"/>
      </w:r>
      <w:r w:rsidRPr="004A1A7C">
        <w:t>, γνωστό και ως πράξη για τις κρίσιμες πρώτες ύλες,</w:t>
      </w:r>
    </w:p>
    <w:p w:rsidR="00CC49CE" w:rsidRPr="004A1A7C" w:rsidRDefault="00CC49CE">
      <w:pPr>
        <w:pStyle w:val="NormalHanging12a"/>
        <w:widowControl/>
      </w:pPr>
      <w:r w:rsidRPr="004A1A7C">
        <w:t>–</w:t>
      </w:r>
      <w:r w:rsidRPr="004A1A7C">
        <w:tab/>
        <w:t>έχοντας υπόψη τον κανονισμό (ΕΕ) 2024/1735 του Ευρωπαϊκού Κοινοβουλίου και του Συμβουλίου, της 13ης Ιουνίου 2024, σχετικά με τη θέσπιση πλαισίου μέτρων για την ενίσχυση του οικοσυστήματος παραγωγής προϊόντων τεχνολογιών μηδενικών καθαρών εκπομπών της Ευρώπης και την τροποποίηση του κανονισμού (ΕΕ) 2018/1724</w:t>
      </w:r>
      <w:r w:rsidRPr="004A1A7C">
        <w:rPr>
          <w:rStyle w:val="FootnoteReference"/>
        </w:rPr>
        <w:footnoteReference w:id="2"/>
      </w:r>
      <w:r w:rsidRPr="004A1A7C">
        <w:t xml:space="preserve"> (πράξη για τη βιομηχανία των μηδενικών καθαρών εκπομπών),</w:t>
      </w:r>
    </w:p>
    <w:p w:rsidR="00CC49CE" w:rsidRPr="004A1A7C" w:rsidRDefault="00CC49CE">
      <w:pPr>
        <w:pStyle w:val="NormalHanging12a"/>
        <w:widowControl/>
      </w:pPr>
      <w:r w:rsidRPr="004A1A7C">
        <w:t>–</w:t>
      </w:r>
      <w:r w:rsidRPr="004A1A7C">
        <w:tab/>
        <w:t>έχοντας υπόψη τη δήλωση των ηγετών της G7 σχετικά με το σχέδιο δράσης της G7 για τα κρίσιμα ορυκτά,</w:t>
      </w:r>
    </w:p>
    <w:p w:rsidR="00CC49CE" w:rsidRPr="004A1A7C" w:rsidRDefault="00CC49CE">
      <w:pPr>
        <w:pStyle w:val="NormalHanging12a"/>
        <w:widowControl/>
      </w:pPr>
      <w:r w:rsidRPr="004A1A7C">
        <w:t>–</w:t>
      </w:r>
      <w:r w:rsidRPr="004A1A7C">
        <w:tab/>
        <w:t>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(COM(2025)0085),</w:t>
      </w:r>
    </w:p>
    <w:p w:rsidR="00CC49CE" w:rsidRPr="004A1A7C" w:rsidRDefault="00CC49CE">
      <w:pPr>
        <w:pStyle w:val="NormalHanging12a"/>
        <w:widowControl/>
      </w:pPr>
      <w:r w:rsidRPr="004A1A7C">
        <w:t>–</w:t>
      </w:r>
      <w:r w:rsidRPr="004A1A7C">
        <w:tab/>
        <w:t>έχοντας υπόψη τις εταιρικές σχέσεις καθαρού εμπορίου και επενδύσεων που διαπραγματεύεται η ΕΕ, καθώς και τις εταιρικές σχέσεις της ΕΕ για τις κρίσιμες πρώτες ύλες,</w:t>
      </w:r>
    </w:p>
    <w:p w:rsidR="00CC49CE" w:rsidRPr="004A1A7C" w:rsidRDefault="00CC49CE">
      <w:pPr>
        <w:pStyle w:val="NormalHanging12a"/>
        <w:widowControl/>
      </w:pPr>
      <w:r w:rsidRPr="004A1A7C">
        <w:lastRenderedPageBreak/>
        <w:t>–</w:t>
      </w:r>
      <w:r w:rsidRPr="004A1A7C">
        <w:tab/>
        <w:t xml:space="preserve">έχοντας υπόψη την κοινή ανακοίνωση της Επιτροπής και της Ύπατης Εκπροσώπου της Ένωσης για θέματα εξωτερικής πολιτικής και πολιτικής ασφαλείας, της 20ής Ιουνίου 2023, με τίτλο «Στρατηγική για την ενίσχυση της ευρωπαϊκής οικονομικής ασφάλειας» (JOIN(2023)0020), και τις ομιλίες της Προέδρου της Επιτροπής </w:t>
      </w:r>
      <w:proofErr w:type="spellStart"/>
      <w:r w:rsidRPr="004A1A7C">
        <w:t>Ursula</w:t>
      </w:r>
      <w:proofErr w:type="spellEnd"/>
      <w:r w:rsidRPr="004A1A7C">
        <w:t xml:space="preserve"> </w:t>
      </w:r>
      <w:proofErr w:type="spellStart"/>
      <w:r w:rsidRPr="004A1A7C">
        <w:t>von</w:t>
      </w:r>
      <w:proofErr w:type="spellEnd"/>
      <w:r w:rsidRPr="004A1A7C">
        <w:t xml:space="preserve"> </w:t>
      </w:r>
      <w:proofErr w:type="spellStart"/>
      <w:r w:rsidRPr="004A1A7C">
        <w:t>der</w:t>
      </w:r>
      <w:proofErr w:type="spellEnd"/>
      <w:r w:rsidRPr="004A1A7C">
        <w:t xml:space="preserve"> </w:t>
      </w:r>
      <w:proofErr w:type="spellStart"/>
      <w:r w:rsidRPr="004A1A7C">
        <w:t>Leyen</w:t>
      </w:r>
      <w:proofErr w:type="spellEnd"/>
      <w:r w:rsidRPr="004A1A7C">
        <w:t xml:space="preserve"> στο Κέντρο Ευρωπαϊκής Πολιτικής, στις 30 Μαρτίου 2023, και στο Ευρωπαϊκό Κοινοβούλιο, στις 18 Απριλίου 2023, σχετικά με την ελαχιστοποίηση των κινδύνων,</w:t>
      </w:r>
    </w:p>
    <w:p w:rsidR="00CC49CE" w:rsidRPr="004A1A7C" w:rsidRDefault="00CC49CE">
      <w:pPr>
        <w:pStyle w:val="NormalHanging12a"/>
        <w:widowControl/>
      </w:pPr>
      <w:r w:rsidRPr="004A1A7C">
        <w:t>–</w:t>
      </w:r>
      <w:r w:rsidRPr="004A1A7C">
        <w:tab/>
        <w:t xml:space="preserve">έχοντας υπόψη τον 13ο στρατηγικό διάλογο ΕΕ-Κίνας, ο οποίος πραγματοποιήθηκε μεταξύ της Αντιπροέδρου της Επιτροπής / Ύπατης Εκπροσώπου της Ένωσης για θέματα εξωτερικής πολιτικής και πολιτικής ασφαλείας </w:t>
      </w:r>
      <w:proofErr w:type="spellStart"/>
      <w:r w:rsidRPr="004A1A7C">
        <w:t>Kaja</w:t>
      </w:r>
      <w:proofErr w:type="spellEnd"/>
      <w:r w:rsidRPr="004A1A7C">
        <w:t xml:space="preserve"> </w:t>
      </w:r>
      <w:proofErr w:type="spellStart"/>
      <w:r w:rsidRPr="004A1A7C">
        <w:t>Kallas</w:t>
      </w:r>
      <w:proofErr w:type="spellEnd"/>
      <w:r w:rsidRPr="004A1A7C">
        <w:t xml:space="preserve"> και του υπουργού Εξωτερικών της Κίνας </w:t>
      </w:r>
      <w:proofErr w:type="spellStart"/>
      <w:r w:rsidRPr="004A1A7C">
        <w:t>Wang</w:t>
      </w:r>
      <w:proofErr w:type="spellEnd"/>
      <w:r w:rsidRPr="004A1A7C">
        <w:t xml:space="preserve"> </w:t>
      </w:r>
      <w:proofErr w:type="spellStart"/>
      <w:r w:rsidRPr="004A1A7C">
        <w:t>Yi</w:t>
      </w:r>
      <w:proofErr w:type="spellEnd"/>
      <w:r w:rsidRPr="004A1A7C">
        <w:t>, που έλαβε χώρα στις Βρυξέλλες στις 2 Ιουλίου 2025,</w:t>
      </w:r>
    </w:p>
    <w:p w:rsidR="00CC49CE" w:rsidRPr="004A1A7C" w:rsidRDefault="00CC49CE">
      <w:pPr>
        <w:pStyle w:val="NormalHanging12a"/>
        <w:widowControl/>
      </w:pPr>
      <w:r w:rsidRPr="004A1A7C">
        <w:t>–</w:t>
      </w:r>
      <w:r w:rsidRPr="004A1A7C">
        <w:tab/>
        <w:t xml:space="preserve">έχοντας υπόψη τις δηλώσεις της Προέδρου της Επιτροπής, </w:t>
      </w:r>
      <w:proofErr w:type="spellStart"/>
      <w:r w:rsidRPr="004A1A7C">
        <w:t>Ursula</w:t>
      </w:r>
      <w:proofErr w:type="spellEnd"/>
      <w:r w:rsidRPr="004A1A7C">
        <w:t xml:space="preserve"> </w:t>
      </w:r>
      <w:proofErr w:type="spellStart"/>
      <w:r w:rsidRPr="004A1A7C">
        <w:t>von</w:t>
      </w:r>
      <w:proofErr w:type="spellEnd"/>
      <w:r w:rsidRPr="004A1A7C">
        <w:t xml:space="preserve"> </w:t>
      </w:r>
      <w:proofErr w:type="spellStart"/>
      <w:r w:rsidRPr="004A1A7C">
        <w:t>der</w:t>
      </w:r>
      <w:proofErr w:type="spellEnd"/>
      <w:r w:rsidRPr="004A1A7C">
        <w:t xml:space="preserve"> </w:t>
      </w:r>
      <w:proofErr w:type="spellStart"/>
      <w:r w:rsidRPr="004A1A7C">
        <w:t>Leyen</w:t>
      </w:r>
      <w:proofErr w:type="spellEnd"/>
      <w:r w:rsidRPr="004A1A7C">
        <w:t xml:space="preserve"> κατά τη σύνοδο κορυφής της G7 στο </w:t>
      </w:r>
      <w:proofErr w:type="spellStart"/>
      <w:r w:rsidRPr="004A1A7C">
        <w:t>Kananaskis</w:t>
      </w:r>
      <w:proofErr w:type="spellEnd"/>
      <w:r w:rsidRPr="004A1A7C">
        <w:t xml:space="preserve"> του Καναδά, από τις 16 έως τις 17 Ιουνίου 2025,</w:t>
      </w:r>
    </w:p>
    <w:p w:rsidR="00CC49CE" w:rsidRPr="004A1A7C" w:rsidRDefault="00CC49CE">
      <w:pPr>
        <w:pStyle w:val="NormalHanging12a"/>
        <w:widowControl/>
      </w:pPr>
      <w:r w:rsidRPr="004A1A7C">
        <w:t>–</w:t>
      </w:r>
      <w:r w:rsidRPr="004A1A7C">
        <w:tab/>
        <w:t>έχοντας υπόψη τους κανόνες του Παγκόσμιου Οργανισμού Εμπορίου (ΠΟΕ), ιδίως τις αρχές της απαγόρευσης των διακρίσεων και της διαφάνειας όσον αφορά τους περιορισμούς στις εξαγωγές,</w:t>
      </w:r>
    </w:p>
    <w:p w:rsidR="00CC49CE" w:rsidRPr="004A1A7C" w:rsidRDefault="00CC49CE">
      <w:pPr>
        <w:pStyle w:val="NormalHanging12a"/>
        <w:widowControl/>
      </w:pPr>
      <w:r w:rsidRPr="004A1A7C">
        <w:t>–</w:t>
      </w:r>
      <w:r w:rsidRPr="004A1A7C">
        <w:tab/>
        <w:t>έχοντας υπόψη τις αποφάσεις επίλυσης διαφορών του ΠΟΕ DS431, DS432 και DS433 σχετικά με τους περιορισμούς στις εξαγωγές σπάνιων γαιών εκ μέρους της Κίνας,</w:t>
      </w:r>
    </w:p>
    <w:p w:rsidR="00CC49CE" w:rsidRPr="004A1A7C" w:rsidRDefault="00CC49CE">
      <w:pPr>
        <w:pStyle w:val="NormalHanging12a"/>
        <w:widowControl/>
      </w:pPr>
      <w:r w:rsidRPr="004A1A7C">
        <w:t>–</w:t>
      </w:r>
      <w:r w:rsidRPr="004A1A7C">
        <w:tab/>
        <w:t>έχοντας υπόψη τις κατευθυντήριες αρχές των Ηνωμένων Εθνών για τις επιχειρήσεις και τα ανθρώπινα δικαιώματα,</w:t>
      </w:r>
    </w:p>
    <w:p w:rsidR="00CC49CE" w:rsidRPr="004A1A7C" w:rsidRDefault="00CC49CE">
      <w:pPr>
        <w:pStyle w:val="NormalHanging12a"/>
        <w:widowControl/>
      </w:pPr>
      <w:r w:rsidRPr="004A1A7C">
        <w:t>–</w:t>
      </w:r>
      <w:r w:rsidRPr="004A1A7C">
        <w:tab/>
        <w:t>έχοντας υπόψη το άρθρο 136 παράγραφοι 2 και 4 του Κανονισμού του,</w:t>
      </w:r>
    </w:p>
    <w:p w:rsidR="00CC49CE" w:rsidRPr="004A1A7C" w:rsidRDefault="00CC49CE">
      <w:pPr>
        <w:pStyle w:val="NormalHanging12a"/>
        <w:widowControl/>
      </w:pPr>
      <w:r w:rsidRPr="004A1A7C">
        <w:t>A.</w:t>
      </w:r>
      <w:r w:rsidRPr="004A1A7C">
        <w:tab/>
        <w:t>λαμβάνοντας υπόψη ότι, στις 4 Απριλίου 2025, η Κίνα άρχισε να εφαρμόζει περιορισμούς στις εξαγωγές 7 εκ των 17 σπάνιων γαιών και μόνιμων μαγνητών που παράγονται από αυτές, εισάγοντας ένα σύστημα μη αυτόματων αδειών, και επικαλέστηκε ως αιτιολόγηση ζητήματα διπλής χρήσης και ασφάλειας· λαμβάνοντας υπόψη ότι ο κατάλογος των ειδών που καλύπτονται από τους περιορισμούς περιλαμβάνει μεσαίες και βαριές σπάνιες γαίες (</w:t>
      </w:r>
      <w:proofErr w:type="spellStart"/>
      <w:r w:rsidRPr="004A1A7C">
        <w:t>σαμάριο</w:t>
      </w:r>
      <w:proofErr w:type="spellEnd"/>
      <w:r w:rsidRPr="004A1A7C">
        <w:t xml:space="preserve">, γαδολίνιο, </w:t>
      </w:r>
      <w:proofErr w:type="spellStart"/>
      <w:r w:rsidRPr="004A1A7C">
        <w:t>τέρβιο</w:t>
      </w:r>
      <w:proofErr w:type="spellEnd"/>
      <w:r w:rsidRPr="004A1A7C">
        <w:t xml:space="preserve">, </w:t>
      </w:r>
      <w:proofErr w:type="spellStart"/>
      <w:r w:rsidRPr="004A1A7C">
        <w:t>δυσπρόσιο</w:t>
      </w:r>
      <w:proofErr w:type="spellEnd"/>
      <w:r w:rsidRPr="004A1A7C">
        <w:t xml:space="preserve">, </w:t>
      </w:r>
      <w:proofErr w:type="spellStart"/>
      <w:r w:rsidRPr="004A1A7C">
        <w:t>λουτέκιο</w:t>
      </w:r>
      <w:proofErr w:type="spellEnd"/>
      <w:r w:rsidRPr="004A1A7C">
        <w:t xml:space="preserve">, </w:t>
      </w:r>
      <w:proofErr w:type="spellStart"/>
      <w:r w:rsidRPr="004A1A7C">
        <w:t>σκάνδιο</w:t>
      </w:r>
      <w:proofErr w:type="spellEnd"/>
      <w:r w:rsidRPr="004A1A7C">
        <w:t xml:space="preserve"> και </w:t>
      </w:r>
      <w:proofErr w:type="spellStart"/>
      <w:r w:rsidRPr="004A1A7C">
        <w:t>ύττριο</w:t>
      </w:r>
      <w:proofErr w:type="spellEnd"/>
      <w:r w:rsidRPr="004A1A7C">
        <w:t>)·</w:t>
      </w:r>
    </w:p>
    <w:p w:rsidR="00CC49CE" w:rsidRPr="004A1A7C" w:rsidRDefault="00CC49CE">
      <w:pPr>
        <w:pStyle w:val="NormalHanging12a"/>
        <w:widowControl/>
      </w:pPr>
      <w:r w:rsidRPr="004A1A7C">
        <w:t>B.</w:t>
      </w:r>
      <w:r w:rsidRPr="004A1A7C">
        <w:tab/>
        <w:t>λαμβάνοντας υπόψη ότι οι κρίσιμες πρώτες ύλες αποτελούν βασικές εισροές για ευρύ φάσμα βιομηχανικών προϊόντων και διαδικασιών, μεταξύ άλλων σε κρίσιμους τομείς, όπως οι καθαρές τεχνολογίες, οι ψηφιακές τεχνολογίες, η υγειονομική περίθαλψη και η άμυνα· λαμβάνοντας υπόψη ότι ο ασφαλής και βιώσιμος εφοδιασμός με κρίσιμες πρώτες ύλες είναι θεμελιώδους σημασίας για την επίτευξη των στόχων της Ένωσης για το κλίμα, τις ψηφιακές τεχνολογίες, την ανταγωνιστικότητα και την άμυνα·</w:t>
      </w:r>
    </w:p>
    <w:p w:rsidR="00CC49CE" w:rsidRPr="004A1A7C" w:rsidRDefault="00CC49CE">
      <w:pPr>
        <w:pStyle w:val="NormalHanging12a"/>
        <w:widowControl/>
      </w:pPr>
      <w:r w:rsidRPr="004A1A7C">
        <w:t>Γ.</w:t>
      </w:r>
      <w:r w:rsidRPr="004A1A7C">
        <w:tab/>
        <w:t>λαμβάνοντας υπόψη ότι, σύμφωνα με αναφορές, ο όγκος εξαγωγών έχει μειωθεί μέχρι και κατά 80 % με έντονο αντίκτυπο σε ευρύ φάσμα τομέων, μεταξύ άλλων στα ηλεκτρονικά είδη και την τεχνολογία που απευθύνεται σε καταναλωτές, την πράσινη ενέργεια και τις ανανεώσιμες πηγές ενέργειας, την αυτοκινητοβιομηχανία, την αεροδιαστημική και την υγειονομική περίθαλψη·</w:t>
      </w:r>
    </w:p>
    <w:p w:rsidR="00CC49CE" w:rsidRPr="004A1A7C" w:rsidRDefault="00CC49CE">
      <w:pPr>
        <w:pStyle w:val="NormalHanging12a"/>
        <w:widowControl/>
      </w:pPr>
      <w:r w:rsidRPr="004A1A7C">
        <w:t>Δ.</w:t>
      </w:r>
      <w:r w:rsidRPr="004A1A7C">
        <w:tab/>
        <w:t xml:space="preserve">λαμβάνοντας υπόψη ότι η εξάρτηση της ΕΕ από την Κίνα για κρίσιμες πρώτες ύλες εξακολουθεί να αυξάνεται ή, στην καλύτερη περίπτωση, παραμένει πεισματικά υψηλή· λαμβάνοντας υπόψη ότι η παγκόσμια αλυσίδα εφοδιασμού σπάνιων γαιών συγκεντρώνεται σε μεγάλο βαθμό στην Κίνα, η οποία έχει τον έλεγχο περίπου του 75 % </w:t>
      </w:r>
      <w:r w:rsidRPr="004A1A7C">
        <w:lastRenderedPageBreak/>
        <w:t xml:space="preserve">της εξορυκτικής παραγωγής και του 85 % της ικανότητας επεξεργασίας, ποσοστό που υπερβαίνει το 95 % στην περίπτωση ορισμένων σπάνιων γαιών, όπως το </w:t>
      </w:r>
      <w:proofErr w:type="spellStart"/>
      <w:r w:rsidRPr="004A1A7C">
        <w:t>τέρβιο</w:t>
      </w:r>
      <w:proofErr w:type="spellEnd"/>
      <w:r w:rsidRPr="004A1A7C">
        <w:t xml:space="preserve">, το </w:t>
      </w:r>
      <w:proofErr w:type="spellStart"/>
      <w:r w:rsidRPr="004A1A7C">
        <w:t>ύττριο</w:t>
      </w:r>
      <w:proofErr w:type="spellEnd"/>
      <w:r w:rsidRPr="004A1A7C">
        <w:t xml:space="preserve"> και το </w:t>
      </w:r>
      <w:proofErr w:type="spellStart"/>
      <w:r w:rsidRPr="004A1A7C">
        <w:t>δυσπρόσιο</w:t>
      </w:r>
      <w:proofErr w:type="spellEnd"/>
      <w:r w:rsidRPr="004A1A7C">
        <w:t xml:space="preserve">· λαμβάνοντας υπόψη ότι η ΕΕ εξακολουθεί να εξαρτάται υπερβολικά από τρίτες χώρες για τον εφοδιασμό με κρίσιμες πρώτες ύλες (CRM) και εξαρτάται σχεδόν αποκλειστικά από την Κίνα για την προμήθεια βαριών σπάνιων γαιών· λαμβάνοντας υπόψη ότι η ΕΕ καλύπτει το 98 % της ζήτησής της για μόνιμους μαγνήτες και το 92 % της ζήτησης για μαγνήτες </w:t>
      </w:r>
      <w:proofErr w:type="spellStart"/>
      <w:r w:rsidRPr="004A1A7C">
        <w:t>NdFeB</w:t>
      </w:r>
      <w:proofErr w:type="spellEnd"/>
      <w:r w:rsidRPr="004A1A7C">
        <w:t>, με εισαγωγές από την Κίνα·</w:t>
      </w:r>
    </w:p>
    <w:p w:rsidR="00CC49CE" w:rsidRPr="004A1A7C" w:rsidRDefault="00CC49CE">
      <w:pPr>
        <w:pStyle w:val="NormalHanging12a"/>
        <w:widowControl/>
        <w:rPr>
          <w:rFonts w:eastAsia="Calibri"/>
        </w:rPr>
      </w:pPr>
      <w:r w:rsidRPr="004A1A7C">
        <w:t>Ε.</w:t>
      </w:r>
      <w:r w:rsidRPr="004A1A7C">
        <w:tab/>
        <w:t xml:space="preserve">λαμβάνοντας υπόψη ότι η Κίνα έχει επεκτείνει σημαντικά την κυριαρχία της στην παγκόσμια εξόρυξη, επεξεργασία και διύλιση κρίσιμων πρώτων υλών και ενδιάμεσων προϊόντων, δημιουργώντας στρατηγικές εξαρτήσεις κατά μήκος βασικών αξιακών αλυσίδων, οι οποίες ενίοτε έχουν </w:t>
      </w:r>
      <w:proofErr w:type="spellStart"/>
      <w:r w:rsidRPr="004A1A7C">
        <w:t>μοχλευθεί</w:t>
      </w:r>
      <w:proofErr w:type="spellEnd"/>
      <w:r w:rsidRPr="004A1A7C">
        <w:t xml:space="preserve"> σκόπιμα μέσω περιοριστικών εμπορικών μέτρων· λαμβάνοντας υπόψη ότι η Κίνα περιόρισε για πρώτη φορά την εξαγωγή σπάνιων γαιών το 2010 λόγω εδαφικής διαφοράς με την Ιαπωνία, και ότι ο περιορισμός αυτός κηρύχθηκε μη συμβατός με τους κανόνες του ΠΟΕ από το δευτεροβάθμιο δικαιοδοτικό όργανο· λαμβάνοντας υπόψη ότι η Κίνα εφαρμόζει επίσης εκτεταμένους περιορισμούς στις εξαγωγές ακατέργαστων ορυκτών που ταξινομούνται ως στρατηγικά ή/και κρίσιμα από την ΕΕ, συμπεριλαμβανομένων του γαλλίου και του γερμανίου από την 1η Αυγούστου 2023, γραφίτη από τον Δεκέμβριο του 2023, στις εξαγωγές προϊόντων αντιμονίου από τις 15 Σεπτεμβρίου 2024, βολφραμίου και βισμουθίου από τις 4 Φεβρουαρίου 2025, και </w:t>
      </w:r>
      <w:proofErr w:type="spellStart"/>
      <w:r w:rsidRPr="004A1A7C">
        <w:t>σκανδίου</w:t>
      </w:r>
      <w:proofErr w:type="spellEnd"/>
      <w:r w:rsidRPr="004A1A7C">
        <w:t xml:space="preserve"> από τις 17 Απριλίου 2025·</w:t>
      </w:r>
    </w:p>
    <w:p w:rsidR="00CC49CE" w:rsidRPr="004A1A7C" w:rsidRDefault="00CC49CE">
      <w:pPr>
        <w:pStyle w:val="NormalHanging12a"/>
        <w:widowControl/>
      </w:pPr>
      <w:r w:rsidRPr="004A1A7C">
        <w:t>ΣΤ.</w:t>
      </w:r>
      <w:r w:rsidRPr="004A1A7C">
        <w:tab/>
        <w:t>λαμβάνοντας υπόψη ότι η εφαρμογή αυτών των περιορισμών στις εξαγωγές έχει ήδη αρχίσει να προκαλεί σοβαρές διαταραχές στη βιομηχανία της ΕΕ, συμπεριλαμβανομένης της αυτοκινητοβιομηχανίας, με 17 αλυσίδες συναρμολόγησης να αντιμετωπίζουν προσωρινές διακοπές λειτουργίας τον Μάιο του 2025· λαμβάνοντας υπόψη ότι ένα ευρύ φάσμα τομέων θα μπορούσαν να αντιμετωπίσουν διαταραχές, όπως η υγειονομική περίθαλψη, οι τομείς του διαστήματος και της άμυνας —συμπεριλαμβανομένων μαχητικών αεροσκαφών, φρεγατών, δρόνων και οπλικών συστημάτων ακριβείας— οι ανεμογεννήτριες και οι συσσωρευτές, όπως και η πράσινη και η ψηφιακή μετάβαση γενικότερα·</w:t>
      </w:r>
    </w:p>
    <w:p w:rsidR="00CC49CE" w:rsidRPr="004A1A7C" w:rsidRDefault="00CC49CE">
      <w:pPr>
        <w:pStyle w:val="NormalHanging12a"/>
        <w:widowControl/>
        <w:rPr>
          <w:rFonts w:eastAsia="Calibri"/>
        </w:rPr>
      </w:pPr>
      <w:r w:rsidRPr="004A1A7C">
        <w:t>Ζ.</w:t>
      </w:r>
      <w:r w:rsidRPr="004A1A7C">
        <w:tab/>
        <w:t xml:space="preserve">λαμβάνοντας υπόψη ότι η διαδικασία αδειοδότησης της Κίνας απαιτεί από τους αιτούντες να αποκαλύπτουν ευαίσθητες πληροφορίες στις κινεζικές αρχές, γεγονός που παραβιάζει το οικονομικό απόρρητο· λαμβάνοντας υπόψη ότι το επικαιροποιημένο πλαίσιο ελέγχου των εξαγωγών της Κίνας του Δεκεμβρίου 2024 παρέχει μεγαλύτερη διακριτική ευχέρεια στο κινεζικό Υπουργείο Εμπορίου, στο Κρατικό Συμβούλιο και στην Κεντρική Στρατιωτική Επιτροπή να υποβάλλουν σε ελέγχους εξαγωγών είδη που επισήμως δεν είναι καταχωρισμένα ως είδη διπλής χρήσης· λαμβάνοντας υπόψη ότι οι νέοι αυτοί κανονισμοί περιλαμβάνουν μέτρα με </w:t>
      </w:r>
      <w:proofErr w:type="spellStart"/>
      <w:r w:rsidRPr="004A1A7C">
        <w:t>εξωεδαφικές</w:t>
      </w:r>
      <w:proofErr w:type="spellEnd"/>
      <w:r w:rsidRPr="004A1A7C">
        <w:t xml:space="preserve"> εφαρμογές·</w:t>
      </w:r>
    </w:p>
    <w:p w:rsidR="00CC49CE" w:rsidRPr="004A1A7C" w:rsidRDefault="00CC49CE">
      <w:pPr>
        <w:pStyle w:val="NormalHanging12a"/>
        <w:widowControl/>
        <w:rPr>
          <w:rFonts w:eastAsia="Calibri"/>
        </w:rPr>
      </w:pPr>
      <w:r w:rsidRPr="004A1A7C">
        <w:t>Η.</w:t>
      </w:r>
      <w:r w:rsidRPr="004A1A7C">
        <w:tab/>
        <w:t>λαμβάνοντας υπόψη ότι η ΕΕ εφαρμόζει ελέγχους εξαγωγών σε ορισμένους τύπους κρίσιμων και προηγμένων υλικών, αλλά οι έλεγχοι αυτοί επικεντρώνονται σαφώς σε τύπους υλικών, με ακριβείς τεχνικές παραμέτρους που σχετίζονται με τη χρήση τους σε συγκεκριμένες στρατιωτικές εφαρμογές, δεν επηρεάζουν το εμπόριο μη ευαίσθητων εμπορικών προϊόντων και αντιπροσωπεύουν μικρό μόνο μερίδιο των συνολικών εξαγωγών των εν λόγω υλικών·</w:t>
      </w:r>
    </w:p>
    <w:p w:rsidR="00CC49CE" w:rsidRPr="004A1A7C" w:rsidRDefault="00CC49CE">
      <w:pPr>
        <w:pStyle w:val="NormalHanging12a"/>
        <w:widowControl/>
        <w:rPr>
          <w:rFonts w:eastAsia="Calibri"/>
        </w:rPr>
      </w:pPr>
      <w:r w:rsidRPr="004A1A7C">
        <w:t>Θ.</w:t>
      </w:r>
      <w:r w:rsidRPr="004A1A7C">
        <w:tab/>
        <w:t xml:space="preserve">λαμβάνοντας υπόψη ότι η Κίνα έχει επιδιώξει εσκεμμένα μια στρατηγική </w:t>
      </w:r>
      <w:proofErr w:type="spellStart"/>
      <w:r w:rsidRPr="004A1A7C">
        <w:t>υποτιμολόγησης</w:t>
      </w:r>
      <w:proofErr w:type="spellEnd"/>
      <w:r w:rsidRPr="004A1A7C">
        <w:t xml:space="preserve"> των τιμών της παγκόσμιας αγοράς, διατηρώντας παράλληλα κλειστή την εγχώρια αγορά της, γενικά προς όφελος των κρατικών επιχειρήσεων, και ότι συνδυάζει την εν λόγω στρατηγική με τεράστια προγράμματα επιδοτήσεων, γεγονός </w:t>
      </w:r>
      <w:r w:rsidRPr="004A1A7C">
        <w:lastRenderedPageBreak/>
        <w:t xml:space="preserve">που οδηγεί σε σημαντικές στρεβλώσεις του παγκόσμιου ανταγωνισμού και θέτει σε κίνδυνο τις πρόσφατες προσπάθειες της ΕΕ και των κρατών μελών να διατηρήσουν σε λειτουργία τους υπόλοιπους εξορυκτικούς τομείς της ΕΕ· </w:t>
      </w:r>
    </w:p>
    <w:p w:rsidR="00CC49CE" w:rsidRPr="004A1A7C" w:rsidRDefault="00CC49CE">
      <w:pPr>
        <w:pStyle w:val="NormalHanging12a"/>
        <w:widowControl/>
      </w:pPr>
      <w:r w:rsidRPr="004A1A7C">
        <w:t>Ι.</w:t>
      </w:r>
      <w:r w:rsidRPr="004A1A7C">
        <w:tab/>
        <w:t>λαμβάνοντας υπόψη ότι η ΕΕ ενέκρινε την πράξη για τις κρίσιμες πρώτες ύλες τον Απρίλιο του 2024 ως σημείο εκκίνησης των προσπαθειών για τη βελτίωση της ανθεκτικότητας και της αυτονομίας του εφοδιασμού της ΕΕ με κρίσιμες πρώτες ύλες και πρώτες ύλες στρατηγικής σημασίας· λαμβάνοντας υπόψη ότι η πράξη για τις κρίσιμες πρώτες ύλες αφορά τόσο την πλευρά της προσφοράς όσο και την πλευρά της ζήτησης, μεταξύ άλλων μέσω στόχων παραγωγής, μέσω της αποδοτικής χρήσης των πόρων με στόχο τον μετριασμό της κατανάλωσης και μέσω της υποκατάστασης των πρώτων υλών στρατηγικής σημασίας· λαμβάνοντας υπόψη ότι η κυκλικότητα βρίσκεται στο επίκεντρο της πράξης για τις κρίσιμες πρώτες ύλες, που αποσκοπεί στην κάλυψη του 25 % των αναγκών της Ένωσης σε πρώτες ύλες στρατηγικής σημασίας μέσω ανακύκλωσης έως το 2030 και έχει στόχο την ανακύκλωση σημαντικά μεγαλύτερων ποσοτήτων κάθε πρώτης ύλης στρατηγικής σημασίας από απόβλητα, μεταξύ άλλων για μόνιμους μαγνήτες·</w:t>
      </w:r>
    </w:p>
    <w:p w:rsidR="00CC49CE" w:rsidRPr="004A1A7C" w:rsidRDefault="00CC49CE">
      <w:pPr>
        <w:pStyle w:val="NormalHanging12a"/>
        <w:widowControl/>
        <w:rPr>
          <w:bCs/>
        </w:rPr>
      </w:pPr>
      <w:r w:rsidRPr="004A1A7C">
        <w:t>ΙΑ.</w:t>
      </w:r>
      <w:r w:rsidRPr="004A1A7C">
        <w:tab/>
        <w:t>λαμβάνοντας υπόψη ότι η επικείμενη σύνοδος κορυφής ΕΕ-Κίνας αποτελεί ευκαιρία για τη διεξαγωγή διαλόγου, συνεχίζοντας παράλληλα τη σθεναρή αντίσταση στον εξαναγκασμό·</w:t>
      </w:r>
    </w:p>
    <w:p w:rsidR="00CC49CE" w:rsidRPr="004A1A7C" w:rsidRDefault="00CC49CE">
      <w:pPr>
        <w:pStyle w:val="NormalHanging12a"/>
        <w:widowControl/>
      </w:pPr>
      <w:r w:rsidRPr="004A1A7C">
        <w:t>ΙΒ.</w:t>
      </w:r>
      <w:r w:rsidRPr="004A1A7C">
        <w:tab/>
        <w:t>λαμβάνοντας υπόψη ότι η Κίνα εξακολουθεί να εφαρμόζει κυρώσεις κατά πρώην βουλευτή του ΕΚ, μελών των κοινοβουλίων των κρατών μελών και ευρωπαϊκών ομάδων προβληματισμού·</w:t>
      </w:r>
    </w:p>
    <w:p w:rsidR="00CC49CE" w:rsidRPr="004A1A7C" w:rsidRDefault="00A8264F" w:rsidP="00A8264F">
      <w:pPr>
        <w:pStyle w:val="NormalHanging12a"/>
        <w:widowControl/>
        <w:ind w:left="570" w:hanging="570"/>
      </w:pPr>
      <w:r w:rsidRPr="004A1A7C">
        <w:t>1.</w:t>
      </w:r>
      <w:r w:rsidRPr="004A1A7C">
        <w:tab/>
      </w:r>
      <w:r w:rsidR="00CC49CE" w:rsidRPr="004A1A7C">
        <w:t>καταδικάζει απερίφραστα την απόφαση της Κίνας να επιβάλει περιορισμούς στις εξαγωγές σπάνιων γαιών, καθώς έχουν σταματήσει οι εξαγωγές και έχουν διαταραχθεί σημαντικά οι εφοδιαστικές αλυσίδες που είναι ζωτικής σημασίας για την αυτοκινητοβιομηχανία, τους κατασκευαστές αμυντικών προϊόντων, τις εταιρείες ημιαγωγών, τις πράσινες τεχνολογίες, τις εφαρμογές υγειονομικής περίθαλψης και πολλούς άλλους τομείς στην ΕΕ και σε ολόκληρο τον κόσμο· θεωρεί ότι η δράση της Κίνας είναι αδικαιολόγητη και έχει εξαναγκαστική πρόθεση, με βάση την τεράστια επιρροή που έχει η σχεδόν μονοπωλιακή θέση της στην παγκόσμια αγορά·</w:t>
      </w:r>
    </w:p>
    <w:p w:rsidR="00CC49CE" w:rsidRPr="004A1A7C" w:rsidRDefault="00A8264F" w:rsidP="00A8264F">
      <w:pPr>
        <w:pStyle w:val="NormalHanging12a"/>
        <w:widowControl/>
        <w:ind w:left="570" w:hanging="570"/>
      </w:pPr>
      <w:bookmarkStart w:id="8" w:name="_Hlk202535774"/>
      <w:r w:rsidRPr="004A1A7C">
        <w:t>2.</w:t>
      </w:r>
      <w:r w:rsidRPr="004A1A7C">
        <w:tab/>
      </w:r>
      <w:r w:rsidR="00CC49CE" w:rsidRPr="004A1A7C">
        <w:t>πιστεύει ότι η Κίνα χρησιμοποιεί αυτούς τους εξαγωγικούς περιορισμούς για να ενισχύσει τη διαπραγματευτική της θέση· τονίζει ότι η ΕΕ πρέπει να απορρίψει κατηγορηματικά κάθε απόπειρα της Κίνας να χρησιμοποιήσει αυτούς τους περιορισμούς για να επιβάλει παραχωρήσεις στο πλαίσιο άλλων εν εξελίξει εμπορικών φραγμών, και πιστεύει ότι τυχόν παραχωρήσεις προς την Κίνα στο πλαίσιο αυτό θα υπονόμευαν την ικανότητα της ΕΕ να προστατευθεί από τον σημερινό και μελλοντικό εξαναγκασμό·</w:t>
      </w:r>
      <w:bookmarkEnd w:id="8"/>
    </w:p>
    <w:p w:rsidR="00CC49CE" w:rsidRPr="004A1A7C" w:rsidRDefault="00A8264F" w:rsidP="00A8264F">
      <w:pPr>
        <w:pStyle w:val="NormalHanging12a"/>
        <w:widowControl/>
        <w:ind w:left="570" w:hanging="570"/>
      </w:pPr>
      <w:bookmarkStart w:id="9" w:name="_Hlk202907727"/>
      <w:r w:rsidRPr="004A1A7C">
        <w:t>3.</w:t>
      </w:r>
      <w:r w:rsidRPr="004A1A7C">
        <w:tab/>
      </w:r>
      <w:r w:rsidR="00CC49CE" w:rsidRPr="004A1A7C">
        <w:t xml:space="preserve">υπογραμμίζει ότι είναι σημαντικό να εκφραστούν ανησυχίες σχετικά με τους εξαγωγικούς περιορισμούς της Κίνας όσον αφορά τις σπάνιες γαίες και τις ευρύτερες επιπτώσεις αυτών των περιορισμών στις παγκόσμιες εφοδιαστικές αλυσίδες κατά την επικείμενη σύνοδο κορυφής ΕΕ-Κίνας· είναι πεπεισμένο ότι οι έλεγχοι των εξαγωγών θα πρέπει να αποτελούν μέρος μιας πολυμερούς προσέγγισης σχεδιασμένης για την προστασία της διεθνούς ασφάλειας και τη διασφάλιση ισότιμων όρων ανταγωνισμού σε παγκόσμιο επίπεδο, επιμένει ότι οι μονομερείς έλεγχοι πρέπει να περιορίζονται σε εκείνους που καθίστανται απολύτως αναγκαίοι για λόγους εθνικής ασφάλειας, με διαφανείς και σαφώς καθορισμένους κανόνες, και τονίζει, ως εκ τούτου, ότι οι </w:t>
      </w:r>
      <w:r w:rsidR="00CC49CE" w:rsidRPr="004A1A7C">
        <w:lastRenderedPageBreak/>
        <w:t xml:space="preserve">ενέργειες της Κίνας αντιβαίνουν στους πολυμερείς κανόνες και πρακτικές, </w:t>
      </w:r>
      <w:bookmarkStart w:id="10" w:name="_Hlk202909856"/>
      <w:r w:rsidR="00CC49CE" w:rsidRPr="004A1A7C">
        <w:t>και καλεί την Επιτροπή και τα κράτη μέλη να υιοθετήσουν σταθερή και ενιαία στάση, να συνεργαστούν με την Κίνα για την εξεύρεση διαρθρωτικής λύσης και να συνεχίσουν τον διάλογο με την Κίνα στο πλαίσιο αυτό</w:t>
      </w:r>
      <w:bookmarkEnd w:id="10"/>
      <w:r w:rsidR="00CC49CE" w:rsidRPr="004A1A7C">
        <w:t>·</w:t>
      </w:r>
      <w:bookmarkEnd w:id="9"/>
    </w:p>
    <w:p w:rsidR="00CC49CE" w:rsidRPr="004A1A7C" w:rsidRDefault="00A8264F" w:rsidP="00A8264F">
      <w:pPr>
        <w:pStyle w:val="NormalHanging12a"/>
        <w:widowControl/>
        <w:ind w:left="570" w:hanging="570"/>
      </w:pPr>
      <w:r w:rsidRPr="004A1A7C">
        <w:t>4.</w:t>
      </w:r>
      <w:r w:rsidRPr="004A1A7C">
        <w:tab/>
      </w:r>
      <w:r w:rsidR="00CC49CE" w:rsidRPr="004A1A7C">
        <w:t>παροτρύνει τις κινεζικές αρχές να δώσουν απτή συνέχεια στην πρότασή τους και να άρουν πλήρως τους περιορισμούς στις εξαγωγές· λαμβάνει γνώση, εν τω μεταξύ, της πρόσφατης πρότασης των κινεζικών αρχών για τη δημιουργία των λεγόμενων «πράσινων λωρίδων» με στόχο την απλούστευση των διαδικασιών για τις ευρωπαϊκές εταιρείες·</w:t>
      </w:r>
    </w:p>
    <w:p w:rsidR="00CC49CE" w:rsidRPr="004A1A7C" w:rsidRDefault="00A8264F" w:rsidP="00A8264F">
      <w:pPr>
        <w:pStyle w:val="NormalHanging12a"/>
        <w:widowControl/>
        <w:ind w:left="570" w:hanging="570"/>
      </w:pPr>
      <w:bookmarkStart w:id="11" w:name="_Hlk202909943"/>
      <w:r w:rsidRPr="004A1A7C">
        <w:t>5.</w:t>
      </w:r>
      <w:r w:rsidRPr="004A1A7C">
        <w:tab/>
      </w:r>
      <w:r w:rsidR="00CC49CE" w:rsidRPr="004A1A7C">
        <w:t>τονίζει την επείγουσα ανάγκη να ενισχύσει η ΕΕ τη στρατηγική μόχλευση και την αναγκαιότητά της, εντοπίζοντας, θέτοντας σε λειτουργία και ενισχύοντας τομείς στους οποίους διαθέτει κρίσιμα πλεονεκτήματα έναντι της Κίνας σε βασικά αγαθά και τεχνολογίες, με στόχο την ενίσχυση της στρατηγικής αυτονομίας της ΕΕ ή τον περιορισμό της πρόσβασης Κινέζων προμηθευτών υψηλού κινδύνου στην εσωτερική αγορά της ΕΕ σύμφωνα με το ενωσιακό και το διεθνές εμπορικό δίκαιο·</w:t>
      </w:r>
      <w:bookmarkEnd w:id="11"/>
    </w:p>
    <w:p w:rsidR="00CC49CE" w:rsidRPr="004A1A7C" w:rsidRDefault="00A8264F" w:rsidP="00A8264F">
      <w:pPr>
        <w:pStyle w:val="NormalHanging12a"/>
        <w:widowControl/>
        <w:ind w:left="570" w:hanging="570"/>
      </w:pPr>
      <w:r w:rsidRPr="004A1A7C">
        <w:t>6.</w:t>
      </w:r>
      <w:r w:rsidRPr="004A1A7C">
        <w:tab/>
      </w:r>
      <w:r w:rsidR="00CC49CE" w:rsidRPr="004A1A7C">
        <w:t xml:space="preserve">θεωρεί ότι τα μέτρα της Κίνας αποτελούν αδικαιολόγητη </w:t>
      </w:r>
      <w:proofErr w:type="spellStart"/>
      <w:r w:rsidR="00CC49CE" w:rsidRPr="004A1A7C">
        <w:t>οπλοποίηση</w:t>
      </w:r>
      <w:proofErr w:type="spellEnd"/>
      <w:r w:rsidR="00CC49CE" w:rsidRPr="004A1A7C">
        <w:t xml:space="preserve"> των γραμμών εφοδιασμού με κρίσιμες πρώτες ύλες που διαθέτει, γεγονός που την καθιστά αναξιόπιστη πηγή εισροών για κρίσιμους τομείς και απειλή για τα οικονομικά συμφέροντα και τα ουσιώδη συμφέροντα ασφάλειας της Ένωσης·</w:t>
      </w:r>
    </w:p>
    <w:p w:rsidR="00CC49CE" w:rsidRPr="004A1A7C" w:rsidRDefault="00A8264F" w:rsidP="00A8264F">
      <w:pPr>
        <w:pStyle w:val="NormalHanging12a"/>
        <w:widowControl/>
        <w:ind w:left="570" w:hanging="570"/>
      </w:pPr>
      <w:r w:rsidRPr="004A1A7C">
        <w:t>7.</w:t>
      </w:r>
      <w:r w:rsidRPr="004A1A7C">
        <w:tab/>
      </w:r>
      <w:r w:rsidR="00CC49CE" w:rsidRPr="004A1A7C">
        <w:t>εκφράζει τη βαθιά του ανησυχία για τις απαιτήσεις, που επιβάλλουν οι κινεζικές αρχές, σύμφωνα με τις οποίες οι αιτούντες πρέπει να αποκαλύπτουν ευαίσθητα δεδομένα κατά την υποβολή αίτησης για άδειες εξαγωγής, καθώς και για τον σημαντικό κίνδυνο διαρροής τεχνολογίας που συνδέεται με αυτή τη γνωστοποίηση δεδομένων όσον αφορά την αξιακή αλυσίδα της αμυντικής βιομηχανικής βάσης και τα απόρρητα εθνικής ασφάλειας, τονίζοντας ότι αυτό μπορεί να χρησιμοποιηθεί για μελλοντικό εξαναγκασμό· θεωρεί απαραίτητο η Επιτροπή και τα κράτη μέλη να αξιολογήσουν και να μετριάσουν τις επιπτώσεις αυτών των διαβιβάσεων δεδομένων στην ασφάλεια, σύμφωνα με τη στρατηγική για την ενίσχυση της ευρωπαϊκής οικονομικής ασφάλειας·</w:t>
      </w:r>
    </w:p>
    <w:p w:rsidR="00CC49CE" w:rsidRPr="004A1A7C" w:rsidRDefault="00A8264F" w:rsidP="00A8264F">
      <w:pPr>
        <w:pStyle w:val="NormalHanging12a"/>
        <w:widowControl/>
        <w:ind w:left="570" w:hanging="570"/>
        <w:rPr>
          <w:bCs/>
        </w:rPr>
      </w:pPr>
      <w:r w:rsidRPr="004A1A7C">
        <w:rPr>
          <w:bCs/>
        </w:rPr>
        <w:t>8.</w:t>
      </w:r>
      <w:r w:rsidRPr="004A1A7C">
        <w:rPr>
          <w:bCs/>
        </w:rPr>
        <w:tab/>
      </w:r>
      <w:r w:rsidR="00CC49CE" w:rsidRPr="004A1A7C">
        <w:t>παροτρύνει την Επιτροπή και τα κράτη μέλη να επισπεύσουν την εφαρμογή της πράξης για τις κρίσιμες πρώτες ύλες· τονίζει τον σημαντικό ρόλο του ευρωπαϊκού συμβουλίου για τις κρίσιμες πρώτες ύλες και των υποομάδων του όσον αφορά την ταχεία και αποδοτική εφαρμογή του κανονισμού για τις κρίσιμες πρώτες ύλες· υπενθυμίζει τους σαφείς και φιλόδοξους στόχους για την ενίσχυση των ικανοτήτων της ΕΕ όσον αφορά την εξόρυξη, την επεξεργασία και την ανακύκλωση πρώτων υλών στρατηγικής σημασίας σε εγχώριο επίπεδο έως το 2030· επισημαίνει την επιλογή των πρώτων 60 στρατηγικών έργων στο πλαίσιο της πράξης για τις κρίσιμες πρώτες ύλες·</w:t>
      </w:r>
    </w:p>
    <w:p w:rsidR="00CC49CE" w:rsidRPr="004A1A7C" w:rsidRDefault="00A8264F" w:rsidP="00A8264F">
      <w:pPr>
        <w:pStyle w:val="NormalHanging12a"/>
        <w:widowControl/>
        <w:ind w:left="570" w:hanging="570"/>
        <w:rPr>
          <w:bCs/>
        </w:rPr>
      </w:pPr>
      <w:r w:rsidRPr="004A1A7C">
        <w:rPr>
          <w:bCs/>
        </w:rPr>
        <w:t>9.</w:t>
      </w:r>
      <w:r w:rsidRPr="004A1A7C">
        <w:rPr>
          <w:bCs/>
        </w:rPr>
        <w:tab/>
      </w:r>
      <w:r w:rsidR="00CC49CE" w:rsidRPr="004A1A7C">
        <w:t xml:space="preserve">εκφράζει τη λύπη του για το γεγονός ότι η πράξη για τις κρίσιμες πρώτες ύλες δεν συνοδευόταν από ειδικό προϋπολογισμό της ΕΕ, παρά το γεγονός ότι η έλλειψη χρηματοδότησης ήταν το κύριο εμπόδιο· τονίζει την επείγουσα ανάγκη να εξασφαλιστούν επενδύσεις στα στρατηγικά έργα που εγκρίθηκαν στο πλαίσιο της πράξης για τις κρίσιμες πρώτες ύλες και σε άλλα έργα για την τόνωση της εξόρυξης, της διύλισης, της επεξεργασίας και της ανακύκλωσης που συμβάλλουν στην ελαχιστοποίηση των κινδύνων από την Κίνα και στην επίτευξη των δεικτών αναφοράς που περιέχονται στην πράξη για τις κρίσιμες πρώτες ύλες· παροτρύνει την Επιτροπή να διαθέσει περαιτέρω στήριξη σε επίπεδο ΕΕ για τη διαφοροποίηση του εφοδιασμού με σπάνιες γαίες και κρίσιμες πρώτες ύλες, και να διασφαλίσει ότι το προσεχές πολυετές </w:t>
      </w:r>
      <w:r w:rsidR="00CC49CE" w:rsidRPr="004A1A7C">
        <w:lastRenderedPageBreak/>
        <w:t>δημοσιονομικό πλαίσιο θα περιλαμβάνει γραμμή του προϋπολογισμού για την προώθηση των επενδύσεων στην εξόρυξη, την επεξεργασία, την κυκλικότητα, την έρευνα και την καινοτομία, μεταξύ άλλων για την υποκατάσταση των κρίσιμων πρώτων υλών·</w:t>
      </w:r>
    </w:p>
    <w:p w:rsidR="00CC49CE" w:rsidRPr="004A1A7C" w:rsidRDefault="00A8264F" w:rsidP="00A8264F">
      <w:pPr>
        <w:pStyle w:val="NormalHanging12a"/>
        <w:widowControl/>
        <w:ind w:left="570" w:hanging="570"/>
      </w:pPr>
      <w:r w:rsidRPr="004A1A7C">
        <w:t>10.</w:t>
      </w:r>
      <w:r w:rsidRPr="004A1A7C">
        <w:tab/>
      </w:r>
      <w:r w:rsidR="00CC49CE" w:rsidRPr="004A1A7C">
        <w:t>υπογραμμίζει την ανάγκη η ΕΕ να πραγματοποιεί εξορύξεις σε εγχώριο επίπεδο και να αποκαταστήσει την ικανότητα επεξεργασίας· υπογραμμίζει ότι η αύξηση της αποδοτικότητας της χρήσης των πόρων μέσω της τεχνολογικής καινοτομίας αποτελεί έναν από τους στόχους της πράξης για τις κρίσιμες πρώτες ύλες· τονίζει τις δυνατότητες της ανακύκλωσης και της αστικής εξόρυξης για την άμβλυνση των περιορισμών εφοδιασμού βραχυπρόθεσμα και ζητεί από την Επιτροπή να λάβει άμεσα μέτρα για να βελτιωθεί η συλλογή και η διατήρηση των σπάνιων γαιών στην εσωτερική αγορά·</w:t>
      </w:r>
    </w:p>
    <w:p w:rsidR="00CC49CE" w:rsidRPr="004A1A7C" w:rsidRDefault="00A8264F" w:rsidP="00A8264F">
      <w:pPr>
        <w:pStyle w:val="NormalHanging12a"/>
        <w:widowControl/>
        <w:ind w:left="570" w:hanging="570"/>
      </w:pPr>
      <w:r w:rsidRPr="004A1A7C">
        <w:t>11.</w:t>
      </w:r>
      <w:r w:rsidRPr="004A1A7C">
        <w:tab/>
      </w:r>
      <w:r w:rsidR="00CC49CE" w:rsidRPr="004A1A7C">
        <w:t>υπογραμμίζει την ανάγκη να διασφαλιστεί η μακροπρόθεσμη επιχειρηματική σκοπιμότητα και η βιωσιμότητα των επενδύσεων σε αξιακές αλυσίδες κρίσιμων πρώτων υλών, μεταξύ άλλων μέσω χρηματοδοτικής στήριξης, όπως τα κατώτατα όρια τιμών, η στήριξη των συμφωνιών αγοράς και η στρατηγική δημιουργία αποθεμάτων· καλεί τα κράτη μέλη να ζητήσουν από τις μεγάλες εταιρείες που παράγουν τεχνολογίες σε στρατηγικούς τομείς να διεξάγουν δεόντως και τακτικά δραστηριότητες ετοιμότητας αντιμετώπισης κινδύνων και να εφαρμόζουν μέτρα για τον μετριασμό των ελλείψεων εφοδιασμού, μεταξύ άλλων μέσω της δημιουργίας αποθεμάτων·</w:t>
      </w:r>
    </w:p>
    <w:p w:rsidR="00CC49CE" w:rsidRPr="004A1A7C" w:rsidRDefault="00A8264F" w:rsidP="00A8264F">
      <w:pPr>
        <w:pStyle w:val="NormalHanging12a"/>
        <w:widowControl/>
        <w:ind w:left="570" w:hanging="570"/>
      </w:pPr>
      <w:r w:rsidRPr="004A1A7C">
        <w:t>12.</w:t>
      </w:r>
      <w:r w:rsidRPr="004A1A7C">
        <w:tab/>
      </w:r>
      <w:r w:rsidR="00CC49CE" w:rsidRPr="004A1A7C">
        <w:t>καλεί την Επιτροπή, από κοινού με τα κράτη μέλη, να αξιολογήσει το ελάχιστο επίπεδο για την ΕΕ των στρατηγικών αποθεμάτων σπάνιων γαιών που απαριθμούνται ως πρώτες ύλες στρατηγικής σημασίας (</w:t>
      </w:r>
      <w:proofErr w:type="spellStart"/>
      <w:r w:rsidR="00CC49CE" w:rsidRPr="004A1A7C">
        <w:t>νεοδύμιο</w:t>
      </w:r>
      <w:proofErr w:type="spellEnd"/>
      <w:r w:rsidR="00CC49CE" w:rsidRPr="004A1A7C">
        <w:t xml:space="preserve">, </w:t>
      </w:r>
      <w:proofErr w:type="spellStart"/>
      <w:r w:rsidR="00CC49CE" w:rsidRPr="004A1A7C">
        <w:t>πρασεοδύμιο</w:t>
      </w:r>
      <w:proofErr w:type="spellEnd"/>
      <w:r w:rsidR="00CC49CE" w:rsidRPr="004A1A7C">
        <w:t xml:space="preserve">, </w:t>
      </w:r>
      <w:proofErr w:type="spellStart"/>
      <w:r w:rsidR="00CC49CE" w:rsidRPr="004A1A7C">
        <w:t>τέρβιο</w:t>
      </w:r>
      <w:proofErr w:type="spellEnd"/>
      <w:r w:rsidR="00CC49CE" w:rsidRPr="004A1A7C">
        <w:t xml:space="preserve">, </w:t>
      </w:r>
      <w:proofErr w:type="spellStart"/>
      <w:r w:rsidR="00CC49CE" w:rsidRPr="004A1A7C">
        <w:t>δυσπρόσιο</w:t>
      </w:r>
      <w:proofErr w:type="spellEnd"/>
      <w:r w:rsidR="00CC49CE" w:rsidRPr="004A1A7C">
        <w:t xml:space="preserve">, γαδολίνιο, </w:t>
      </w:r>
      <w:proofErr w:type="spellStart"/>
      <w:r w:rsidR="00CC49CE" w:rsidRPr="004A1A7C">
        <w:t>σαμάριο</w:t>
      </w:r>
      <w:proofErr w:type="spellEnd"/>
      <w:r w:rsidR="00CC49CE" w:rsidRPr="004A1A7C">
        <w:t xml:space="preserve"> και </w:t>
      </w:r>
      <w:proofErr w:type="spellStart"/>
      <w:r w:rsidR="00CC49CE" w:rsidRPr="004A1A7C">
        <w:t>δημήτριο</w:t>
      </w:r>
      <w:proofErr w:type="spellEnd"/>
      <w:r w:rsidR="00CC49CE" w:rsidRPr="004A1A7C">
        <w:t>) και τις αντίστοιχες εφαρμογές τελικής χρήσης, συμπεριλαμβανομένων εκείνων που συνδέονται με την αμυντική βιομηχανία·</w:t>
      </w:r>
    </w:p>
    <w:p w:rsidR="00CC49CE" w:rsidRPr="004A1A7C" w:rsidRDefault="00A8264F" w:rsidP="00A8264F">
      <w:pPr>
        <w:pStyle w:val="NormalHanging12a"/>
        <w:widowControl/>
        <w:ind w:left="570" w:hanging="570"/>
      </w:pPr>
      <w:r w:rsidRPr="004A1A7C">
        <w:t>13.</w:t>
      </w:r>
      <w:r w:rsidRPr="004A1A7C">
        <w:tab/>
      </w:r>
      <w:r w:rsidR="00CC49CE" w:rsidRPr="004A1A7C">
        <w:t xml:space="preserve">ζητεί, επιπλέον, ισχυρότερη προσήλωση στη σύναψη εταιρικών σχέσεων καθαρού εμπορίου και επενδύσεων (CTIP) και διμερών στρατηγικών εταιρικών σχέσεων για τις πρώτες ύλες που βασίζονται σε πραγματικά επωφελείς για όλους εταιρικές σχέσεις και πληρούν υψηλά πρότυπα βιωσιμότητας και ανθρωπίνων δικαιωμάτων· επιμένει στην ανάγκη μετάβασης σε δεσμευτικές συμφωνίες για τις κρίσιμες πρώτες ύλες, ώστε να διασφαλιστεί η μακροπρόθεσμη ασφάλεια του εφοδιασμού της ΕΕ, να εξασφαλιστεί μεγαλύτερη διαφάνεια και να διασφαλιστεί ότι το Κοινοβούλιο διαθέτει εξουσίες ελέγχου· υπογραμμίζει τη σημασία των συμφωνιών ελεύθερων συναλλαγών και της πρωτοβουλίας </w:t>
      </w:r>
      <w:proofErr w:type="spellStart"/>
      <w:r w:rsidR="00CC49CE" w:rsidRPr="004A1A7C">
        <w:t>Global</w:t>
      </w:r>
      <w:proofErr w:type="spellEnd"/>
      <w:r w:rsidR="00CC49CE" w:rsidRPr="004A1A7C">
        <w:t xml:space="preserve"> </w:t>
      </w:r>
      <w:proofErr w:type="spellStart"/>
      <w:r w:rsidR="00CC49CE" w:rsidRPr="004A1A7C">
        <w:t>Gateway</w:t>
      </w:r>
      <w:proofErr w:type="spellEnd"/>
      <w:r w:rsidR="00CC49CE" w:rsidRPr="004A1A7C">
        <w:t xml:space="preserve"> για την ενίσχυση της πρόσβασης σε κρίσιμες πρώτες ύλες·</w:t>
      </w:r>
    </w:p>
    <w:p w:rsidR="00CC49CE" w:rsidRPr="004A1A7C" w:rsidRDefault="00A8264F" w:rsidP="00A8264F">
      <w:pPr>
        <w:pStyle w:val="NormalHanging12a"/>
        <w:widowControl/>
        <w:ind w:left="570" w:hanging="570"/>
        <w:rPr>
          <w:bCs/>
        </w:rPr>
      </w:pPr>
      <w:r w:rsidRPr="004A1A7C">
        <w:rPr>
          <w:bCs/>
        </w:rPr>
        <w:t>14.</w:t>
      </w:r>
      <w:r w:rsidRPr="004A1A7C">
        <w:rPr>
          <w:bCs/>
        </w:rPr>
        <w:tab/>
      </w:r>
      <w:r w:rsidR="00CC49CE" w:rsidRPr="004A1A7C">
        <w:t>ενθαρρύνει τη χρήση ρητρών προτίμησης για την προμήθεια σπάνιων γαιών από προμηθευτές της ΕΕ και αξιόπιστους εταίρους στη σχετική νομοθεσία για τις δημόσιες συμβάσεις· ζητεί μεγαλύτερο συντονισμό με ομόφρονες διεθνείς εταίρους, ιδίως εντός των πλαισίων της G7 και του ΝΑΤΟ και με τον Ιαπωνικό Οργανισμό για τα Μέταλλα και την Ενεργειακή Ασφάλεια, με σκοπό να βελτιωθεί η μεταφορά γνώσεων, να ευθυγραμμιστεί η ασφάλεια των εφοδιαστικών αλυσίδων, οι κοινές επενδύσεις και οι στρατηγικές δημιουργίας αποθεμάτων, και να καταρτιστούν πρότυπα αξιόπιστων πηγών για στρατηγικούς τομείς και στρατηγικά έργα·</w:t>
      </w:r>
    </w:p>
    <w:p w:rsidR="00854E45" w:rsidRPr="004A1A7C" w:rsidRDefault="00A8264F" w:rsidP="00A8264F">
      <w:pPr>
        <w:pStyle w:val="NormalHanging12a"/>
        <w:widowControl/>
        <w:ind w:left="570" w:hanging="570"/>
      </w:pPr>
      <w:r w:rsidRPr="004A1A7C">
        <w:t>15.</w:t>
      </w:r>
      <w:r w:rsidRPr="004A1A7C">
        <w:tab/>
      </w:r>
      <w:r w:rsidR="00CC49CE" w:rsidRPr="004A1A7C">
        <w:t xml:space="preserve">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στις κυβερνήσεις και τα </w:t>
      </w:r>
      <w:r w:rsidR="00CC49CE" w:rsidRPr="004A1A7C">
        <w:lastRenderedPageBreak/>
        <w:t>κοινοβούλια των κρατών μελών, καθώς και στην κυβέρνηση και το κοινοβούλιο της Λαϊκής Δημοκρατίας της Κίνας.</w:t>
      </w:r>
    </w:p>
    <w:p w:rsidR="00E365E1" w:rsidRPr="004A1A7C" w:rsidRDefault="00E365E1" w:rsidP="0065578D">
      <w:pPr>
        <w:widowControl/>
        <w:spacing w:after="240"/>
        <w:ind w:left="567" w:hanging="567"/>
      </w:pPr>
    </w:p>
    <w:sectPr w:rsidR="00E365E1" w:rsidRPr="004A1A7C" w:rsidSect="00854E4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AE1" w:rsidRPr="00854E45" w:rsidRDefault="00247AE1">
      <w:r w:rsidRPr="00854E45">
        <w:separator/>
      </w:r>
    </w:p>
  </w:endnote>
  <w:endnote w:type="continuationSeparator" w:id="0">
    <w:p w:rsidR="00247AE1" w:rsidRPr="00854E45" w:rsidRDefault="00247AE1">
      <w:r w:rsidRPr="00854E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AE1" w:rsidRPr="00854E45" w:rsidRDefault="00247AE1">
      <w:r w:rsidRPr="00854E45">
        <w:separator/>
      </w:r>
    </w:p>
  </w:footnote>
  <w:footnote w:type="continuationSeparator" w:id="0">
    <w:p w:rsidR="00247AE1" w:rsidRPr="00854E45" w:rsidRDefault="00247AE1">
      <w:r w:rsidRPr="00854E45">
        <w:continuationSeparator/>
      </w:r>
    </w:p>
  </w:footnote>
  <w:footnote w:id="1">
    <w:p w:rsidR="00CC49CE" w:rsidRPr="00A8264F" w:rsidRDefault="00CC49CE" w:rsidP="0065578D">
      <w:pPr>
        <w:pStyle w:val="FootnoteText"/>
        <w:spacing w:line="240" w:lineRule="auto"/>
        <w:ind w:left="567" w:hanging="567"/>
        <w:rPr>
          <w:sz w:val="24"/>
          <w:lang w:val="fi-FI"/>
        </w:rPr>
      </w:pPr>
      <w:bookmarkStart w:id="7" w:name="_GoBack"/>
      <w:r w:rsidRPr="00854E45">
        <w:rPr>
          <w:rStyle w:val="FootnoteReference"/>
          <w:sz w:val="24"/>
          <w:lang w:val="el-GR"/>
        </w:rPr>
        <w:footnoteRef/>
      </w:r>
      <w:r w:rsidR="00854E45" w:rsidRPr="00A8264F">
        <w:rPr>
          <w:sz w:val="24"/>
          <w:lang w:val="fi-FI"/>
        </w:rPr>
        <w:t xml:space="preserve"> </w:t>
      </w:r>
      <w:r w:rsidR="00854E45" w:rsidRPr="00A8264F">
        <w:rPr>
          <w:sz w:val="24"/>
          <w:lang w:val="fi-FI"/>
        </w:rPr>
        <w:tab/>
      </w:r>
      <w:r w:rsidRPr="00854E45">
        <w:rPr>
          <w:sz w:val="24"/>
          <w:lang w:val="el-GR"/>
        </w:rPr>
        <w:t>ΕΕ</w:t>
      </w:r>
      <w:r w:rsidRPr="00A8264F">
        <w:rPr>
          <w:sz w:val="24"/>
          <w:lang w:val="fi-FI"/>
        </w:rPr>
        <w:t xml:space="preserve"> L, 2024/1252, 3.5.2024, ELI: </w:t>
      </w:r>
      <w:hyperlink r:id="rId1" w:history="1">
        <w:r w:rsidRPr="00A8264F">
          <w:rPr>
            <w:rStyle w:val="Hyperlink"/>
            <w:sz w:val="24"/>
            <w:lang w:val="fi-FI"/>
          </w:rPr>
          <w:t>http://data.europa.eu/eli/reg/2024/1252/oj</w:t>
        </w:r>
      </w:hyperlink>
      <w:r w:rsidRPr="00A8264F">
        <w:rPr>
          <w:sz w:val="24"/>
          <w:lang w:val="fi-FI"/>
        </w:rPr>
        <w:t>.</w:t>
      </w:r>
    </w:p>
  </w:footnote>
  <w:footnote w:id="2">
    <w:p w:rsidR="00CC49CE" w:rsidRPr="00A8264F" w:rsidRDefault="00CC49CE" w:rsidP="0065578D">
      <w:pPr>
        <w:pStyle w:val="FootnoteText"/>
        <w:spacing w:line="240" w:lineRule="auto"/>
        <w:ind w:left="567" w:hanging="567"/>
        <w:rPr>
          <w:sz w:val="24"/>
          <w:lang w:val="fi-FI"/>
        </w:rPr>
      </w:pPr>
      <w:r w:rsidRPr="00854E45">
        <w:rPr>
          <w:rStyle w:val="FootnoteReference"/>
          <w:sz w:val="24"/>
          <w:lang w:val="el-GR"/>
        </w:rPr>
        <w:footnoteRef/>
      </w:r>
      <w:r w:rsidR="00854E45" w:rsidRPr="00A8264F">
        <w:rPr>
          <w:sz w:val="24"/>
          <w:lang w:val="fi-FI"/>
        </w:rPr>
        <w:t xml:space="preserve"> </w:t>
      </w:r>
      <w:r w:rsidR="00854E45" w:rsidRPr="00A8264F">
        <w:rPr>
          <w:sz w:val="24"/>
          <w:lang w:val="fi-FI"/>
        </w:rPr>
        <w:tab/>
      </w:r>
      <w:r w:rsidRPr="00854E45">
        <w:rPr>
          <w:sz w:val="24"/>
          <w:lang w:val="el-GR"/>
        </w:rPr>
        <w:t>ΕΕ</w:t>
      </w:r>
      <w:r w:rsidRPr="00A8264F">
        <w:rPr>
          <w:sz w:val="24"/>
          <w:lang w:val="fi-FI"/>
        </w:rPr>
        <w:t xml:space="preserve"> L, 2024/1735, 28.6.2024, ELI: </w:t>
      </w:r>
      <w:hyperlink r:id="rId2" w:history="1">
        <w:r w:rsidRPr="00A8264F">
          <w:rPr>
            <w:rStyle w:val="Hyperlink"/>
            <w:sz w:val="24"/>
            <w:lang w:val="fi-FI"/>
          </w:rPr>
          <w:t>http://data.europa.eu/eli/reg/2024/1735/oj</w:t>
        </w:r>
      </w:hyperlink>
      <w:r w:rsidRPr="00A8264F">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480159B"/>
    <w:multiLevelType w:val="hybridMultilevel"/>
    <w:tmpl w:val="18AE0AE8"/>
    <w:lvl w:ilvl="0" w:tplc="75A0118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3BF3286"/>
    <w:multiLevelType w:val="hybridMultilevel"/>
    <w:tmpl w:val="0DBAFC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4/2025"/>
    <w:docVar w:name="dvlangue" w:val="EL"/>
    <w:docVar w:name="dvnumam" w:val="0"/>
    <w:docVar w:name="dvpe" w:val="774.020"/>
    <w:docVar w:name="dvtitre" w:val="Ψήφισμα του Ευρωπαϊκού Κοινοβουλίου σχετικά με την αντιμετώπιση των περιορισμών της Κίνας στις εξαγωγές κρίσιμων πρώτων υλών(2025/2800(RSP))"/>
  </w:docVars>
  <w:rsids>
    <w:rsidRoot w:val="00247AE1"/>
    <w:rsid w:val="00002272"/>
    <w:rsid w:val="00064002"/>
    <w:rsid w:val="000677B9"/>
    <w:rsid w:val="000831BA"/>
    <w:rsid w:val="000A42CC"/>
    <w:rsid w:val="000E7DD9"/>
    <w:rsid w:val="0010095E"/>
    <w:rsid w:val="00125B37"/>
    <w:rsid w:val="00187494"/>
    <w:rsid w:val="001F32AE"/>
    <w:rsid w:val="00247AE1"/>
    <w:rsid w:val="002767FF"/>
    <w:rsid w:val="002B18FE"/>
    <w:rsid w:val="002B5493"/>
    <w:rsid w:val="00343214"/>
    <w:rsid w:val="00351C57"/>
    <w:rsid w:val="00361C00"/>
    <w:rsid w:val="00395FA1"/>
    <w:rsid w:val="003E15D4"/>
    <w:rsid w:val="00411CCE"/>
    <w:rsid w:val="0041666E"/>
    <w:rsid w:val="00421060"/>
    <w:rsid w:val="00471C19"/>
    <w:rsid w:val="004867E3"/>
    <w:rsid w:val="00494A28"/>
    <w:rsid w:val="004A1A7C"/>
    <w:rsid w:val="004C0004"/>
    <w:rsid w:val="004C5D52"/>
    <w:rsid w:val="0050519A"/>
    <w:rsid w:val="005072A1"/>
    <w:rsid w:val="00514517"/>
    <w:rsid w:val="00545827"/>
    <w:rsid w:val="00560270"/>
    <w:rsid w:val="005C2568"/>
    <w:rsid w:val="005F1B17"/>
    <w:rsid w:val="006037C0"/>
    <w:rsid w:val="0065578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E4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64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9C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E32D162-7B20-4F1F-BC24-388FF1D5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C49CE"/>
    <w:rPr>
      <w:b/>
    </w:rPr>
  </w:style>
  <w:style w:type="paragraph" w:customStyle="1" w:styleId="NormalHanging12a">
    <w:name w:val="NormalHanging12a"/>
    <w:basedOn w:val="Normal"/>
    <w:rsid w:val="00CC49CE"/>
    <w:pPr>
      <w:spacing w:after="240"/>
      <w:ind w:left="567" w:hanging="567"/>
    </w:pPr>
  </w:style>
  <w:style w:type="paragraph" w:customStyle="1" w:styleId="EPComma">
    <w:name w:val="EPComma"/>
    <w:basedOn w:val="Normal"/>
    <w:link w:val="EPCommaChar"/>
    <w:rsid w:val="00CC49CE"/>
    <w:pPr>
      <w:spacing w:before="480" w:after="240"/>
    </w:pPr>
  </w:style>
  <w:style w:type="character" w:customStyle="1" w:styleId="EPCommaChar">
    <w:name w:val="EPComma Char"/>
    <w:basedOn w:val="DefaultParagraphFont"/>
    <w:link w:val="EPComma"/>
    <w:rsid w:val="00CC49CE"/>
    <w:rPr>
      <w:sz w:val="24"/>
      <w:lang w:val="el-GR"/>
    </w:rPr>
  </w:style>
  <w:style w:type="paragraph" w:styleId="BalloonText">
    <w:name w:val="Balloon Text"/>
    <w:basedOn w:val="Normal"/>
    <w:link w:val="BalloonTextChar"/>
    <w:rsid w:val="0065578D"/>
    <w:rPr>
      <w:rFonts w:ascii="Segoe UI" w:hAnsi="Segoe UI" w:cs="Segoe UI"/>
      <w:sz w:val="18"/>
      <w:szCs w:val="18"/>
    </w:rPr>
  </w:style>
  <w:style w:type="character" w:customStyle="1" w:styleId="BalloonTextChar">
    <w:name w:val="Balloon Text Char"/>
    <w:basedOn w:val="DefaultParagraphFont"/>
    <w:link w:val="BalloonText"/>
    <w:rsid w:val="0065578D"/>
    <w:rPr>
      <w:rFonts w:ascii="Segoe UI" w:hAnsi="Segoe UI" w:cs="Segoe UI"/>
      <w:sz w:val="18"/>
      <w:szCs w:val="18"/>
      <w:lang w:val="el-GR"/>
    </w:rPr>
  </w:style>
  <w:style w:type="character" w:styleId="Hyperlink">
    <w:name w:val="Hyperlink"/>
    <w:basedOn w:val="DefaultParagraphFont"/>
    <w:rsid w:val="0065578D"/>
    <w:rPr>
      <w:color w:val="0563C1" w:themeColor="hyperlink"/>
      <w:u w:val="single"/>
    </w:rPr>
  </w:style>
  <w:style w:type="character" w:styleId="FollowedHyperlink">
    <w:name w:val="FollowedHyperlink"/>
    <w:basedOn w:val="DefaultParagraphFont"/>
    <w:rsid w:val="0065578D"/>
    <w:rPr>
      <w:color w:val="954F72" w:themeColor="followedHyperlink"/>
      <w:u w:val="single"/>
    </w:rPr>
  </w:style>
  <w:style w:type="paragraph" w:styleId="Header">
    <w:name w:val="header"/>
    <w:basedOn w:val="Normal"/>
    <w:link w:val="HeaderChar"/>
    <w:rsid w:val="00A8264F"/>
    <w:pPr>
      <w:tabs>
        <w:tab w:val="center" w:pos="4513"/>
        <w:tab w:val="right" w:pos="9026"/>
      </w:tabs>
    </w:pPr>
  </w:style>
  <w:style w:type="character" w:customStyle="1" w:styleId="HeaderChar">
    <w:name w:val="Header Char"/>
    <w:basedOn w:val="DefaultParagraphFont"/>
    <w:link w:val="Header"/>
    <w:rsid w:val="00A8264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735/oj" TargetMode="External"/><Relationship Id="rId1"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3EE1D-1F1E-4C00-B978-3FECA3DA8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2711</Words>
  <Characters>16019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2025-07-10T12:30:00Z</dcterms:created>
  <dcterms:modified xsi:type="dcterms:W3CDTF">2025-07-10T12:30:00Z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B10-0324/2025</vt:lpwstr>
  </property>
  <property fmtid="{D5CDD505-2E9C-101B-9397-08002B2CF9AE}" pid="4" name="&lt;Type&gt;">
    <vt:lpwstr>RR</vt:lpwstr>
  </property>
</Properties>
</file>