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36B0D" w14:paraId="411613C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F5D871" w14:textId="77777777" w:rsidR="00751A4A" w:rsidRPr="00736B0D" w:rsidRDefault="00C05613" w:rsidP="0010095E">
            <w:pPr>
              <w:pStyle w:val="EPName"/>
            </w:pPr>
            <w:r w:rsidRPr="00736B0D">
              <w:t>Europski parlament</w:t>
            </w:r>
          </w:p>
          <w:p w14:paraId="0A7D5DBE" w14:textId="77777777" w:rsidR="00751A4A" w:rsidRPr="00736B0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36B0D">
              <w:t>2024</w:t>
            </w:r>
            <w:r w:rsidR="00817416" w:rsidRPr="00736B0D">
              <w:t>-202</w:t>
            </w:r>
            <w:r w:rsidRPr="00736B0D">
              <w:t>9</w:t>
            </w:r>
          </w:p>
        </w:tc>
        <w:tc>
          <w:tcPr>
            <w:tcW w:w="2268" w:type="dxa"/>
            <w:shd w:val="clear" w:color="auto" w:fill="auto"/>
          </w:tcPr>
          <w:p w14:paraId="0681EAB7" w14:textId="77777777" w:rsidR="00751A4A" w:rsidRPr="00736B0D" w:rsidRDefault="00187494" w:rsidP="0010095E">
            <w:pPr>
              <w:pStyle w:val="EPLogo"/>
            </w:pPr>
            <w:r w:rsidRPr="00736B0D">
              <w:rPr>
                <w:noProof/>
                <w:lang w:eastAsia="ja-JP"/>
              </w:rPr>
              <w:drawing>
                <wp:inline distT="0" distB="0" distL="0" distR="0" wp14:anchorId="6024F500" wp14:editId="04D7F7D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023E1F" w14:textId="77777777" w:rsidR="00D058B8" w:rsidRPr="00736B0D" w:rsidRDefault="00D058B8" w:rsidP="004C5D52">
      <w:pPr>
        <w:pStyle w:val="LineTop"/>
      </w:pPr>
    </w:p>
    <w:p w14:paraId="7C15E9E6" w14:textId="77777777" w:rsidR="00680577" w:rsidRPr="00736B0D" w:rsidRDefault="00C05613" w:rsidP="00680577">
      <w:pPr>
        <w:pStyle w:val="EPBodyTA1"/>
      </w:pPr>
      <w:r w:rsidRPr="00736B0D">
        <w:t>USVOJENI TEKSTOVI</w:t>
      </w:r>
    </w:p>
    <w:p w14:paraId="6FBB170F" w14:textId="77777777" w:rsidR="00D058B8" w:rsidRPr="00736B0D" w:rsidRDefault="00D058B8" w:rsidP="00D058B8">
      <w:pPr>
        <w:pStyle w:val="LineBottom"/>
      </w:pPr>
    </w:p>
    <w:p w14:paraId="77709A0D" w14:textId="750BEB84" w:rsidR="00C05613" w:rsidRPr="00736B0D" w:rsidRDefault="00C05613" w:rsidP="00C05613">
      <w:pPr>
        <w:pStyle w:val="ATHeading1"/>
      </w:pPr>
      <w:bookmarkStart w:id="0" w:name="TANumber"/>
      <w:r w:rsidRPr="00736B0D">
        <w:t>P10_TA(2025)0</w:t>
      </w:r>
      <w:r w:rsidR="00D32DD0">
        <w:t>166</w:t>
      </w:r>
      <w:bookmarkEnd w:id="0"/>
    </w:p>
    <w:p w14:paraId="35D2CB73" w14:textId="77777777" w:rsidR="00C05613" w:rsidRPr="00736B0D" w:rsidRDefault="00C05613" w:rsidP="00C05613">
      <w:pPr>
        <w:pStyle w:val="ATHeading2"/>
      </w:pPr>
      <w:bookmarkStart w:id="1" w:name="title"/>
      <w:r w:rsidRPr="00736B0D">
        <w:t>Odgovor na kineska ograničenja izvoza kritičnih sirovina</w:t>
      </w:r>
      <w:bookmarkEnd w:id="1"/>
    </w:p>
    <w:p w14:paraId="72D3D5D0" w14:textId="027C87ED" w:rsidR="00C05613" w:rsidRPr="00736B0D" w:rsidRDefault="00C05613" w:rsidP="00C05613">
      <w:pPr>
        <w:rPr>
          <w:i/>
          <w:vanish/>
        </w:rPr>
      </w:pPr>
      <w:r w:rsidRPr="00736B0D">
        <w:rPr>
          <w:i/>
        </w:rPr>
        <w:fldChar w:fldCharType="begin"/>
      </w:r>
      <w:r w:rsidRPr="00736B0D">
        <w:rPr>
          <w:i/>
        </w:rPr>
        <w:instrText xml:space="preserve"> TC"(</w:instrText>
      </w:r>
      <w:bookmarkStart w:id="2" w:name="DocNumber"/>
      <w:r w:rsidRPr="00736B0D">
        <w:rPr>
          <w:i/>
        </w:rPr>
        <w:instrText>B10-0324</w:instrText>
      </w:r>
      <w:r w:rsidR="00F314F8">
        <w:rPr>
          <w:i/>
        </w:rPr>
        <w:instrText>, 0329, 0330, 0331 i 0332</w:instrText>
      </w:r>
      <w:r w:rsidRPr="00736B0D">
        <w:rPr>
          <w:i/>
        </w:rPr>
        <w:instrText>/2025</w:instrText>
      </w:r>
      <w:bookmarkEnd w:id="2"/>
      <w:r w:rsidRPr="00736B0D">
        <w:rPr>
          <w:i/>
        </w:rPr>
        <w:instrText xml:space="preserve">)"\l3 \n&gt; \* MERGEFORMAT </w:instrText>
      </w:r>
      <w:r w:rsidRPr="00736B0D">
        <w:rPr>
          <w:i/>
        </w:rPr>
        <w:fldChar w:fldCharType="end"/>
      </w:r>
    </w:p>
    <w:p w14:paraId="43BE8100" w14:textId="77777777" w:rsidR="00C05613" w:rsidRPr="00736B0D" w:rsidRDefault="00C05613" w:rsidP="00C05613">
      <w:pPr>
        <w:rPr>
          <w:vanish/>
        </w:rPr>
      </w:pPr>
      <w:bookmarkStart w:id="3" w:name="PE"/>
      <w:r w:rsidRPr="00736B0D">
        <w:rPr>
          <w:vanish/>
        </w:rPr>
        <w:t>PE774.020</w:t>
      </w:r>
      <w:bookmarkEnd w:id="3"/>
    </w:p>
    <w:p w14:paraId="7E67C153" w14:textId="5E92EDF5" w:rsidR="00C05613" w:rsidRPr="00736B0D" w:rsidRDefault="00C05613" w:rsidP="00C05613">
      <w:pPr>
        <w:pStyle w:val="ATHeading3"/>
      </w:pPr>
      <w:bookmarkStart w:id="4" w:name="Sujet"/>
      <w:r w:rsidRPr="00736B0D">
        <w:t xml:space="preserve">Rezolucija Europskog parlamenta od </w:t>
      </w:r>
      <w:r w:rsidR="00981286" w:rsidRPr="00736B0D">
        <w:t>10</w:t>
      </w:r>
      <w:r w:rsidRPr="00736B0D">
        <w:t xml:space="preserve">. </w:t>
      </w:r>
      <w:r w:rsidR="00981286" w:rsidRPr="00736B0D">
        <w:t xml:space="preserve">srpnja </w:t>
      </w:r>
      <w:r w:rsidRPr="00736B0D">
        <w:t>2025. o odgovoru na kineska ograničenja izvoza kritičnih sirovina</w:t>
      </w:r>
      <w:bookmarkEnd w:id="4"/>
      <w:r w:rsidRPr="00736B0D">
        <w:t xml:space="preserve"> </w:t>
      </w:r>
      <w:bookmarkStart w:id="5" w:name="References"/>
      <w:r w:rsidRPr="00736B0D">
        <w:t>(2025/2800(RSP))</w:t>
      </w:r>
      <w:bookmarkEnd w:id="5"/>
    </w:p>
    <w:p w14:paraId="34053370" w14:textId="77777777" w:rsidR="000249D5" w:rsidRPr="00736B0D" w:rsidRDefault="000249D5" w:rsidP="000249D5">
      <w:pPr>
        <w:pStyle w:val="EPComma"/>
      </w:pPr>
      <w:bookmarkStart w:id="6" w:name="TextBodyBegin"/>
      <w:bookmarkEnd w:id="6"/>
      <w:r w:rsidRPr="00736B0D">
        <w:rPr>
          <w:i/>
        </w:rPr>
        <w:t>Europski parlament,</w:t>
      </w:r>
    </w:p>
    <w:p w14:paraId="46930EC7" w14:textId="77777777" w:rsidR="000249D5" w:rsidRPr="00736B0D" w:rsidRDefault="000249D5" w:rsidP="000249D5">
      <w:pPr>
        <w:pStyle w:val="NormalHanging12a"/>
      </w:pPr>
      <w:r w:rsidRPr="00736B0D">
        <w:t>–</w:t>
      </w:r>
      <w:r w:rsidRPr="00736B0D">
        <w:tab/>
        <w:t>uzimajući u obzir svoje prethodne rezolucije o Kini,</w:t>
      </w:r>
    </w:p>
    <w:p w14:paraId="12AABFE3" w14:textId="77777777" w:rsidR="000249D5" w:rsidRPr="00736B0D" w:rsidRDefault="000249D5" w:rsidP="000249D5">
      <w:pPr>
        <w:pStyle w:val="NormalHanging12a"/>
      </w:pPr>
      <w:r w:rsidRPr="00736B0D">
        <w:t>–</w:t>
      </w:r>
      <w:r w:rsidRPr="00736B0D">
        <w:tab/>
        <w:t>uzimajući u obzir nadolazeći sastanak na vrhu između EU-a i Kine koji je planiran za 24. i 25. srpnja 2025.,</w:t>
      </w:r>
    </w:p>
    <w:p w14:paraId="3B9027E7" w14:textId="77777777" w:rsidR="000249D5" w:rsidRPr="00736B0D" w:rsidRDefault="000249D5" w:rsidP="000249D5">
      <w:pPr>
        <w:pStyle w:val="NormalHanging12a"/>
      </w:pPr>
      <w:r w:rsidRPr="00736B0D">
        <w:t>–</w:t>
      </w:r>
      <w:r w:rsidRPr="00736B0D">
        <w:tab/>
        <w:t>uzimajući u obzir Uredbu (EU) 2024/1252 Europskog Parlamenta i Vijeća od 11. travnja 2024. o uspostavi okvira za osiguravanje sigurne i održive opskrbe kritičnim sirovinama i o izmjeni uredbi (EU) br. 168/2013, (EU) 2018/858, (EU) 2018/1724 i (EU) 2019/1020</w:t>
      </w:r>
      <w:r w:rsidRPr="00736B0D">
        <w:rPr>
          <w:rStyle w:val="FootnoteReference"/>
        </w:rPr>
        <w:footnoteReference w:id="1"/>
      </w:r>
      <w:r w:rsidRPr="00736B0D">
        <w:t>, također poznatu kao Akt o kritičnim sirovinama,</w:t>
      </w:r>
    </w:p>
    <w:p w14:paraId="2457AADA" w14:textId="77777777" w:rsidR="000249D5" w:rsidRPr="00736B0D" w:rsidRDefault="000249D5" w:rsidP="000249D5">
      <w:pPr>
        <w:pStyle w:val="NormalHanging12a"/>
      </w:pPr>
      <w:r w:rsidRPr="00736B0D">
        <w:t>–</w:t>
      </w:r>
      <w:r w:rsidRPr="00736B0D">
        <w:tab/>
        <w:t>uzimajući u obzir Uredbu (EU) 2024/1735 Europskog parlamenta i Vijeća od 13. lipnja 2024. o uspostavi okvira mjera za jačanje europskog ekosustava za proizvodnju tehnologija s nultom neto stopom emisija i izmjeni Uredbe (EU) 2018/1724</w:t>
      </w:r>
      <w:r w:rsidRPr="00736B0D">
        <w:rPr>
          <w:rStyle w:val="FootnoteReference"/>
        </w:rPr>
        <w:footnoteReference w:id="2"/>
      </w:r>
      <w:r w:rsidRPr="00736B0D">
        <w:t xml:space="preserve"> (Akt o industriji s nultom neto stopom emisija),</w:t>
      </w:r>
    </w:p>
    <w:p w14:paraId="5242302E" w14:textId="77777777" w:rsidR="000249D5" w:rsidRPr="00736B0D" w:rsidRDefault="000249D5" w:rsidP="000249D5">
      <w:pPr>
        <w:pStyle w:val="NormalHanging12a"/>
      </w:pPr>
      <w:r w:rsidRPr="00736B0D">
        <w:t>–</w:t>
      </w:r>
      <w:r w:rsidRPr="00736B0D">
        <w:tab/>
        <w:t>uzimajući u obzir izjavu čelnika skupine G7 o Akcijskom planu skupine G7 za kritične minerale,</w:t>
      </w:r>
    </w:p>
    <w:p w14:paraId="503F3D63" w14:textId="77777777" w:rsidR="000249D5" w:rsidRPr="00736B0D" w:rsidRDefault="000249D5" w:rsidP="000249D5">
      <w:pPr>
        <w:pStyle w:val="NormalHanging12a"/>
      </w:pPr>
      <w:r w:rsidRPr="00736B0D">
        <w:t>–</w:t>
      </w:r>
      <w:r w:rsidRPr="00736B0D">
        <w:tab/>
        <w:t xml:space="preserve">uzimajući u obzir komunikaciju Komisije od 26. veljače 2025. naslovljenu „Plan za čistu industriju: zajednički plan za </w:t>
      </w:r>
      <w:proofErr w:type="spellStart"/>
      <w:r w:rsidRPr="00736B0D">
        <w:t>dekarbonizaciju</w:t>
      </w:r>
      <w:proofErr w:type="spellEnd"/>
      <w:r w:rsidRPr="00736B0D">
        <w:t xml:space="preserve"> i konkurentnost” (COM(2025)0085),</w:t>
      </w:r>
    </w:p>
    <w:p w14:paraId="2522CF4A" w14:textId="77777777" w:rsidR="000249D5" w:rsidRPr="00736B0D" w:rsidRDefault="000249D5" w:rsidP="000249D5">
      <w:pPr>
        <w:pStyle w:val="NormalHanging12a"/>
      </w:pPr>
      <w:r w:rsidRPr="00736B0D">
        <w:t>–</w:t>
      </w:r>
      <w:r w:rsidRPr="00736B0D">
        <w:tab/>
        <w:t>uzimajući u obzir partnerstva za čistu trgovinu i ulaganja o kojima EU pregovara te partnerstva EU-a za kritične sirovine,</w:t>
      </w:r>
    </w:p>
    <w:p w14:paraId="437718EF" w14:textId="77777777" w:rsidR="000249D5" w:rsidRPr="00736B0D" w:rsidRDefault="000249D5" w:rsidP="000249D5">
      <w:pPr>
        <w:pStyle w:val="NormalHanging12a"/>
      </w:pPr>
      <w:r w:rsidRPr="00736B0D">
        <w:t>–</w:t>
      </w:r>
      <w:r w:rsidRPr="00736B0D">
        <w:tab/>
        <w:t xml:space="preserve">uzimajući u obzir zajedničku komunikaciju Komisije i visoke predstavnice Unije za vanjske poslove i sigurnosnu politiku od 20. lipnja 2023. naslovljenu „Europska strategija gospodarske sigurnosti” (JOIN(2023)0020) i govore o smanjenju rizika koje je predsjednica Komisije Ursula von </w:t>
      </w:r>
      <w:proofErr w:type="spellStart"/>
      <w:r w:rsidRPr="00736B0D">
        <w:t>der</w:t>
      </w:r>
      <w:proofErr w:type="spellEnd"/>
      <w:r w:rsidRPr="00736B0D">
        <w:t xml:space="preserve"> </w:t>
      </w:r>
      <w:proofErr w:type="spellStart"/>
      <w:r w:rsidRPr="00736B0D">
        <w:t>Leyen</w:t>
      </w:r>
      <w:proofErr w:type="spellEnd"/>
      <w:r w:rsidRPr="00736B0D">
        <w:t xml:space="preserve"> održala u Europskom centru za politike </w:t>
      </w:r>
      <w:r w:rsidRPr="00736B0D">
        <w:lastRenderedPageBreak/>
        <w:t>30. ožujka 2023. i u Europskom parlamentu 18. travnja 2023.,</w:t>
      </w:r>
    </w:p>
    <w:p w14:paraId="4B045480" w14:textId="77777777" w:rsidR="000249D5" w:rsidRPr="00736B0D" w:rsidRDefault="000249D5" w:rsidP="000249D5">
      <w:pPr>
        <w:pStyle w:val="NormalHanging12a"/>
      </w:pPr>
      <w:r w:rsidRPr="00736B0D">
        <w:t>–</w:t>
      </w:r>
      <w:r w:rsidRPr="00736B0D">
        <w:tab/>
        <w:t xml:space="preserve">uzimajući u obzir 13. strateški dijalog EU-a i Kine između potpredsjednice Komisije / visoke predstavnice Unije za vanjske poslove i sigurnosnu politiku Kaje </w:t>
      </w:r>
      <w:proofErr w:type="spellStart"/>
      <w:r w:rsidRPr="00736B0D">
        <w:t>Kallas</w:t>
      </w:r>
      <w:proofErr w:type="spellEnd"/>
      <w:r w:rsidRPr="00736B0D">
        <w:t xml:space="preserve"> i kineskog ministra vanjskih poslova </w:t>
      </w:r>
      <w:proofErr w:type="spellStart"/>
      <w:r w:rsidRPr="00736B0D">
        <w:t>Wanga</w:t>
      </w:r>
      <w:proofErr w:type="spellEnd"/>
      <w:r w:rsidRPr="00736B0D">
        <w:t xml:space="preserve"> </w:t>
      </w:r>
      <w:proofErr w:type="spellStart"/>
      <w:r w:rsidRPr="00736B0D">
        <w:t>Yija</w:t>
      </w:r>
      <w:proofErr w:type="spellEnd"/>
      <w:r w:rsidRPr="00736B0D">
        <w:t>, održan u Bruxellesu 2. srpnja 2025.,</w:t>
      </w:r>
    </w:p>
    <w:p w14:paraId="002A9DE0" w14:textId="77777777" w:rsidR="000249D5" w:rsidRPr="00736B0D" w:rsidRDefault="000249D5" w:rsidP="000249D5">
      <w:pPr>
        <w:pStyle w:val="NormalHanging12a"/>
      </w:pPr>
      <w:r w:rsidRPr="00736B0D">
        <w:t>–</w:t>
      </w:r>
      <w:r w:rsidRPr="00736B0D">
        <w:tab/>
        <w:t xml:space="preserve">uzimajući u obzir izjave predsjednice Komisije Ursule von </w:t>
      </w:r>
      <w:proofErr w:type="spellStart"/>
      <w:r w:rsidRPr="00736B0D">
        <w:t>der</w:t>
      </w:r>
      <w:proofErr w:type="spellEnd"/>
      <w:r w:rsidRPr="00736B0D">
        <w:t xml:space="preserve"> </w:t>
      </w:r>
      <w:proofErr w:type="spellStart"/>
      <w:r w:rsidRPr="00736B0D">
        <w:t>Leyen</w:t>
      </w:r>
      <w:proofErr w:type="spellEnd"/>
      <w:r w:rsidRPr="00736B0D">
        <w:t xml:space="preserve"> sa sastanka na vrhu skupine G7 koji je održan u </w:t>
      </w:r>
      <w:proofErr w:type="spellStart"/>
      <w:r w:rsidRPr="00736B0D">
        <w:t>Kananaskisu</w:t>
      </w:r>
      <w:proofErr w:type="spellEnd"/>
      <w:r w:rsidRPr="00736B0D">
        <w:t xml:space="preserve"> (Kanada) 16. i 17. lipnja 2025.,</w:t>
      </w:r>
    </w:p>
    <w:p w14:paraId="7DF75903" w14:textId="77777777" w:rsidR="000249D5" w:rsidRPr="00736B0D" w:rsidRDefault="000249D5" w:rsidP="000249D5">
      <w:pPr>
        <w:pStyle w:val="NormalHanging12a"/>
      </w:pPr>
      <w:r w:rsidRPr="00736B0D">
        <w:t>–</w:t>
      </w:r>
      <w:r w:rsidRPr="00736B0D">
        <w:tab/>
        <w:t>uzimajući u obzir pravila Svjetske trgovinske organizacije (WTO), a posebno načela nediskriminacije i transparentnosti u pogledu ograničenja izvoza,</w:t>
      </w:r>
    </w:p>
    <w:p w14:paraId="151EC29A" w14:textId="77777777" w:rsidR="000249D5" w:rsidRPr="00736B0D" w:rsidRDefault="000249D5" w:rsidP="000249D5">
      <w:pPr>
        <w:pStyle w:val="NormalHanging12a"/>
      </w:pPr>
      <w:r w:rsidRPr="00736B0D">
        <w:t>–</w:t>
      </w:r>
      <w:r w:rsidRPr="00736B0D">
        <w:tab/>
        <w:t>uzimajući u obzir mišljenje WTO-a u okviru rješavanja sporova DS431, DS432 i DS433 o kineskim ograničenjima izvoza elemenata rijetkih zemalja,</w:t>
      </w:r>
    </w:p>
    <w:p w14:paraId="581C4F35" w14:textId="77777777" w:rsidR="000249D5" w:rsidRPr="00736B0D" w:rsidRDefault="000249D5" w:rsidP="000249D5">
      <w:pPr>
        <w:pStyle w:val="NormalHanging12a"/>
      </w:pPr>
      <w:r w:rsidRPr="00736B0D">
        <w:t>–</w:t>
      </w:r>
      <w:r w:rsidRPr="00736B0D">
        <w:tab/>
        <w:t>uzimajući u obzir vodeća načela UN-a o poslovanju i ljudskim pravima,</w:t>
      </w:r>
    </w:p>
    <w:p w14:paraId="5117861C" w14:textId="77777777" w:rsidR="000249D5" w:rsidRPr="00736B0D" w:rsidRDefault="000249D5" w:rsidP="000249D5">
      <w:pPr>
        <w:pStyle w:val="NormalHanging12a"/>
      </w:pPr>
      <w:r w:rsidRPr="00736B0D">
        <w:t>–</w:t>
      </w:r>
      <w:r w:rsidRPr="00736B0D">
        <w:tab/>
        <w:t>uzimajući u obzir članak 136. stavke 2. i 4. Poslovnika,</w:t>
      </w:r>
    </w:p>
    <w:p w14:paraId="0E80C28E" w14:textId="77777777" w:rsidR="000249D5" w:rsidRPr="00736B0D" w:rsidRDefault="000249D5" w:rsidP="000249D5">
      <w:pPr>
        <w:pStyle w:val="NormalHanging12a"/>
      </w:pPr>
      <w:r w:rsidRPr="00736B0D">
        <w:t>A.</w:t>
      </w:r>
      <w:r w:rsidRPr="00736B0D">
        <w:tab/>
        <w:t xml:space="preserve">budući da je Kina 4. travnja 2025. počela primjenjivati ograničenja izvoza na sedam od 17 elemenata rijetkih zemalja i na trajne magnete sačinjene od njih, čime je uvela sustav neautomatskih dozvola, te je kao opravdanje navela pitanja dvojne namjene i sigurnosti; budući da popis proizvoda obuhvaćenih ograničenjima uključuje srednje i teške elemente rijetkih zemalja (samarij, </w:t>
      </w:r>
      <w:proofErr w:type="spellStart"/>
      <w:r w:rsidRPr="00736B0D">
        <w:t>gadolinij</w:t>
      </w:r>
      <w:proofErr w:type="spellEnd"/>
      <w:r w:rsidRPr="00736B0D">
        <w:t xml:space="preserve">, </w:t>
      </w:r>
      <w:proofErr w:type="spellStart"/>
      <w:r w:rsidRPr="00736B0D">
        <w:t>terbij</w:t>
      </w:r>
      <w:proofErr w:type="spellEnd"/>
      <w:r w:rsidRPr="00736B0D">
        <w:t xml:space="preserve">, </w:t>
      </w:r>
      <w:proofErr w:type="spellStart"/>
      <w:r w:rsidRPr="00736B0D">
        <w:t>disprozij</w:t>
      </w:r>
      <w:proofErr w:type="spellEnd"/>
      <w:r w:rsidRPr="00736B0D">
        <w:t xml:space="preserve">, </w:t>
      </w:r>
      <w:proofErr w:type="spellStart"/>
      <w:r w:rsidRPr="00736B0D">
        <w:t>lutecij</w:t>
      </w:r>
      <w:proofErr w:type="spellEnd"/>
      <w:r w:rsidRPr="00736B0D">
        <w:t xml:space="preserve">, </w:t>
      </w:r>
      <w:proofErr w:type="spellStart"/>
      <w:r w:rsidRPr="00736B0D">
        <w:t>skandij</w:t>
      </w:r>
      <w:proofErr w:type="spellEnd"/>
      <w:r w:rsidRPr="00736B0D">
        <w:t xml:space="preserve"> i </w:t>
      </w:r>
      <w:proofErr w:type="spellStart"/>
      <w:r w:rsidRPr="00736B0D">
        <w:t>itrij</w:t>
      </w:r>
      <w:proofErr w:type="spellEnd"/>
      <w:r w:rsidRPr="00736B0D">
        <w:t>);</w:t>
      </w:r>
    </w:p>
    <w:p w14:paraId="7CB48804" w14:textId="77777777" w:rsidR="000249D5" w:rsidRPr="00736B0D" w:rsidRDefault="000249D5" w:rsidP="000249D5">
      <w:pPr>
        <w:pStyle w:val="NormalHanging12a"/>
      </w:pPr>
      <w:r w:rsidRPr="00736B0D">
        <w:t>B.</w:t>
      </w:r>
      <w:r w:rsidRPr="00736B0D">
        <w:tab/>
        <w:t>budući da su kritične sirovine ključni inputi za širok raspon industrijskih proizvoda i procesa, među ostalim u ključnim sektorima kao što su čiste tehnologije, digitalne tehnologije, zdravstvo i obrana; budući da je sigurna i održiva opskrba kritičnim sirovinama ključna za postizanje ciljeva Unije u području klime, digitalizacije, tržišnog natjecanja i obrane;</w:t>
      </w:r>
    </w:p>
    <w:p w14:paraId="34D2F7C4" w14:textId="77777777" w:rsidR="000249D5" w:rsidRPr="00736B0D" w:rsidRDefault="000249D5" w:rsidP="000249D5">
      <w:pPr>
        <w:pStyle w:val="NormalHanging12a"/>
      </w:pPr>
      <w:r w:rsidRPr="00736B0D">
        <w:t>C.</w:t>
      </w:r>
      <w:r w:rsidRPr="00736B0D">
        <w:tab/>
        <w:t>budući da se obujam izvoza navodno smanjio za čak 80 %, što snažno utječe na širok raspon sektora, kao što su industrijska i potrošačka elektronika, zelena energija i obnovljivi izvori energije, automobilska industrija, zrakoplovno-svemirski sektor i zdravstvo;</w:t>
      </w:r>
    </w:p>
    <w:p w14:paraId="1C77ECDA" w14:textId="77777777" w:rsidR="000249D5" w:rsidRPr="00736B0D" w:rsidRDefault="000249D5" w:rsidP="000249D5">
      <w:pPr>
        <w:pStyle w:val="NormalHanging12a"/>
      </w:pPr>
      <w:r w:rsidRPr="00736B0D">
        <w:t>D.</w:t>
      </w:r>
      <w:r w:rsidRPr="00736B0D">
        <w:tab/>
        <w:t xml:space="preserve">budući da ovisnost EU-a o Kini u pogledu kritičnih sirovina i dalje raste ili je u najboljem slučaju i dalje jednako visoka; budući da je globalni lanac opskrbe elementima rijetkih zemalja u velikoj mjeri koncentriran u Kini, koja kontrolira oko 75 % rudarske proizvodnje i 85 % kapaciteta prerade, što u slučaju nekih </w:t>
      </w:r>
      <w:proofErr w:type="spellStart"/>
      <w:r w:rsidRPr="00736B0D">
        <w:t>elementata</w:t>
      </w:r>
      <w:proofErr w:type="spellEnd"/>
      <w:r w:rsidRPr="00736B0D">
        <w:t xml:space="preserve"> rijetkih zemalja kao što su </w:t>
      </w:r>
      <w:proofErr w:type="spellStart"/>
      <w:r w:rsidRPr="00736B0D">
        <w:t>terbij</w:t>
      </w:r>
      <w:proofErr w:type="spellEnd"/>
      <w:r w:rsidRPr="00736B0D">
        <w:t xml:space="preserve">, </w:t>
      </w:r>
      <w:proofErr w:type="spellStart"/>
      <w:r w:rsidRPr="00736B0D">
        <w:t>itrij</w:t>
      </w:r>
      <w:proofErr w:type="spellEnd"/>
      <w:r w:rsidRPr="00736B0D">
        <w:t xml:space="preserve"> i </w:t>
      </w:r>
      <w:proofErr w:type="spellStart"/>
      <w:r w:rsidRPr="00736B0D">
        <w:t>disprozij</w:t>
      </w:r>
      <w:proofErr w:type="spellEnd"/>
      <w:r w:rsidRPr="00736B0D">
        <w:t xml:space="preserve"> iznosi više od 95 % ; budući da se EU i dalje previše oslanja na treće zemlje kad je riječ o opskrbi kritičnim sirovinama te gotovo u potpunosti ovisi o Kini kad je riječ o opskrbi teškim elementima rijetkih zemalja; budući da EU uvozom iz Kine pokriva 98 % svoje potražnje za trajnim magnetima i 92 % svoje potražnje za </w:t>
      </w:r>
      <w:proofErr w:type="spellStart"/>
      <w:r w:rsidRPr="00736B0D">
        <w:t>neodimijskim</w:t>
      </w:r>
      <w:proofErr w:type="spellEnd"/>
      <w:r w:rsidRPr="00736B0D">
        <w:t xml:space="preserve"> magnetima;</w:t>
      </w:r>
    </w:p>
    <w:p w14:paraId="3FC62815" w14:textId="77777777" w:rsidR="000249D5" w:rsidRPr="00736B0D" w:rsidRDefault="000249D5" w:rsidP="000249D5">
      <w:pPr>
        <w:pStyle w:val="NormalHanging12a"/>
        <w:rPr>
          <w:rFonts w:eastAsia="Calibri"/>
        </w:rPr>
      </w:pPr>
      <w:r w:rsidRPr="00736B0D">
        <w:t>E.</w:t>
      </w:r>
      <w:r w:rsidRPr="00736B0D">
        <w:tab/>
        <w:t xml:space="preserve">budući da je Kina znatno proširila svoju dominaciju u globalnom rudarenju, preradi i rafiniranju kritičnih sirovina i </w:t>
      </w:r>
      <w:proofErr w:type="spellStart"/>
      <w:r w:rsidRPr="00736B0D">
        <w:t>međuproizvoda</w:t>
      </w:r>
      <w:proofErr w:type="spellEnd"/>
      <w:r w:rsidRPr="00736B0D">
        <w:t xml:space="preserve">, stvarajući tako strateške ovisnosti duž ključnih lanaca vrijednosti koje se ponekad namjerno iskorištavaju putem restriktivnih trgovinskih mjera; budući da je Kina 2010. prvi put ograničila izvoz kritičnih sirovina zbog teritorijalnog spora s Japanom te da je Žalbeno tijelo WTO-a to ograničenje </w:t>
      </w:r>
      <w:r w:rsidRPr="00736B0D">
        <w:lastRenderedPageBreak/>
        <w:t xml:space="preserve">proglasilo nespojivim s pravilima WTO-a; budući da Kina provodi opsežna ograničenja izvoza mineralnih sirovina koje EU klasificira kao strateške i/ili kritične, uključujući galij i </w:t>
      </w:r>
      <w:proofErr w:type="spellStart"/>
      <w:r w:rsidRPr="00736B0D">
        <w:t>germanij</w:t>
      </w:r>
      <w:proofErr w:type="spellEnd"/>
      <w:r w:rsidRPr="00736B0D">
        <w:t xml:space="preserve"> od 1. kolovoza 2023., grafit od prosinca 2023., proizvode od antimona od 15. rujna 2024., volfram i bizmut od 4. veljače 2025. te </w:t>
      </w:r>
      <w:proofErr w:type="spellStart"/>
      <w:r w:rsidRPr="00736B0D">
        <w:t>skandij</w:t>
      </w:r>
      <w:proofErr w:type="spellEnd"/>
      <w:r w:rsidRPr="00736B0D">
        <w:t xml:space="preserve"> od 17. travnja 2025.;</w:t>
      </w:r>
    </w:p>
    <w:p w14:paraId="2FFC9302" w14:textId="77777777" w:rsidR="000249D5" w:rsidRPr="00736B0D" w:rsidRDefault="000249D5" w:rsidP="000249D5">
      <w:pPr>
        <w:pStyle w:val="NormalHanging12a"/>
      </w:pPr>
      <w:r w:rsidRPr="00736B0D">
        <w:t>F.</w:t>
      </w:r>
      <w:r w:rsidRPr="00736B0D">
        <w:tab/>
        <w:t>budući da je provedba tih izvoznih ograničenja već počela uzrokovati ozbiljne poremećaje u industriji u EU-u, uključujući automobilsku industriju, pri čemu je u svibnju 2025. privremeno zatvoreno čak 17 proizvodnih linija; budući da bi se brojni sektori mogli suočiti s poremećajima, kao što su zdravstvena skrb, svemir i obrana, uključujući borbene zrakoplove, fregate, bespilotne letjelice i precizno navođene oružane sustave, te vjetroturbine i baterije, kao i u širem smislu zelena i digitalna tranzicija;</w:t>
      </w:r>
    </w:p>
    <w:p w14:paraId="07A0845A" w14:textId="77777777" w:rsidR="000249D5" w:rsidRPr="00736B0D" w:rsidRDefault="000249D5" w:rsidP="000249D5">
      <w:pPr>
        <w:pStyle w:val="NormalHanging12a"/>
        <w:rPr>
          <w:rFonts w:eastAsia="Calibri"/>
        </w:rPr>
      </w:pPr>
      <w:r w:rsidRPr="00736B0D">
        <w:t>G.</w:t>
      </w:r>
      <w:r w:rsidRPr="00736B0D">
        <w:tab/>
        <w:t xml:space="preserve">budući da se u kineskom postupku izdavanja dozvola od podnositelja zahtjeva zahtijeva da otkriju osjetljive informacije, čime se krši načelo poslovne tajne; budući da se ažuriranim okvirom Kine za kontrolu izvoza iz prosinca 2024. kineskom Ministarstvu trgovine, Državnom vijeću i Središnjoj vojnoj komisiji daju veće diskrecijske ovlasti da robu koja nije službeno navedena kao roba s dvojnom namjenom podvrgnu kontroli izvoza; budući da ti novi propisi uključuju mjere s </w:t>
      </w:r>
      <w:proofErr w:type="spellStart"/>
      <w:r w:rsidRPr="00736B0D">
        <w:t>izvanteritorijalnim</w:t>
      </w:r>
      <w:proofErr w:type="spellEnd"/>
      <w:r w:rsidRPr="00736B0D">
        <w:t xml:space="preserve"> primjenama;</w:t>
      </w:r>
    </w:p>
    <w:p w14:paraId="34023541" w14:textId="77777777" w:rsidR="000249D5" w:rsidRPr="00736B0D" w:rsidRDefault="000249D5" w:rsidP="000249D5">
      <w:pPr>
        <w:pStyle w:val="NormalHanging12a"/>
        <w:rPr>
          <w:rFonts w:eastAsia="Calibri"/>
        </w:rPr>
      </w:pPr>
      <w:r w:rsidRPr="00736B0D">
        <w:t>H.</w:t>
      </w:r>
      <w:r w:rsidRPr="00736B0D">
        <w:tab/>
        <w:t>budući da EU primjenjuje kontrole izvoza na određene vrste kritičnih i naprednih materijala, ali su te kontrole jasno usmjerene na vrste materijala, s preciznim tehničkim parametrima koji se odnose na njihovu upotrebu u određenim vojnim primjenama, ne utječu na trgovinu komercijalno neosjetljivim proizvodima i čine samo mali udio ukupnog izvoza predmetnih materijala;</w:t>
      </w:r>
    </w:p>
    <w:p w14:paraId="53C1E02B" w14:textId="77777777" w:rsidR="000249D5" w:rsidRPr="00736B0D" w:rsidRDefault="000249D5" w:rsidP="000249D5">
      <w:pPr>
        <w:pStyle w:val="NormalHanging12a"/>
        <w:rPr>
          <w:rFonts w:eastAsia="Calibri"/>
        </w:rPr>
      </w:pPr>
      <w:r w:rsidRPr="00736B0D">
        <w:t>I.</w:t>
      </w:r>
      <w:r w:rsidRPr="00736B0D">
        <w:tab/>
        <w:t xml:space="preserve">budući da Kina namjerno provodi strategiju snižavanja cijena na svjetskom tržištu uz istodobno zadržavanje zatvorenog domaćeg tržišta, općenito u korist poduzeća u državnom vlasništvu, te to povezuje s golemim programima subvencija, što je dovelo do znatnih poremećaja u globalnom tržišnom natjecanju i ugrozilo nedavne napore EU-a i država članica da održe na životu preostale rudarske sektore EU-a; </w:t>
      </w:r>
    </w:p>
    <w:p w14:paraId="4FC1BE7E" w14:textId="77777777" w:rsidR="000249D5" w:rsidRPr="00736B0D" w:rsidRDefault="000249D5" w:rsidP="000249D5">
      <w:pPr>
        <w:pStyle w:val="NormalHanging12a"/>
      </w:pPr>
      <w:r w:rsidRPr="00736B0D">
        <w:t>J.</w:t>
      </w:r>
      <w:r w:rsidRPr="00736B0D">
        <w:tab/>
        <w:t>budući da je EU u travnju 2024. donio Akt o kritičnim sirovinama kao početnu točku za poboljšanje otpornosti i autonomije opskrbe EU-a kritičnim i strateškim sirovinama; budući da se u Aktu o kritičnim sirovinama razmatra i strana ponude i strana potražnje, među ostalim kroz ciljeve proizvodnje, učinkovitost resursa usmjerenih na smanjenje potrošnje i kroz zamjenu strateških sirovina; budući da je kružnost u središtu Uredbe o kritičnim sirovinama, kojoj je namjera pokriti 25 % potreba Unije za strateškim sirovinama uz pomoć recikliranja do 2030. te čiji je cilj reciklirati znatno veće količine svake strateške sirovine iz otpada, uključujući za trajne magnete;</w:t>
      </w:r>
    </w:p>
    <w:p w14:paraId="56B5BEB0" w14:textId="77777777" w:rsidR="000249D5" w:rsidRPr="00736B0D" w:rsidRDefault="000249D5" w:rsidP="000249D5">
      <w:pPr>
        <w:pStyle w:val="NormalHanging12a"/>
        <w:rPr>
          <w:bCs/>
        </w:rPr>
      </w:pPr>
      <w:r w:rsidRPr="00736B0D">
        <w:t>K.</w:t>
      </w:r>
      <w:r w:rsidRPr="00736B0D">
        <w:tab/>
        <w:t>budući da je predstojeći sastanak na vrhu EU-a i Kine prilika za sudjelovanje u dijalogu, uz nastavak snažnog protivljenja prisili;</w:t>
      </w:r>
    </w:p>
    <w:p w14:paraId="15615AC1" w14:textId="77777777" w:rsidR="000249D5" w:rsidRPr="00736B0D" w:rsidRDefault="000249D5" w:rsidP="000249D5">
      <w:pPr>
        <w:pStyle w:val="NormalHanging12a"/>
      </w:pPr>
      <w:r w:rsidRPr="00736B0D">
        <w:t>L.</w:t>
      </w:r>
      <w:r w:rsidRPr="00736B0D">
        <w:tab/>
        <w:t>budući da Kina i dalje primjenjuje sankcije protiv bivšeg zastupnika u Europskom parlamentu te protiv zastupnika u parlamentima država članica i članova europskih skupina za strateško promišljanje;</w:t>
      </w:r>
    </w:p>
    <w:p w14:paraId="52E35868" w14:textId="77777777" w:rsidR="000249D5" w:rsidRPr="00736B0D" w:rsidRDefault="000249D5" w:rsidP="000249D5">
      <w:pPr>
        <w:pStyle w:val="NormalHanging12a"/>
      </w:pPr>
      <w:r w:rsidRPr="00736B0D">
        <w:t>1.</w:t>
      </w:r>
      <w:r w:rsidRPr="00736B0D">
        <w:tab/>
        <w:t xml:space="preserve">oštro osuđuje odluku Kine da uvede ograničenja izvoza </w:t>
      </w:r>
      <w:proofErr w:type="spellStart"/>
      <w:r w:rsidRPr="00736B0D">
        <w:t>izvoza</w:t>
      </w:r>
      <w:proofErr w:type="spellEnd"/>
      <w:r w:rsidRPr="00736B0D">
        <w:t xml:space="preserve"> elemenata rijetkih zemalja, što je zaustavilo izvoz i znatno poremetilo lance opskrbe ključne za automobilsku industriju, proizvođače iz sektora obrane, poduzeća za poluvodiče, zelene </w:t>
      </w:r>
      <w:r w:rsidRPr="00736B0D">
        <w:lastRenderedPageBreak/>
        <w:t xml:space="preserve">tehnologije, zdravstvene primjene i mnoge druge sektore u EU-u i diljem svijeta; smatra da djelovanje Kine neopravdano i da pokazuje namjeru prisile, oslanjajući se na golem utjecaj koji njezin </w:t>
      </w:r>
      <w:proofErr w:type="spellStart"/>
      <w:r w:rsidRPr="00736B0D">
        <w:t>kvazimonopolistički</w:t>
      </w:r>
      <w:proofErr w:type="spellEnd"/>
      <w:r w:rsidRPr="00736B0D">
        <w:t xml:space="preserve"> položaj na globalnom tržištu pruža;</w:t>
      </w:r>
    </w:p>
    <w:p w14:paraId="76C373C1" w14:textId="77777777" w:rsidR="000249D5" w:rsidRPr="00736B0D" w:rsidRDefault="000249D5" w:rsidP="000249D5">
      <w:pPr>
        <w:pStyle w:val="NormalHanging12a"/>
      </w:pPr>
      <w:r w:rsidRPr="00736B0D">
        <w:t>2.</w:t>
      </w:r>
      <w:r w:rsidRPr="00736B0D">
        <w:tab/>
      </w:r>
      <w:bookmarkStart w:id="7" w:name="_Hlk202535774"/>
      <w:r w:rsidRPr="00736B0D">
        <w:t>smatra da Kina ta ograničenja izvoza koristi kako bi ojačala svoj pregovarački položaj; naglašava da EU mora odlučno odbaciti sve pokušaje Kine da iskoristi ta ograničenja kako bi prisilno ishodila ustupke u pogledu drugih aktualnih trgovinskih prepreka te smatra da bi svi ustupci Kini u tom pogledu naštetili sposobnosti EU-a da se zaštiti od trenutačne i buduće prisile;</w:t>
      </w:r>
      <w:bookmarkEnd w:id="7"/>
    </w:p>
    <w:p w14:paraId="433CBB7C" w14:textId="77777777" w:rsidR="000249D5" w:rsidRPr="00736B0D" w:rsidRDefault="000249D5" w:rsidP="000249D5">
      <w:pPr>
        <w:pStyle w:val="NormalHanging12a"/>
      </w:pPr>
      <w:r w:rsidRPr="00736B0D">
        <w:t>3.</w:t>
      </w:r>
      <w:r w:rsidRPr="00736B0D">
        <w:tab/>
      </w:r>
      <w:bookmarkStart w:id="8" w:name="_Hlk202907727"/>
      <w:r w:rsidRPr="00736B0D">
        <w:t xml:space="preserve">naglašava da je na predstojećem sastanku na vrhu između EU-a i Kine važno izraziti zabrinutost zbog kineskih izvoznih ograničenja za elemente rijetkih zemalja i zbog širih implikacija koje ta ograničenja imaju na globalne lance opskrbe; uvjeren je da bi kontrole izvoza trebale biti dio multilateralnog pristupa osmišljenog kako bi se zaštitila međunarodna sigurnost i osigurali jednaki uvjeti na globalnoj razini, ustraje u tome da jednostrane kontrole moraju biti ograničene samo na nužno potrebne zbog nacionalne sigurnosti, uz transparentna i jasno definirana pravila, te stoga naglašava da su mjere Kine u suprotnosti s multilateralnim pravilima i praksama </w:t>
      </w:r>
      <w:bookmarkStart w:id="9" w:name="_Hlk202909856"/>
      <w:r w:rsidRPr="00736B0D">
        <w:t>i poziva Komisiju i države članice da zauzmu čvrst i jedinstven stav, surađuju s Kinom kako bi se pronašlo strukturno rješenje i nastave dijalog s Kinom u tom pogledu</w:t>
      </w:r>
      <w:bookmarkEnd w:id="9"/>
      <w:r w:rsidRPr="00736B0D">
        <w:t>;</w:t>
      </w:r>
      <w:bookmarkEnd w:id="8"/>
    </w:p>
    <w:p w14:paraId="0BF14E01" w14:textId="77777777" w:rsidR="000249D5" w:rsidRPr="00736B0D" w:rsidRDefault="000249D5" w:rsidP="000249D5">
      <w:pPr>
        <w:pStyle w:val="NormalHanging12a"/>
      </w:pPr>
      <w:r w:rsidRPr="00736B0D">
        <w:t>4.</w:t>
      </w:r>
      <w:r w:rsidRPr="00736B0D">
        <w:tab/>
        <w:t>potiče kineske vlasti da na konkretan način poduzmu daljnje mjere u vezi sa svojim prijedlogom i u potpunosti ukinu ograničenja izvoza; u međuvremenu prima na znanje nedavni prijedlog kineskih vlasti o uspostavi takozvanih zelenih traka s ciljem pojednostavnjenja postupaka za europska poduzeća;</w:t>
      </w:r>
    </w:p>
    <w:p w14:paraId="434A3A8E" w14:textId="77777777" w:rsidR="000249D5" w:rsidRPr="00736B0D" w:rsidRDefault="000249D5" w:rsidP="000249D5">
      <w:pPr>
        <w:pStyle w:val="NormalHanging12a"/>
      </w:pPr>
      <w:r w:rsidRPr="00736B0D">
        <w:t>5.</w:t>
      </w:r>
      <w:r w:rsidRPr="00736B0D">
        <w:tab/>
      </w:r>
      <w:bookmarkStart w:id="10" w:name="_Hlk202909943"/>
      <w:r w:rsidRPr="00736B0D">
        <w:t>naglašava da EU hitno mora povećati svoj strateški utjecaj i neophodnost tako što će utvrditi, operacionalizirati i ojačati područja u kojima ima ključnu prednost u odnosu na Kinu u pogledu osnovnih dobara i tehnologija, u cilju jačanja strateške autonomije EU-a, ili tako što će ograničiti pristup unutarnjem tržištu EU-a za visokorizične kineske dobavljače u skladu s pravom EU-a i međunarodnim trgovinskim pravom;</w:t>
      </w:r>
      <w:bookmarkEnd w:id="10"/>
    </w:p>
    <w:p w14:paraId="11B52A49" w14:textId="77777777" w:rsidR="000249D5" w:rsidRPr="00736B0D" w:rsidRDefault="000249D5" w:rsidP="000249D5">
      <w:pPr>
        <w:pStyle w:val="NormalHanging12a"/>
      </w:pPr>
      <w:r w:rsidRPr="00736B0D">
        <w:t>6.</w:t>
      </w:r>
      <w:r w:rsidRPr="00736B0D">
        <w:tab/>
        <w:t>kineske mjere smatra neopravdanim korištenjem opskrbnih lanaca za kritične sirovine kao oružja, što Kinu čini nepouzdanim izvorom za ključne sektore i prijetnjom gospodarskim i ključnim sigurnosnim interesima Unije;</w:t>
      </w:r>
    </w:p>
    <w:p w14:paraId="6E23FE0B" w14:textId="77777777" w:rsidR="000249D5" w:rsidRPr="00736B0D" w:rsidRDefault="000249D5" w:rsidP="000249D5">
      <w:pPr>
        <w:pStyle w:val="NormalHanging12a"/>
      </w:pPr>
      <w:r w:rsidRPr="00736B0D">
        <w:t>7.</w:t>
      </w:r>
      <w:r w:rsidRPr="00736B0D">
        <w:tab/>
        <w:t>izražava duboku zabrinutost zbog zahtjeva kineskih vlasti da podnositelji zahtjeva pri podnošenju zahtjeva za izvozne dozvole moraju otkriti osjetljive podatke te zbog znatnog rizika od s tim povezanog razotkrivanja tehnologije u pogledu vrijednosnog lanca obrambene industrijske baze i tajni koje se odnose na nacionalnu sigurnost, naglašavajući da bi se to moglo iskoristiti za buduću prisilu; smatra da je ključno da Komisija i države članice procijene i ublaže sigurnosne posljedice takvih prijenosa podataka, u skladu s Europskom strategijom gospodarske sigurnosti;</w:t>
      </w:r>
    </w:p>
    <w:p w14:paraId="75D5EFCB" w14:textId="77777777" w:rsidR="000249D5" w:rsidRPr="00736B0D" w:rsidRDefault="000249D5" w:rsidP="000249D5">
      <w:pPr>
        <w:pStyle w:val="NormalHanging12a"/>
        <w:rPr>
          <w:bCs/>
        </w:rPr>
      </w:pPr>
      <w:r w:rsidRPr="00736B0D">
        <w:t>8.</w:t>
      </w:r>
      <w:r w:rsidRPr="00736B0D">
        <w:tab/>
        <w:t>potiče Komisiju i države članice hitno ubrzaju provedbu Akta o kritičnim sirovinama; naglašava važnu ulogu Europskog odbora za sirovine i njegovih podskupina za brzu i učinkovitu provedbu Akta o kritičnim sirovinama; podsjeća na jasne i ambiciozne ciljeve za jačanje kapaciteta EU-a za vađenje, obradu i recikliranje strateških sirovina na domaćem tržištu do 2030.; ističe odabir prvih 60 strateških projekata u okviru Akta o kritičnim sirovinama;</w:t>
      </w:r>
    </w:p>
    <w:p w14:paraId="2B5D2C11" w14:textId="77777777" w:rsidR="000249D5" w:rsidRPr="00736B0D" w:rsidRDefault="000249D5" w:rsidP="000249D5">
      <w:pPr>
        <w:pStyle w:val="NormalHanging12a"/>
        <w:rPr>
          <w:bCs/>
        </w:rPr>
      </w:pPr>
      <w:r w:rsidRPr="00736B0D">
        <w:lastRenderedPageBreak/>
        <w:t>9.</w:t>
      </w:r>
      <w:r w:rsidRPr="00736B0D">
        <w:tab/>
        <w:t>žali zbog činjenice da Akt o kritičnim sirovinama nije popraćen namjenskim proračunom EU-a, unatoč tome što je nedostatak financijskih sredstava bio glavni ograničavajući čimbenik; naglašava da je hitno potrebno osigurati ulaganja u strateške projekte odobrene u okviru Akta o kritičnim sirovinama i u druge projekte za poticanje vađenja, rafiniranja, prerade i recikliranja kojima se doprinosi smanjenju rizika iz Kine i postizanju referentnih vrijednosti iz Akta o kritičnim sirovinama; potiče Komisiju da na razini EU-a posveti dodatnu potporu diversifikaciji opskrbe elementima rijetkih zemalja i kritičnim sirovinama te da zajamči da će predstojeći višegodišnji financijski okvir uključivati proračunsku liniju za poticanje ulaganja u vađenje, preradu, kružnost, istraživanje i inovacije, uključujući za zamjenu kritičnih sirovina;</w:t>
      </w:r>
    </w:p>
    <w:p w14:paraId="3070629E" w14:textId="77777777" w:rsidR="000249D5" w:rsidRPr="00736B0D" w:rsidRDefault="000249D5" w:rsidP="000249D5">
      <w:pPr>
        <w:pStyle w:val="NormalHanging12a"/>
      </w:pPr>
      <w:r w:rsidRPr="00736B0D">
        <w:t>10.</w:t>
      </w:r>
      <w:r w:rsidRPr="00736B0D">
        <w:tab/>
        <w:t>naglašava potrebu da EU rudari na domaćem tržištu i da ponovno uspostavi kapacitete za preradu; ističe da je povećanje učinkovitosti upotrebe resursa s pomoću tehnoloških inovacija jedan od ciljeva Akta o kritičnim sirovinama; naglašava potencijal recikliranja i urbanog rudarstva kako bi se kratkoročno ublažila ograničenja opskrbe i traži od Komisije da poduzme hitne mjere za poboljšanje prikupljanja i zadržavanja elemenata rijetkih zemalja na unutarnjem tržištu;</w:t>
      </w:r>
    </w:p>
    <w:p w14:paraId="62840417" w14:textId="77777777" w:rsidR="000249D5" w:rsidRPr="00736B0D" w:rsidRDefault="000249D5" w:rsidP="000249D5">
      <w:pPr>
        <w:pStyle w:val="NormalHanging12a"/>
      </w:pPr>
      <w:r w:rsidRPr="00736B0D">
        <w:t>11.</w:t>
      </w:r>
      <w:r w:rsidRPr="00736B0D">
        <w:tab/>
        <w:t>naglašava da je potrebno osigurati dugoročnu poslovnu opravdanost i održivost ulaganja u lance vrijednosti kritičnih sirovina, među ostalim financijskom potporom kao što su minimalne cijene, potpora za otkup i strateško stvaranje zaliha; poziva države članice da zatraže da velika poduzeća koja proizvode tehnologije u strateškim sektorima propisno i redovito provode aktivnosti za spremnost za rizike i mjere za ublažavanje nestašica u opskrbi, među ostalim stvaranjem zaliha;</w:t>
      </w:r>
    </w:p>
    <w:p w14:paraId="7D9DC523" w14:textId="77777777" w:rsidR="000249D5" w:rsidRPr="00736B0D" w:rsidRDefault="000249D5" w:rsidP="000249D5">
      <w:pPr>
        <w:pStyle w:val="NormalHanging12a"/>
      </w:pPr>
      <w:r w:rsidRPr="00736B0D">
        <w:t>12.</w:t>
      </w:r>
      <w:r w:rsidRPr="00736B0D">
        <w:tab/>
        <w:t>poziva Komisiju da zajedno s državama članicama procijeni minimalnu razinu strateških zaliha elemenata rijetkih zemalja navedenih kao strateške sirovine (</w:t>
      </w:r>
      <w:proofErr w:type="spellStart"/>
      <w:r w:rsidRPr="00736B0D">
        <w:t>neodimij</w:t>
      </w:r>
      <w:proofErr w:type="spellEnd"/>
      <w:r w:rsidRPr="00736B0D">
        <w:t xml:space="preserve">, </w:t>
      </w:r>
      <w:proofErr w:type="spellStart"/>
      <w:r w:rsidRPr="00736B0D">
        <w:t>praseodimij</w:t>
      </w:r>
      <w:proofErr w:type="spellEnd"/>
      <w:r w:rsidRPr="00736B0D">
        <w:t xml:space="preserve">, </w:t>
      </w:r>
      <w:proofErr w:type="spellStart"/>
      <w:r w:rsidRPr="00736B0D">
        <w:t>terbij</w:t>
      </w:r>
      <w:proofErr w:type="spellEnd"/>
      <w:r w:rsidRPr="00736B0D">
        <w:t xml:space="preserve">, </w:t>
      </w:r>
      <w:proofErr w:type="spellStart"/>
      <w:r w:rsidRPr="00736B0D">
        <w:t>disprozij</w:t>
      </w:r>
      <w:proofErr w:type="spellEnd"/>
      <w:r w:rsidRPr="00736B0D">
        <w:t xml:space="preserve">, </w:t>
      </w:r>
      <w:proofErr w:type="spellStart"/>
      <w:r w:rsidRPr="00736B0D">
        <w:t>gadolinij</w:t>
      </w:r>
      <w:proofErr w:type="spellEnd"/>
      <w:r w:rsidRPr="00736B0D">
        <w:t>, samarij i cerij) u EU-u i odgovarajuće primjene u krajnjoj potrošnji, uključujući one povezane s obrambenom industrijom;</w:t>
      </w:r>
    </w:p>
    <w:p w14:paraId="28A0C74D" w14:textId="77777777" w:rsidR="000249D5" w:rsidRPr="00736B0D" w:rsidRDefault="000249D5" w:rsidP="000249D5">
      <w:pPr>
        <w:pStyle w:val="NormalHanging12a"/>
      </w:pPr>
      <w:r w:rsidRPr="00736B0D">
        <w:t>13.</w:t>
      </w:r>
      <w:r w:rsidRPr="00736B0D">
        <w:tab/>
        <w:t xml:space="preserve">nadalje, poziva na snažniji angažman u sklapanju partnerstava za čistu trgovinu i ulaganja te bilateralnih strateških partnerstava u području sirovina koja se temelje na istinskim partnerstvima od kojih svi imaju koristi i koja ispunjavaju visoke standarde održivosti i ljudskih prava; ustraje u tome da je potrebno prijeći na obvezujuće sporazume o kritičnim sirovinama kako bi se osigurala dugoročna sigurnost opskrbe EU-a, zajamčila veća transparentnost i osiguralo da Parlament ima nadzorne ovlasti; naglašava važnost sporazuma o slobodnoj trgovini i inicijative Global </w:t>
      </w:r>
      <w:proofErr w:type="spellStart"/>
      <w:r w:rsidRPr="00736B0D">
        <w:t>Gateway</w:t>
      </w:r>
      <w:proofErr w:type="spellEnd"/>
      <w:r w:rsidRPr="00736B0D">
        <w:t xml:space="preserve"> za poboljšanje pristupa kritičnim sirovinama;</w:t>
      </w:r>
    </w:p>
    <w:p w14:paraId="3B0AAAEB" w14:textId="77777777" w:rsidR="000249D5" w:rsidRPr="00736B0D" w:rsidRDefault="000249D5" w:rsidP="000249D5">
      <w:pPr>
        <w:pStyle w:val="NormalHanging12a"/>
        <w:rPr>
          <w:bCs/>
        </w:rPr>
      </w:pPr>
      <w:r w:rsidRPr="00736B0D">
        <w:t>14.</w:t>
      </w:r>
      <w:r w:rsidRPr="00736B0D">
        <w:tab/>
        <w:t>potiče primjenu preferencijalnih klauzula za nabavu elemenata rijetkih zemalja od dobavljača iz EU-a i pouzdanih partnera u relevantnom zakonodavstvu o javnoj nabavi; poziva na bolju koordinaciju s međunarodnim partnerima sličnih stavova, posebno u okviru skupine G7 i NATO-a te s Japanskom organizacijom za metale i energetsku sigurnost, kako bi se poboljšao prijenos znanja, uskladila sigurnost lanca opskrbe, zajednička ulaganja i strategije stvaranja zaliha te razvili standardi pouzdanih izvora za strateške sektore i projekte;</w:t>
      </w:r>
    </w:p>
    <w:p w14:paraId="6A026200" w14:textId="193A303B" w:rsidR="00E365E1" w:rsidRPr="00736B0D" w:rsidRDefault="000249D5" w:rsidP="00981286">
      <w:pPr>
        <w:ind w:left="567" w:hanging="567"/>
      </w:pPr>
      <w:r w:rsidRPr="00736B0D">
        <w:t>15.</w:t>
      </w:r>
      <w:r w:rsidRPr="00736B0D">
        <w:tab/>
        <w:t>nalaže svojoj predsjednici da ovu Rezoluciju proslijedi Vijeću, Komisiji, potpredsjednici Komisije / Visokoj predstavnici Unije za vanjske poslove i sigurnosnu politiku, vladama i parlamentima država članica te vladi i parlamentu Narodne Republike Kine.</w:t>
      </w:r>
    </w:p>
    <w:sectPr w:rsidR="00E365E1" w:rsidRPr="00736B0D" w:rsidSect="00C830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79E7C" w14:textId="77777777" w:rsidR="00C05613" w:rsidRPr="00C83014" w:rsidRDefault="00C05613">
      <w:r w:rsidRPr="00C83014">
        <w:separator/>
      </w:r>
    </w:p>
  </w:endnote>
  <w:endnote w:type="continuationSeparator" w:id="0">
    <w:p w14:paraId="74B47AAB" w14:textId="77777777" w:rsidR="00C05613" w:rsidRPr="00C83014" w:rsidRDefault="00C05613">
      <w:r w:rsidRPr="00C830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A4F23" w14:textId="77777777" w:rsidR="00064002" w:rsidRPr="00C8301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5DE77" w14:textId="77777777" w:rsidR="00064002" w:rsidRPr="00C8301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6C45D" w14:textId="77777777" w:rsidR="00064002" w:rsidRPr="00C8301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B2E5F" w14:textId="77777777" w:rsidR="00C05613" w:rsidRPr="00C83014" w:rsidRDefault="00C05613">
      <w:r w:rsidRPr="00C83014">
        <w:separator/>
      </w:r>
    </w:p>
  </w:footnote>
  <w:footnote w:type="continuationSeparator" w:id="0">
    <w:p w14:paraId="61200D06" w14:textId="77777777" w:rsidR="00C05613" w:rsidRPr="00C83014" w:rsidRDefault="00C05613">
      <w:r w:rsidRPr="00C83014">
        <w:continuationSeparator/>
      </w:r>
    </w:p>
  </w:footnote>
  <w:footnote w:id="1">
    <w:p w14:paraId="2B29DBE0" w14:textId="66B9CB1C" w:rsidR="000249D5" w:rsidRPr="00C83014" w:rsidRDefault="000249D5" w:rsidP="00C83014">
      <w:pPr>
        <w:pStyle w:val="FootnoteText"/>
        <w:ind w:left="567" w:hanging="567"/>
        <w:rPr>
          <w:sz w:val="24"/>
          <w:lang w:val="hr-HR"/>
        </w:rPr>
      </w:pPr>
      <w:r w:rsidRPr="00C83014">
        <w:rPr>
          <w:rStyle w:val="FootnoteReference"/>
          <w:sz w:val="24"/>
          <w:lang w:val="hr-HR"/>
        </w:rPr>
        <w:footnoteRef/>
      </w:r>
      <w:r w:rsidR="00C83014" w:rsidRPr="00C83014">
        <w:rPr>
          <w:sz w:val="24"/>
          <w:lang w:val="hr-HR"/>
        </w:rPr>
        <w:t xml:space="preserve"> </w:t>
      </w:r>
      <w:r w:rsidR="00C83014" w:rsidRPr="00C83014">
        <w:rPr>
          <w:sz w:val="24"/>
          <w:lang w:val="hr-HR"/>
        </w:rPr>
        <w:tab/>
      </w:r>
      <w:r w:rsidRPr="00981286">
        <w:rPr>
          <w:sz w:val="24"/>
          <w:lang w:val="hr-HR"/>
        </w:rPr>
        <w:t xml:space="preserve">SL L, 2024/1252, 3.5.2024., ELI: </w:t>
      </w:r>
      <w:hyperlink r:id="rId1" w:history="1">
        <w:r w:rsidRPr="00981286">
          <w:rPr>
            <w:rStyle w:val="Hyperlink"/>
            <w:sz w:val="24"/>
            <w:lang w:val="hr-HR"/>
          </w:rPr>
          <w:t>http://data.europa.eu/eli/reg/2024/1252/oj</w:t>
        </w:r>
      </w:hyperlink>
      <w:r w:rsidRPr="00C83014">
        <w:rPr>
          <w:sz w:val="24"/>
          <w:lang w:val="hr-HR"/>
        </w:rPr>
        <w:t>.</w:t>
      </w:r>
    </w:p>
  </w:footnote>
  <w:footnote w:id="2">
    <w:p w14:paraId="7FE4DB1D" w14:textId="5072D7D8" w:rsidR="000249D5" w:rsidRPr="00C83014" w:rsidRDefault="000249D5" w:rsidP="00C83014">
      <w:pPr>
        <w:pStyle w:val="FootnoteText"/>
        <w:ind w:left="567" w:hanging="567"/>
        <w:rPr>
          <w:sz w:val="24"/>
          <w:lang w:val="hr-HR"/>
        </w:rPr>
      </w:pPr>
      <w:r w:rsidRPr="00C83014">
        <w:rPr>
          <w:rStyle w:val="FootnoteReference"/>
          <w:sz w:val="24"/>
          <w:lang w:val="hr-HR"/>
        </w:rPr>
        <w:footnoteRef/>
      </w:r>
      <w:r w:rsidR="00C83014" w:rsidRPr="00C83014">
        <w:rPr>
          <w:sz w:val="24"/>
          <w:lang w:val="hr-HR"/>
        </w:rPr>
        <w:t xml:space="preserve"> </w:t>
      </w:r>
      <w:r w:rsidR="00C83014" w:rsidRPr="00C83014">
        <w:rPr>
          <w:sz w:val="24"/>
          <w:lang w:val="hr-HR"/>
        </w:rPr>
        <w:tab/>
      </w:r>
      <w:r w:rsidRPr="00981286">
        <w:rPr>
          <w:sz w:val="24"/>
          <w:lang w:val="hr-HR"/>
        </w:rPr>
        <w:t xml:space="preserve">SL L, 2024/1735, 28.6.2024., ELI: </w:t>
      </w:r>
      <w:hyperlink r:id="rId2" w:history="1">
        <w:r w:rsidRPr="00981286">
          <w:rPr>
            <w:rStyle w:val="Hyperlink"/>
            <w:sz w:val="24"/>
            <w:lang w:val="hr-HR"/>
          </w:rPr>
          <w:t>http://data.europa.eu/eli/reg/2024/1735/oj</w:t>
        </w:r>
      </w:hyperlink>
      <w:r w:rsidRPr="00C83014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E6702" w14:textId="77777777" w:rsidR="00064002" w:rsidRPr="00C8301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5289F" w14:textId="77777777" w:rsidR="00064002" w:rsidRPr="00C8301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ADB63" w14:textId="77777777" w:rsidR="00064002" w:rsidRPr="00C8301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38566668">
    <w:abstractNumId w:val="9"/>
  </w:num>
  <w:num w:numId="2" w16cid:durableId="998927447">
    <w:abstractNumId w:val="9"/>
  </w:num>
  <w:num w:numId="3" w16cid:durableId="1969044664">
    <w:abstractNumId w:val="7"/>
  </w:num>
  <w:num w:numId="4" w16cid:durableId="1009255424">
    <w:abstractNumId w:val="7"/>
  </w:num>
  <w:num w:numId="5" w16cid:durableId="628245054">
    <w:abstractNumId w:val="6"/>
  </w:num>
  <w:num w:numId="6" w16cid:durableId="974605826">
    <w:abstractNumId w:val="6"/>
  </w:num>
  <w:num w:numId="7" w16cid:durableId="252011823">
    <w:abstractNumId w:val="5"/>
  </w:num>
  <w:num w:numId="8" w16cid:durableId="1004166176">
    <w:abstractNumId w:val="5"/>
  </w:num>
  <w:num w:numId="9" w16cid:durableId="1442916315">
    <w:abstractNumId w:val="4"/>
  </w:num>
  <w:num w:numId="10" w16cid:durableId="728304788">
    <w:abstractNumId w:val="4"/>
  </w:num>
  <w:num w:numId="11" w16cid:durableId="2139763542">
    <w:abstractNumId w:val="8"/>
  </w:num>
  <w:num w:numId="12" w16cid:durableId="1030686905">
    <w:abstractNumId w:val="8"/>
  </w:num>
  <w:num w:numId="13" w16cid:durableId="2079786725">
    <w:abstractNumId w:val="3"/>
  </w:num>
  <w:num w:numId="14" w16cid:durableId="1678268523">
    <w:abstractNumId w:val="3"/>
  </w:num>
  <w:num w:numId="15" w16cid:durableId="1417677539">
    <w:abstractNumId w:val="2"/>
  </w:num>
  <w:num w:numId="16" w16cid:durableId="291909505">
    <w:abstractNumId w:val="2"/>
  </w:num>
  <w:num w:numId="17" w16cid:durableId="161551655">
    <w:abstractNumId w:val="1"/>
  </w:num>
  <w:num w:numId="18" w16cid:durableId="546071330">
    <w:abstractNumId w:val="1"/>
  </w:num>
  <w:num w:numId="19" w16cid:durableId="1944145293">
    <w:abstractNumId w:val="0"/>
  </w:num>
  <w:num w:numId="20" w16cid:durableId="1251307277">
    <w:abstractNumId w:val="0"/>
  </w:num>
  <w:num w:numId="21" w16cid:durableId="1644238950">
    <w:abstractNumId w:val="9"/>
  </w:num>
  <w:num w:numId="22" w16cid:durableId="707414433">
    <w:abstractNumId w:val="7"/>
  </w:num>
  <w:num w:numId="23" w16cid:durableId="38360934">
    <w:abstractNumId w:val="6"/>
  </w:num>
  <w:num w:numId="24" w16cid:durableId="174342585">
    <w:abstractNumId w:val="5"/>
  </w:num>
  <w:num w:numId="25" w16cid:durableId="345792428">
    <w:abstractNumId w:val="4"/>
  </w:num>
  <w:num w:numId="26" w16cid:durableId="648822946">
    <w:abstractNumId w:val="8"/>
  </w:num>
  <w:num w:numId="27" w16cid:durableId="373968020">
    <w:abstractNumId w:val="3"/>
  </w:num>
  <w:num w:numId="28" w16cid:durableId="1178275695">
    <w:abstractNumId w:val="2"/>
  </w:num>
  <w:num w:numId="29" w16cid:durableId="1768691169">
    <w:abstractNumId w:val="1"/>
  </w:num>
  <w:num w:numId="30" w16cid:durableId="763064886">
    <w:abstractNumId w:val="0"/>
  </w:num>
  <w:num w:numId="31" w16cid:durableId="1215431502">
    <w:abstractNumId w:val="9"/>
  </w:num>
  <w:num w:numId="32" w16cid:durableId="1763254737">
    <w:abstractNumId w:val="7"/>
  </w:num>
  <w:num w:numId="33" w16cid:durableId="1474786902">
    <w:abstractNumId w:val="6"/>
  </w:num>
  <w:num w:numId="34" w16cid:durableId="1754668504">
    <w:abstractNumId w:val="5"/>
  </w:num>
  <w:num w:numId="35" w16cid:durableId="1983579794">
    <w:abstractNumId w:val="4"/>
  </w:num>
  <w:num w:numId="36" w16cid:durableId="1045526289">
    <w:abstractNumId w:val="8"/>
  </w:num>
  <w:num w:numId="37" w16cid:durableId="872766678">
    <w:abstractNumId w:val="3"/>
  </w:num>
  <w:num w:numId="38" w16cid:durableId="906109046">
    <w:abstractNumId w:val="2"/>
  </w:num>
  <w:num w:numId="39" w16cid:durableId="656688545">
    <w:abstractNumId w:val="1"/>
  </w:num>
  <w:num w:numId="40" w16cid:durableId="1918981542">
    <w:abstractNumId w:val="0"/>
  </w:num>
  <w:num w:numId="41" w16cid:durableId="745565503">
    <w:abstractNumId w:val="10"/>
  </w:num>
  <w:num w:numId="42" w16cid:durableId="676886319">
    <w:abstractNumId w:val="10"/>
  </w:num>
  <w:num w:numId="43" w16cid:durableId="1647203169">
    <w:abstractNumId w:val="10"/>
  </w:num>
  <w:num w:numId="44" w16cid:durableId="3117632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24/2025"/>
    <w:docVar w:name="dvlangue" w:val="HR"/>
    <w:docVar w:name="dvnumam" w:val="0"/>
    <w:docVar w:name="dvpe" w:val="774.020"/>
    <w:docVar w:name="dvtitre" w:val="Rezolucija Europskog parlamenta od .... 2025. o odgovoru na kineska ograničenja izvoza kritičnih sirovina(2025/2800(RSP))"/>
  </w:docVars>
  <w:rsids>
    <w:rsidRoot w:val="00C05613"/>
    <w:rsid w:val="00002272"/>
    <w:rsid w:val="000249D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36B0D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286"/>
    <w:rsid w:val="00981893"/>
    <w:rsid w:val="00A1687D"/>
    <w:rsid w:val="00A43E52"/>
    <w:rsid w:val="00A4678D"/>
    <w:rsid w:val="00A778C7"/>
    <w:rsid w:val="00AB441E"/>
    <w:rsid w:val="00AB6293"/>
    <w:rsid w:val="00AB74A4"/>
    <w:rsid w:val="00AE0928"/>
    <w:rsid w:val="00AF3B82"/>
    <w:rsid w:val="00B12E95"/>
    <w:rsid w:val="00B22876"/>
    <w:rsid w:val="00B558F0"/>
    <w:rsid w:val="00BD48FE"/>
    <w:rsid w:val="00BD7BD8"/>
    <w:rsid w:val="00BE6ADC"/>
    <w:rsid w:val="00C05613"/>
    <w:rsid w:val="00C05BFE"/>
    <w:rsid w:val="00C23CD4"/>
    <w:rsid w:val="00C61C0C"/>
    <w:rsid w:val="00C83014"/>
    <w:rsid w:val="00C941CB"/>
    <w:rsid w:val="00CC2357"/>
    <w:rsid w:val="00CF071A"/>
    <w:rsid w:val="00D058B8"/>
    <w:rsid w:val="00D32DD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14F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F1AD60"/>
  <w15:chartTrackingRefBased/>
  <w15:docId w15:val="{5F415A0B-350D-4BB0-AAB2-0B2EA9E66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249D5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0249D5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0249D5"/>
    <w:rPr>
      <w:sz w:val="24"/>
      <w:lang w:val="hr-HR"/>
    </w:rPr>
  </w:style>
  <w:style w:type="character" w:styleId="Hyperlink">
    <w:name w:val="Hyperlink"/>
    <w:basedOn w:val="DefaultParagraphFont"/>
    <w:rsid w:val="009812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12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4/1735/oj" TargetMode="External"/><Relationship Id="rId1" Type="http://schemas.openxmlformats.org/officeDocument/2006/relationships/hyperlink" Target="http://data.europa.eu/eli/reg/2024/12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2199</Words>
  <Characters>13166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2025-07-10T11:34:00Z</dcterms:created>
  <dcterms:modified xsi:type="dcterms:W3CDTF">2025-07-10T11:34:00Z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B10-0324/2025</vt:lpwstr>
  </property>
  <property fmtid="{D5CDD505-2E9C-101B-9397-08002B2CF9AE}" pid="4" name="&lt;Type&gt;">
    <vt:lpwstr>RR</vt:lpwstr>
  </property>
</Properties>
</file>