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5877" w14:paraId="6CF51B5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6A5E87" w14:textId="49348766" w:rsidR="00751A4A" w:rsidRPr="00A45877" w:rsidRDefault="00356812" w:rsidP="0010095E">
            <w:pPr>
              <w:pStyle w:val="EPName"/>
            </w:pPr>
            <w:r w:rsidRPr="00A45877">
              <w:t>Parlament Europejski</w:t>
            </w:r>
          </w:p>
          <w:p w14:paraId="03B93FAE" w14:textId="77777777" w:rsidR="00751A4A" w:rsidRPr="00A4587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5877">
              <w:t>2024</w:t>
            </w:r>
            <w:r w:rsidR="00817416" w:rsidRPr="00A45877">
              <w:t>-202</w:t>
            </w:r>
            <w:r w:rsidRPr="00A45877">
              <w:t>9</w:t>
            </w:r>
          </w:p>
        </w:tc>
        <w:tc>
          <w:tcPr>
            <w:tcW w:w="2268" w:type="dxa"/>
            <w:shd w:val="clear" w:color="auto" w:fill="auto"/>
          </w:tcPr>
          <w:p w14:paraId="74CCB97E" w14:textId="77777777" w:rsidR="00751A4A" w:rsidRPr="00A45877" w:rsidRDefault="00187494" w:rsidP="0010095E">
            <w:pPr>
              <w:pStyle w:val="EPLogo"/>
            </w:pPr>
            <w:r w:rsidRPr="00A45877">
              <w:rPr>
                <w:noProof/>
                <w:lang w:eastAsia="ja-JP"/>
              </w:rPr>
              <w:drawing>
                <wp:inline distT="0" distB="0" distL="0" distR="0" wp14:anchorId="580262E6" wp14:editId="6E98E7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25FF12" w14:textId="77777777" w:rsidR="00D058B8" w:rsidRPr="00A45877" w:rsidRDefault="00D058B8" w:rsidP="004C5D52">
      <w:pPr>
        <w:pStyle w:val="LineTop"/>
      </w:pPr>
    </w:p>
    <w:p w14:paraId="56B706C4" w14:textId="1E64C475" w:rsidR="00680577" w:rsidRPr="00A45877" w:rsidRDefault="00356812" w:rsidP="00680577">
      <w:pPr>
        <w:pStyle w:val="EPBodyTA1"/>
      </w:pPr>
      <w:r w:rsidRPr="00A45877">
        <w:t>TEKSTY PRZYJĘTE</w:t>
      </w:r>
    </w:p>
    <w:p w14:paraId="468B7401" w14:textId="77777777" w:rsidR="00D058B8" w:rsidRPr="00A45877" w:rsidRDefault="00D058B8" w:rsidP="00D058B8">
      <w:pPr>
        <w:pStyle w:val="LineBottom"/>
      </w:pPr>
    </w:p>
    <w:p w14:paraId="143A9956" w14:textId="0B8D97F8" w:rsidR="00356812" w:rsidRPr="00A45877" w:rsidRDefault="00356812" w:rsidP="00356812">
      <w:pPr>
        <w:pStyle w:val="ATHeading1"/>
      </w:pPr>
      <w:bookmarkStart w:id="0" w:name="TANumber"/>
      <w:r w:rsidRPr="00A45877">
        <w:t>P10_TA(2025)0</w:t>
      </w:r>
      <w:bookmarkEnd w:id="0"/>
      <w:r w:rsidR="00560F26">
        <w:t>166</w:t>
      </w:r>
    </w:p>
    <w:p w14:paraId="75368C11" w14:textId="77777777" w:rsidR="00356812" w:rsidRPr="00A45877" w:rsidRDefault="00356812" w:rsidP="00356812">
      <w:pPr>
        <w:pStyle w:val="ATHeading2"/>
      </w:pPr>
      <w:bookmarkStart w:id="1" w:name="title"/>
      <w:r w:rsidRPr="00A45877">
        <w:t>Przeciwdziałanie chińskim ograniczeniom w wywozie surowców krytycznych</w:t>
      </w:r>
      <w:bookmarkEnd w:id="1"/>
    </w:p>
    <w:p w14:paraId="47184CC8" w14:textId="49B933B8" w:rsidR="00356812" w:rsidRPr="00A45877" w:rsidRDefault="00356812" w:rsidP="00356812">
      <w:pPr>
        <w:rPr>
          <w:i/>
          <w:vanish/>
        </w:rPr>
      </w:pPr>
      <w:r w:rsidRPr="00A45877">
        <w:rPr>
          <w:i/>
        </w:rPr>
        <w:fldChar w:fldCharType="begin"/>
      </w:r>
      <w:r w:rsidRPr="00A45877">
        <w:rPr>
          <w:i/>
        </w:rPr>
        <w:instrText xml:space="preserve"> TC"(</w:instrText>
      </w:r>
      <w:bookmarkStart w:id="2" w:name="DocNumber"/>
      <w:r w:rsidR="00FF6854" w:rsidRPr="0095394A">
        <w:rPr>
          <w:i/>
        </w:rPr>
        <w:instrText>B10-0324</w:instrText>
      </w:r>
      <w:r w:rsidR="00FF6854">
        <w:rPr>
          <w:i/>
        </w:rPr>
        <w:instrText>, 0329, 0330, 0331 oraz 0332</w:instrText>
      </w:r>
      <w:r w:rsidR="00FF6854" w:rsidRPr="0095394A">
        <w:rPr>
          <w:i/>
        </w:rPr>
        <w:instrText>/2025</w:instrText>
      </w:r>
      <w:bookmarkEnd w:id="2"/>
      <w:r w:rsidRPr="00A45877">
        <w:rPr>
          <w:i/>
        </w:rPr>
        <w:instrText xml:space="preserve">)"\l3 \n&gt; \* MERGEFORMAT </w:instrText>
      </w:r>
      <w:r w:rsidRPr="00A45877">
        <w:rPr>
          <w:i/>
        </w:rPr>
        <w:fldChar w:fldCharType="end"/>
      </w:r>
    </w:p>
    <w:p w14:paraId="56A13109" w14:textId="77777777" w:rsidR="00356812" w:rsidRPr="00A45877" w:rsidRDefault="00356812" w:rsidP="00356812">
      <w:pPr>
        <w:rPr>
          <w:vanish/>
        </w:rPr>
      </w:pPr>
      <w:bookmarkStart w:id="3" w:name="PE"/>
      <w:r w:rsidRPr="00A45877">
        <w:rPr>
          <w:vanish/>
        </w:rPr>
        <w:t>PE774.020</w:t>
      </w:r>
      <w:bookmarkEnd w:id="3"/>
    </w:p>
    <w:p w14:paraId="7581956D" w14:textId="3CC6C824" w:rsidR="00356812" w:rsidRPr="00A45877" w:rsidRDefault="00356812" w:rsidP="00356812">
      <w:pPr>
        <w:pStyle w:val="ATHeading3"/>
      </w:pPr>
      <w:bookmarkStart w:id="4" w:name="Sujet"/>
      <w:r w:rsidRPr="00A45877">
        <w:t xml:space="preserve">Rezolucja Parlamentu Europejskiego z dnia </w:t>
      </w:r>
      <w:r w:rsidR="00FF6854">
        <w:t>10 lipca</w:t>
      </w:r>
      <w:r w:rsidRPr="00A45877">
        <w:t xml:space="preserve"> 2025 r. w sprawie przeciwdziałania chińskim ograniczeniom w wywozie surowców krytycznych</w:t>
      </w:r>
      <w:bookmarkEnd w:id="4"/>
      <w:r w:rsidRPr="00A45877">
        <w:t xml:space="preserve"> </w:t>
      </w:r>
      <w:bookmarkStart w:id="5" w:name="References"/>
      <w:r w:rsidRPr="00A45877">
        <w:t>(2025/2800(RSP))</w:t>
      </w:r>
      <w:bookmarkEnd w:id="5"/>
    </w:p>
    <w:p w14:paraId="6C046219" w14:textId="77777777" w:rsidR="00BD62BF" w:rsidRPr="00A45877" w:rsidRDefault="00BD62BF" w:rsidP="00BD62BF">
      <w:pPr>
        <w:pStyle w:val="EPComma"/>
      </w:pPr>
      <w:bookmarkStart w:id="6" w:name="TextBodyBegin"/>
      <w:bookmarkEnd w:id="6"/>
      <w:r w:rsidRPr="00A45877">
        <w:rPr>
          <w:i/>
        </w:rPr>
        <w:t>Parlament Europejski</w:t>
      </w:r>
      <w:r w:rsidRPr="00A45877">
        <w:t>,</w:t>
      </w:r>
    </w:p>
    <w:p w14:paraId="7F343983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swoje poprzednie rezolucje w sprawie Chin,</w:t>
      </w:r>
    </w:p>
    <w:p w14:paraId="118F4E1B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zbliżający się szczyt UE–Chiny zaplanowany na 24 i 25 lipca 2025 r.,</w:t>
      </w:r>
    </w:p>
    <w:p w14:paraId="41B40A7F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rozporządzenie Parlamentu Europejskiego i Rady (UE) 2024/1252 z dnia 11 kwietnia 2024 r. w sprawie ustanowienia ram na potrzeby zapewnienia bezpiecznych i zrównoważonych dostaw surowców krytycznych oraz zmiany rozporządzeń (UE) nr 168/2013, (UE) 2018/858, (UE) 2018/1724 i (UE) 2019/1020</w:t>
      </w:r>
      <w:r w:rsidRPr="00A45877">
        <w:rPr>
          <w:rStyle w:val="FootnoteReference"/>
        </w:rPr>
        <w:footnoteReference w:id="1"/>
      </w:r>
      <w:r w:rsidRPr="00A45877">
        <w:t>, znane również jako europejski akt w sprawie surowców krytycznych,</w:t>
      </w:r>
    </w:p>
    <w:p w14:paraId="330375D1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rozporządzenie Parlamentu Europejskiego i Rady (UE) 2024/1735 z dnia 13 czerwca 2024 r. w sprawie ustanowienia ram środków na rzecz wzmocnienia europejskiego ekosystemu produkcji technologii neutralnych emisyjnie i zmieniające rozporządzenie (UE) 2018/1724</w:t>
      </w:r>
      <w:r w:rsidRPr="00A45877">
        <w:rPr>
          <w:rStyle w:val="FootnoteReference"/>
        </w:rPr>
        <w:footnoteReference w:id="2"/>
      </w:r>
      <w:r w:rsidRPr="00A45877">
        <w:t xml:space="preserve"> (akt w sprawie przemysłu neutralnego emisyjnie),</w:t>
      </w:r>
    </w:p>
    <w:p w14:paraId="26CB97F0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oświadczenie przywódców G-7 na temat planu działania G-7 w sprawie minerałów krytycznych,</w:t>
      </w:r>
    </w:p>
    <w:p w14:paraId="6B9090D3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komunikat Komisji z 26 lutego 2025 r. pt. „Pakt dla czystego przemysłu: wspólny plan działania na rzecz konkurencyjności i dekarbonizacji” (COM(2025)0085),</w:t>
      </w:r>
    </w:p>
    <w:p w14:paraId="2410E92A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negocjowane przez UE czyste partnerstwa handlowo-inwestycyjne oraz unijne partnerstwa w zakresie surowców krytycznych,</w:t>
      </w:r>
    </w:p>
    <w:p w14:paraId="37CDA323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 xml:space="preserve">uwzględniając wspólny komunikat Komisji i Wysokiego Przedstawiciela Unii do Spraw Zagranicznych i Polityki Bezpieczeństwa z 20 czerwca 2023 r. pt. „Europejska strategia bezpieczeństwa gospodarczego” (JOIN(2023)0020) oraz przemówienia na temat </w:t>
      </w:r>
      <w:r w:rsidRPr="00A45877">
        <w:lastRenderedPageBreak/>
        <w:t xml:space="preserve">ograniczania ryzyka wygłoszone przez przewodniczącą Komisji Ursulę von der </w:t>
      </w:r>
      <w:proofErr w:type="spellStart"/>
      <w:r w:rsidRPr="00A45877">
        <w:t>Leyen</w:t>
      </w:r>
      <w:proofErr w:type="spellEnd"/>
      <w:r w:rsidRPr="00A45877">
        <w:t xml:space="preserve"> w Centrum Polityki Europejskiej 30 marca 2023 r. i w Parlamencie Europejskim 18 kwietnia 2023 r.,</w:t>
      </w:r>
    </w:p>
    <w:p w14:paraId="66F83600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 xml:space="preserve">uwzględniając 13. dialog strategiczny UE–Chiny między wiceprzewodniczącą Komisji / wysoką przedstawicielką Unii do spraw zagranicznych i polityki bezpieczeństwa Kają </w:t>
      </w:r>
      <w:proofErr w:type="spellStart"/>
      <w:r w:rsidRPr="00A45877">
        <w:t>Kallas</w:t>
      </w:r>
      <w:proofErr w:type="spellEnd"/>
      <w:r w:rsidRPr="00A45877">
        <w:t xml:space="preserve"> a ministrem spraw zagranicznych Chin </w:t>
      </w:r>
      <w:proofErr w:type="spellStart"/>
      <w:r w:rsidRPr="00A45877">
        <w:t>Wangiem</w:t>
      </w:r>
      <w:proofErr w:type="spellEnd"/>
      <w:r w:rsidRPr="00A45877">
        <w:t xml:space="preserve"> </w:t>
      </w:r>
      <w:proofErr w:type="spellStart"/>
      <w:r w:rsidRPr="00A45877">
        <w:t>Yi</w:t>
      </w:r>
      <w:proofErr w:type="spellEnd"/>
      <w:r w:rsidRPr="00A45877">
        <w:t>, który odbył się w Brukseli 2 lipca 2025 r.,</w:t>
      </w:r>
    </w:p>
    <w:p w14:paraId="5B3C985B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 xml:space="preserve">uwzględniając oświadczenia przewodniczącej Komisji Ursuli von der </w:t>
      </w:r>
      <w:proofErr w:type="spellStart"/>
      <w:r w:rsidRPr="00A45877">
        <w:t>Leyen</w:t>
      </w:r>
      <w:proofErr w:type="spellEnd"/>
      <w:r w:rsidRPr="00A45877">
        <w:t xml:space="preserve"> wygłoszone na szczycie G-7, który odbył się w </w:t>
      </w:r>
      <w:proofErr w:type="spellStart"/>
      <w:r w:rsidRPr="00A45877">
        <w:t>Kananaskis</w:t>
      </w:r>
      <w:proofErr w:type="spellEnd"/>
      <w:r w:rsidRPr="00A45877">
        <w:t xml:space="preserve"> (Kanada) w dniach 16–17 czerwca 2025 r.,</w:t>
      </w:r>
    </w:p>
    <w:p w14:paraId="3EADCCA6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przepisy Światowej Organizacji Handlu (WTO), w szczególności zasadę niedyskryminacji i przejrzystości w odniesieniu do ograniczeń wywozowych,</w:t>
      </w:r>
    </w:p>
    <w:p w14:paraId="2C90E43B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orzeczenia DS431, DS432 i DS433 Organu Rozstrzygania Sporów WTO w sprawie chińskich ograniczeń w wywozie metali ziem rzadkich,</w:t>
      </w:r>
    </w:p>
    <w:p w14:paraId="4D9082CD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Wytyczne ONZ dotyczące biznesu i praw człowieka,</w:t>
      </w:r>
    </w:p>
    <w:p w14:paraId="3BF6C45F" w14:textId="77777777" w:rsidR="00BD62BF" w:rsidRPr="00A45877" w:rsidRDefault="00BD62BF" w:rsidP="00BD62BF">
      <w:pPr>
        <w:pStyle w:val="NormalHanging12a"/>
      </w:pPr>
      <w:r w:rsidRPr="00A45877">
        <w:t>–</w:t>
      </w:r>
      <w:r w:rsidRPr="00A45877">
        <w:tab/>
        <w:t>uwzględniając art. 136 ust. 2 i 4 Regulaminu,</w:t>
      </w:r>
    </w:p>
    <w:p w14:paraId="04D83872" w14:textId="77777777" w:rsidR="00BD62BF" w:rsidRPr="00A45877" w:rsidRDefault="00BD62BF" w:rsidP="00BD62BF">
      <w:pPr>
        <w:pStyle w:val="NormalHanging12a"/>
      </w:pPr>
      <w:r w:rsidRPr="00A45877">
        <w:t>A.</w:t>
      </w:r>
      <w:r w:rsidRPr="00A45877">
        <w:tab/>
        <w:t>mając na uwadze, że 4 kwietnia 2025 r. Chiny zaczęły wprowadzać ograniczenia wywozowe w odniesieniu do siedmiu spośród siedemnastu metali ziem rzadkich i produkowanych z nich magnesów trwałych oraz wprowadziły system nieautomatycznych zezwoleń, a jako uzasadnienie przytoczyły względy podwójnego zastosowania i bezpieczeństwa; mając na uwadze, że wykaz produktów objętych ograniczeniami obejmuje średnie i ciężkie metale ziem rzadkich (samar, gadolin, terb, dysproz, lutet, skand i itr);</w:t>
      </w:r>
    </w:p>
    <w:p w14:paraId="75FA2F46" w14:textId="77777777" w:rsidR="00BD62BF" w:rsidRPr="00A45877" w:rsidRDefault="00BD62BF" w:rsidP="00BD62BF">
      <w:pPr>
        <w:pStyle w:val="NormalHanging12a"/>
      </w:pPr>
      <w:r w:rsidRPr="00A45877">
        <w:t>B.</w:t>
      </w:r>
      <w:r w:rsidRPr="00A45877">
        <w:tab/>
        <w:t>mając na uwadze, że surowce krytyczne są niezbędnymi środkami produkcji w przypadku szerokiej gamy produktów i procesów przemysłowych, w tym w sektorach krytycznych, takich jak czyste technologie, technologie cyfrowe, opieka zdrowotna i obronność; mając na uwadze, że bezpieczne i zrównoważone dostawy surowców krytycznych mają zasadnicze znaczenie dla osiągnięcia celów Unii w zakresie klimatu, cyfryzacji, konkurencyjności i obronności;</w:t>
      </w:r>
    </w:p>
    <w:p w14:paraId="19F483AC" w14:textId="77777777" w:rsidR="00BD62BF" w:rsidRPr="00A45877" w:rsidRDefault="00BD62BF" w:rsidP="00BD62BF">
      <w:pPr>
        <w:pStyle w:val="NormalHanging12a"/>
      </w:pPr>
      <w:r w:rsidRPr="00A45877">
        <w:t>C.</w:t>
      </w:r>
      <w:r w:rsidRPr="00A45877">
        <w:tab/>
        <w:t>mając na uwadze, że wielkość wywozu spadła podobno o 80 %, co ma duży wpływ na wiele różnych sektorów, takich jak elektronika i technologie użytkowe, zielona energia i odnawialne źródła energii, przemysł motoryzacyjny, przemysł lotniczy i kosmiczny oraz opieka zdrowotna;</w:t>
      </w:r>
    </w:p>
    <w:p w14:paraId="546C1F0C" w14:textId="77777777" w:rsidR="00BD62BF" w:rsidRPr="00A45877" w:rsidRDefault="00BD62BF" w:rsidP="00BD62BF">
      <w:pPr>
        <w:pStyle w:val="NormalHanging12a"/>
      </w:pPr>
      <w:r w:rsidRPr="00A45877">
        <w:t>D.</w:t>
      </w:r>
      <w:r w:rsidRPr="00A45877">
        <w:tab/>
        <w:t xml:space="preserve">mając na uwadze, że zależność UE od Chin w zakresie surowców krytycznych stale rośnie lub w najlepszym razie niezmiennie utrzymuje się na wysokim poziomie; mając na uwadze, że światowy łańcuch dostaw metali ziem rzadkich jest silnie skoncentrowany w Chinach, które kontrolują około 75 % wydobycia i 85 % zdolności przetwórczych, a w przypadku niektórych metali ziem rzadkich, takich jak terb, itr i dysproz – ponad 95 %; mając na uwadze, że UE w dalszym ciągu jest w zbyt dużym stopniu uzależniona od państw spoza UE w zakresie dostaw surowców krytycznych, a jeżeli chodzi o dostawy ciężkich metali ziem rzadkich, jest prawie całkowicie uzależniona od Chin; mając na uwadze, że przywóz z Chin pokrywa w UE 98 % </w:t>
      </w:r>
      <w:r w:rsidRPr="00A45877">
        <w:lastRenderedPageBreak/>
        <w:t>zapotrzebowania na magnesy trwałe i 92 % zapotrzebowania na magnesy neodymowe (</w:t>
      </w:r>
      <w:proofErr w:type="spellStart"/>
      <w:r w:rsidRPr="00A45877">
        <w:t>NdFeB</w:t>
      </w:r>
      <w:proofErr w:type="spellEnd"/>
      <w:r w:rsidRPr="00A45877">
        <w:t>);</w:t>
      </w:r>
    </w:p>
    <w:p w14:paraId="52EFE6BA" w14:textId="77777777" w:rsidR="00BD62BF" w:rsidRPr="00A45877" w:rsidRDefault="00BD62BF" w:rsidP="00BD62BF">
      <w:pPr>
        <w:pStyle w:val="NormalHanging12a"/>
        <w:rPr>
          <w:rFonts w:eastAsia="Calibri"/>
        </w:rPr>
      </w:pPr>
      <w:r w:rsidRPr="00A45877">
        <w:t>E.</w:t>
      </w:r>
      <w:r w:rsidRPr="00A45877">
        <w:tab/>
        <w:t>mając na uwadze, że Chiny znacznie rozbudowały swoją dominującą pozycję w światowym wydobyciu, przetwarzaniu i rafinacji surowców krytycznych i produktów pośrednich, doprowadzając w ten sposób do powstania strategicznych zależności w kluczowych łańcuchach wartości, które to zależności są niekiedy celowo wykorzystywane poprzez stosowanie restrykcyjnych środków handlowych; mając na uwadze, że po raz pierwszy Chiny ograniczyły wywóz metali ziem rzadkich w 2010 r. w związku ze sporem terytorialnym z Japonią, a Organ Apelacyjny uznał to ograniczenie za niezgodne z zasadami WTO; mając na uwadze, że Chiny w znacznym stopniu ograniczają również wywóz surowców mineralnych sklasyfikowanych przez UE jako strategiczne lub krytyczne, w tym galu i germanu od 1 sierpnia 2023 r., grafitu od grudnia 2023 r., produktów antymonowych od 15 września 2024 r., wolframu i bizmutu od 4 lutego 2025 r. i skandu od 17 kwietnia 2025 r.;</w:t>
      </w:r>
    </w:p>
    <w:p w14:paraId="58733F77" w14:textId="77777777" w:rsidR="00BD62BF" w:rsidRPr="00A45877" w:rsidRDefault="00BD62BF" w:rsidP="00BD62BF">
      <w:pPr>
        <w:pStyle w:val="NormalHanging12a"/>
      </w:pPr>
      <w:r w:rsidRPr="00A45877">
        <w:t>F.</w:t>
      </w:r>
      <w:r w:rsidRPr="00A45877">
        <w:tab/>
        <w:t>mając na uwadze, że wdrożenie tych ograniczeń wywozowych już zaczęło powodować poważne zakłócenia w przemyśle unijnym, w tym również w przemyśle motoryzacyjnym, gdzie w maju 2025 r. tymczasowo zamknięto aż 17 linii montażowych; mając na uwadze, że zakłócenia mogą wystąpić w wielu różnych sektorach, takich jak opieka zdrowotna, przemysł kosmiczny i obronny (tutaj m.in. samoloty myśliwskie, fregaty, drony i systemy broni precyzyjnego rażenia), turbiny wiatrowe i baterie oraz szeroko rozumiana transformacja ekologiczna i cyfrowa;</w:t>
      </w:r>
    </w:p>
    <w:p w14:paraId="5856A686" w14:textId="77777777" w:rsidR="00BD62BF" w:rsidRPr="00A45877" w:rsidRDefault="00BD62BF" w:rsidP="00BD62BF">
      <w:pPr>
        <w:pStyle w:val="NormalHanging12a"/>
        <w:rPr>
          <w:rFonts w:eastAsia="Calibri"/>
        </w:rPr>
      </w:pPr>
      <w:r w:rsidRPr="00A45877">
        <w:t>G.</w:t>
      </w:r>
      <w:r w:rsidRPr="00A45877">
        <w:tab/>
        <w:t>mając na uwadze, że chińska procedura wydawania zezwoleń wymaga od wnioskodawców ujawniania władzom chińskim informacji szczególnie chronionych, co stanowi naruszenie tajemnicy handlowej; mając na uwadze, że zaktualizowane chińskie ramy kontroli wywozu z grudnia 2024 r. dają chińskiemu Ministerstwu Handlu, Radzie Państwa i Centralnej Komisji Wojskowej większą swobodę decyzyjną w zakresie objęcia kontrolą wywozu produktów, które nie zostały formalnie wymienione jako produkty podwójnego zastosowania; mając na uwadze, że te nowe przepisy obejmują środki o zastosowaniu eksterytorialnym;</w:t>
      </w:r>
    </w:p>
    <w:p w14:paraId="0F3F4AE9" w14:textId="77777777" w:rsidR="00BD62BF" w:rsidRPr="00A45877" w:rsidRDefault="00BD62BF" w:rsidP="00BD62BF">
      <w:pPr>
        <w:pStyle w:val="NormalHanging12a"/>
        <w:rPr>
          <w:rFonts w:eastAsia="Calibri"/>
        </w:rPr>
      </w:pPr>
      <w:r w:rsidRPr="00A45877">
        <w:t>H.</w:t>
      </w:r>
      <w:r w:rsidRPr="00A45877">
        <w:tab/>
        <w:t>mając na uwadze, że UE stosuje kontrole wywozu niektórych rodzajów materiałów krytycznych i zaawansowanych, ale kontrole te wyraźnie koncentrują się na rodzajach materiałów, są zgodne z dokładnymi parametrami technicznymi dotyczącymi ich użycia w konkretnych zastosowaniach wojskowych, nie wpływają na handel produktami niewrażliwymi i stanowią jedynie niewielką część całkowitego wywozu tych materiałów;</w:t>
      </w:r>
    </w:p>
    <w:p w14:paraId="0A297329" w14:textId="77777777" w:rsidR="00BD62BF" w:rsidRPr="00A45877" w:rsidRDefault="00BD62BF" w:rsidP="00BD62BF">
      <w:pPr>
        <w:pStyle w:val="NormalHanging12a"/>
        <w:rPr>
          <w:rFonts w:eastAsia="Calibri"/>
        </w:rPr>
      </w:pPr>
      <w:r w:rsidRPr="00A45877">
        <w:t>I.</w:t>
      </w:r>
      <w:r w:rsidRPr="00A45877">
        <w:tab/>
        <w:t xml:space="preserve">mając na uwadze, że Chiny celowo realizują strategię sprzedawania po cenach niższych niż ceny na światowych rynkach, a jednocześnie nie otwierają swojego rynku krajowego, co zasadniczo jest korzystne dla przedsiębiorstw państwowych, i łączą tę strategię z programami olbrzymich subsydiów, co prowadzi do znacznych zakłóceń globalnej konkurencji i grozi zniweczeniem ostatnich wysiłków UE i państw członkowskich na rzecz utrzymania płynności finansowej w działających jeszcze unijnych sektorach wydobywczych; </w:t>
      </w:r>
    </w:p>
    <w:p w14:paraId="7333AD4E" w14:textId="77777777" w:rsidR="00BD62BF" w:rsidRPr="00A45877" w:rsidRDefault="00BD62BF" w:rsidP="00BD62BF">
      <w:pPr>
        <w:pStyle w:val="NormalHanging12a"/>
      </w:pPr>
      <w:r w:rsidRPr="00A45877">
        <w:t>J.</w:t>
      </w:r>
      <w:r w:rsidRPr="00A45877">
        <w:tab/>
        <w:t xml:space="preserve">mając na uwadze, że w kwietniu 2024 r. UE przyjęła akt w sprawie surowców krytycznych, który ma być punktem wyjścia, jeśli chodzi o wysiłki na rzecz zwiększenia odporności i autonomii dostaw surowców krytycznych i surowców </w:t>
      </w:r>
      <w:r w:rsidRPr="00A45877">
        <w:lastRenderedPageBreak/>
        <w:t>strategicznych do UE; mając na uwadze, że w akcie w sprawie surowców krytycznych uwzględniono zarówno stronę podaży, jak i popytu, w tym poprzez cele produkcyjne, efektywne gospodarowanie zasobami w celu ograniczenia zużycia oraz poprzez zastępowanie surowców strategicznych; mając na uwadze, że obieg zamknięty jest centralnym elementem europejskiego aktu w sprawie surowców krytycznych i ma na celu zaspokojenie 25 % zapotrzebowania Unii na surowce strategiczne przez recykling do 2030 r. oraz poddawanie recyklingowi znacznie większych ilości każdego surowca strategicznego z odpadów, w tym również z myślą o produkcji magnesów trwałych;</w:t>
      </w:r>
    </w:p>
    <w:p w14:paraId="208C7922" w14:textId="77777777" w:rsidR="00BD62BF" w:rsidRPr="00A45877" w:rsidRDefault="00BD62BF" w:rsidP="00BD62BF">
      <w:pPr>
        <w:pStyle w:val="NormalHanging12a"/>
        <w:rPr>
          <w:bCs/>
        </w:rPr>
      </w:pPr>
      <w:r w:rsidRPr="00A45877">
        <w:t>K.</w:t>
      </w:r>
      <w:r w:rsidRPr="00A45877">
        <w:tab/>
        <w:t>mając na uwadze, że zbliżający się szczyt UE–Chiny będzie okazją do zaangażowania się w dialog, a także do kontynuowania zdecydowanego sprzeciwu wobec środków przymusu;</w:t>
      </w:r>
    </w:p>
    <w:p w14:paraId="480FC120" w14:textId="77777777" w:rsidR="00BD62BF" w:rsidRPr="00A45877" w:rsidRDefault="00BD62BF" w:rsidP="00BD62BF">
      <w:pPr>
        <w:pStyle w:val="NormalHanging12a"/>
      </w:pPr>
      <w:r w:rsidRPr="00A45877">
        <w:t>L.</w:t>
      </w:r>
      <w:r w:rsidRPr="00A45877">
        <w:tab/>
        <w:t>mając na uwadze, że Chiny nadal stosują sankcje wobec byłego posła do PE, posłów do parlamentów państw członkowskich i europejskich ośrodków analitycznych;</w:t>
      </w:r>
    </w:p>
    <w:p w14:paraId="1F70D62C" w14:textId="77777777" w:rsidR="00BD62BF" w:rsidRPr="00A45877" w:rsidRDefault="00BD62BF" w:rsidP="00BD62BF">
      <w:pPr>
        <w:pStyle w:val="NormalHanging12a"/>
      </w:pPr>
      <w:r w:rsidRPr="00A45877">
        <w:t>1.</w:t>
      </w:r>
      <w:r w:rsidRPr="00A45877">
        <w:tab/>
        <w:t>zdecydowanie potępia decyzję Chin o wprowadzeniu ograniczeń w wywozie metali ziem rzadkich, co wstrzymało wywóz i znacznie zakłóciło kluczowe łańcuchy dostaw dla producentów w sektorze motoryzacji i w dziedzinie obronności, przedsiębiorstw zajmujących się półprzewodnikami, zielonych technologii, zastosowań opieki zdrowotnej i wielu innych sektorów w UE i na całym świecie; uważa, że działania Chin są nieuzasadnione i mają charakter środków przymusu, gdyż opierają się na ogromnym wpływie wynikającym z quasi-monopolistycznej pozycji tego kraju na rynku światowym;</w:t>
      </w:r>
    </w:p>
    <w:p w14:paraId="46D51EE4" w14:textId="77777777" w:rsidR="00BD62BF" w:rsidRPr="00A45877" w:rsidRDefault="00BD62BF" w:rsidP="00BD62BF">
      <w:pPr>
        <w:pStyle w:val="NormalHanging12a"/>
      </w:pPr>
      <w:r w:rsidRPr="00A45877">
        <w:t>2.</w:t>
      </w:r>
      <w:r w:rsidRPr="00A45877">
        <w:tab/>
      </w:r>
      <w:bookmarkStart w:id="7" w:name="_Hlk202535774"/>
      <w:r w:rsidRPr="00A45877">
        <w:t>uważa, że Chiny wykorzystują ograniczenia wywozowe do wzmocnienia swojej pozycji negocjacyjnej; podkreśla, że UE musi zdecydowanie odrzucić wszelkie próby wykorzystywania tych ograniczeń przez Chiny do wymuszenia ustępstw w odniesieniu do innych utrzymujących się barier handlowych, i uważa, że wszelkie ustępstwa wobec Chin w tym zakresie osłabiłyby zdolność UE do ochrony przed obecnymi i przyszłymi środkami przymusu;</w:t>
      </w:r>
      <w:bookmarkEnd w:id="7"/>
    </w:p>
    <w:p w14:paraId="790EE08C" w14:textId="77777777" w:rsidR="00BD62BF" w:rsidRPr="00A45877" w:rsidRDefault="00BD62BF" w:rsidP="00BD62BF">
      <w:pPr>
        <w:pStyle w:val="NormalHanging12a"/>
      </w:pPr>
      <w:r w:rsidRPr="00A45877">
        <w:t>3.</w:t>
      </w:r>
      <w:r w:rsidRPr="00A45877">
        <w:tab/>
      </w:r>
      <w:bookmarkStart w:id="8" w:name="_Hlk202907727"/>
      <w:r w:rsidRPr="00A45877">
        <w:t xml:space="preserve">podkreśla, jak ważne jest, by na nadchodzącym szczycie UE–Chiny wyrazić zaniepokojenie chińskimi ograniczeniami w wywozie metali ziem rzadkich oraz szerszymi skutkami tych ograniczeń dla globalnych łańcuchów dostaw; jest przekonany, że kontrole wywozu powinny być częścią wielostronnego podejścia opracowanego, aby chronić bezpieczeństwo międzynarodowe i zapewnić równe warunki działania na całym świecie; nalega, aby jednostronne kontrole były ograniczone do kontroli absolutnie koniecznych ze względów bezpieczeństwa narodowego, a ich zasady były przejrzyste i jasno określone, w związku z czym podkreśla, że działania Chin są sprzeczne z wielostronnymi zasadami i praktykami, </w:t>
      </w:r>
      <w:bookmarkStart w:id="9" w:name="_Hlk202909856"/>
      <w:r w:rsidRPr="00A45877">
        <w:t>oraz wzywa Komisję i państwa członkowskie, aby przyjęły zdecydowane i jednolite stanowisko, współpracowały z Chinami, aby znaleźć rozwiązanie strukturalne oraz kontynuowały dialog z Chinami w tym zakresie</w:t>
      </w:r>
      <w:bookmarkEnd w:id="9"/>
      <w:r w:rsidRPr="00A45877">
        <w:t>;</w:t>
      </w:r>
      <w:bookmarkEnd w:id="8"/>
    </w:p>
    <w:p w14:paraId="4AC96540" w14:textId="77777777" w:rsidR="00BD62BF" w:rsidRPr="00A45877" w:rsidRDefault="00BD62BF" w:rsidP="00BD62BF">
      <w:pPr>
        <w:pStyle w:val="NormalHanging12a"/>
      </w:pPr>
      <w:r w:rsidRPr="00A45877">
        <w:t>4.</w:t>
      </w:r>
      <w:r w:rsidRPr="00A45877">
        <w:tab/>
        <w:t>apeluje do władz chińskich, aby podjęły konkretne działania następcze w związku z ich propozycją oraz by całkowicie zniosły ograniczenia w wywozie; w międzyczasie odnotowuje niedawną propozycję władz chińskich dotyczącą ustanowienia tzw. uprzywilejowanych korytarzy mających na celu uproszczenie procedur dla przedsiębiorstw europejskich;</w:t>
      </w:r>
    </w:p>
    <w:p w14:paraId="2B3E34F9" w14:textId="77777777" w:rsidR="00BD62BF" w:rsidRPr="00A45877" w:rsidRDefault="00BD62BF" w:rsidP="00BD62BF">
      <w:pPr>
        <w:pStyle w:val="NormalHanging12a"/>
      </w:pPr>
      <w:r w:rsidRPr="00A45877">
        <w:lastRenderedPageBreak/>
        <w:t>5.</w:t>
      </w:r>
      <w:r w:rsidRPr="00A45877">
        <w:tab/>
      </w:r>
      <w:bookmarkStart w:id="10" w:name="_Hlk202909943"/>
      <w:r w:rsidRPr="00A45877">
        <w:t>podkreśla, że UE musi pilnie umocnić swoje strategiczne wpływy i w jeszcze większym stopniu być niezastąpiona poprzez rozpoznanie, uruchomienie i wzmocnienie obszarów, w których ma istotną przewagę nad Chinami w zakresie podstawowych towarów i technologii, w celu wzmocnienia strategicznej autonomii UE, lub poprzez ograniczenie dostępu do rynku wewnętrznego UE dla chińskich dostawców wysokiego ryzyka zgodnie z unijnym i międzynarodowym prawem handlowym;</w:t>
      </w:r>
      <w:bookmarkEnd w:id="10"/>
    </w:p>
    <w:p w14:paraId="0C82FD71" w14:textId="77777777" w:rsidR="00BD62BF" w:rsidRPr="00A45877" w:rsidRDefault="00BD62BF" w:rsidP="00BD62BF">
      <w:pPr>
        <w:pStyle w:val="NormalHanging12a"/>
      </w:pPr>
      <w:r w:rsidRPr="00A45877">
        <w:t>6.</w:t>
      </w:r>
      <w:r w:rsidRPr="00A45877">
        <w:tab/>
        <w:t>uważa działania Chin za nieuzasadnione wykorzystywanie linii dostaw surowców krytycznych jako broni, co czyni ten kraj niewiarygodnym źródłem dostaw dla sektorów krytycznych oraz zagrożeniem dla interesów gospodarczych i podstawowych interesów bezpieczeństwa UE;</w:t>
      </w:r>
    </w:p>
    <w:p w14:paraId="18418862" w14:textId="77777777" w:rsidR="00BD62BF" w:rsidRPr="00A45877" w:rsidRDefault="00BD62BF" w:rsidP="00BD62BF">
      <w:pPr>
        <w:pStyle w:val="NormalHanging12a"/>
      </w:pPr>
      <w:r w:rsidRPr="00A45877">
        <w:t>7.</w:t>
      </w:r>
      <w:r w:rsidRPr="00A45877">
        <w:tab/>
        <w:t>wyraża głębokie zaniepokojenie wymogami nałożonymi przez władze chińskie, zgodnie z którymi wnioskodawcy muszą ujawniać dane szczególnie chronione przy ubieganiu się o zezwolenia na wywóz, oraz związanym z tym znacznym ryzykiem wycieków technologii dotyczącym łańcucha wartości bazy przemysłowo-obronnej, a także tajemnic bezpieczeństwa narodowego, podkreślając, że może to zostać wykorzystane jako środek przymusu w przyszłości; uważa, że Komisja i państwa członkowskie powinny oceniać i ograniczać wpływ takiego przekazywania danych na bezpieczeństwo zgodnie z europejską strategią bezpieczeństwa gospodarczego;</w:t>
      </w:r>
    </w:p>
    <w:p w14:paraId="2519D126" w14:textId="77777777" w:rsidR="00BD62BF" w:rsidRPr="00A45877" w:rsidRDefault="00BD62BF" w:rsidP="00BD62BF">
      <w:pPr>
        <w:pStyle w:val="NormalHanging12a"/>
        <w:rPr>
          <w:bCs/>
        </w:rPr>
      </w:pPr>
      <w:r w:rsidRPr="00A45877">
        <w:t>8.</w:t>
      </w:r>
      <w:r w:rsidRPr="00A45877">
        <w:tab/>
        <w:t>apeluje do Komisji i państw członkowskich, aby przyspieszyły wdrażanie aktu w sprawie surowców krytycznych; podkreśla ważną rolę Europejskiej Rady ds. Surowców i jej podgrup w szybkim i skutecznym wdrażaniu aktu w sprawie surowców krytycznych; przypomina o jasnych i ambitnych celach wyznaczonych, by wzmocnić zdolność UE do pozyskiwania, przetwarzania i recyklingu surowców krytycznych w UE do 2030 r.; zwraca uwagę na wybór pierwszych 60 projektów strategicznych w ramach aktu w sprawie surowców krytycznych;</w:t>
      </w:r>
    </w:p>
    <w:p w14:paraId="6A796576" w14:textId="77777777" w:rsidR="00BD62BF" w:rsidRPr="00A45877" w:rsidRDefault="00BD62BF" w:rsidP="00BD62BF">
      <w:pPr>
        <w:pStyle w:val="NormalHanging12a"/>
        <w:rPr>
          <w:bCs/>
        </w:rPr>
      </w:pPr>
      <w:r w:rsidRPr="00A45877">
        <w:t>9.</w:t>
      </w:r>
      <w:r w:rsidRPr="00A45877">
        <w:tab/>
        <w:t>ubolewa, że na akt w sprawie surowców krytycznych nie przeznaczono specjalnego budżetu UE, mimo że główną trudnością był brak odpowiedniego finansowania; podkreśla, że trzeba pilnie zagwarantować środki na strategiczne projekty zatwierdzone na mocy aktu w sprawie surowców krytycznych oraz na inne projekty mające na celu poprawę w zakresie wydobycia, rafinacji, przetwarzania i recyklingu, które przyczyniają się do zmniejszenia ryzyka związanego z Chinami i do osiągnięcia wskaźników referencyjnych określonych w akcie w sprawie surowców krytycznych; apeluje do Komisji, aby dalej wspierała na szczeblu UE dywersyfikację dostaw energii ziem rzadkich i surowców krytycznych oraz by zagwarantowała, że przyszłe wieloletnie ramy finansowe będą obejmowały linię budżetową na wsparcie inwestycji w wydobycie, przetwarzanie, gospodarkę o obiegu zamkniętym, badania naukowe i innowacje, w tym na zastąpienie surowców krytycznych;</w:t>
      </w:r>
    </w:p>
    <w:p w14:paraId="4E3644B8" w14:textId="77777777" w:rsidR="00BD62BF" w:rsidRPr="00A45877" w:rsidRDefault="00BD62BF" w:rsidP="00BD62BF">
      <w:pPr>
        <w:pStyle w:val="NormalHanging12a"/>
      </w:pPr>
      <w:r w:rsidRPr="00A45877">
        <w:t>10.</w:t>
      </w:r>
      <w:r w:rsidRPr="00A45877">
        <w:tab/>
        <w:t>podkreśla potrzebę prowadzenia przez UE działalności wydobywczej na swoim terytorium i przywrócenia zdolności przetwórczych; podkreśla, że zwiększenie efektywności wykorzystania zasobów dzięki innowacjom technologicznym jest jednym z celów aktu w sprawie surowców krytycznych; podkreśla potencjał recyklingu i górnictwa miejskiego w łagodzeniu skutków ograniczeń dostaw w perspektywie krótkoterminowej i zwraca się do Komisji o podjęcie natychmiastowych działań w celu zwiększenia efektywności pozyskiwania metali ziem rzadkich i zatrzymywania ich na rynku wewnętrznym;</w:t>
      </w:r>
    </w:p>
    <w:p w14:paraId="12F7336B" w14:textId="77777777" w:rsidR="00BD62BF" w:rsidRPr="00A45877" w:rsidRDefault="00BD62BF" w:rsidP="00BD62BF">
      <w:pPr>
        <w:pStyle w:val="NormalHanging12a"/>
      </w:pPr>
      <w:r w:rsidRPr="00A45877">
        <w:lastRenderedPageBreak/>
        <w:t>11.</w:t>
      </w:r>
      <w:r w:rsidRPr="00A45877">
        <w:tab/>
        <w:t>podkreśla potrzebę realizacji długoterminowej strategii biznesowej i zapewnienia rentowności inwestycji w łańcuchy wartości surowców krytycznych, w tym poprzez wsparcie finansowe, takie jak ceny minimalne, wsparcie zbytu lub strategiczne gromadzenie zapasów; apeluje do państw członkowskich, aby wymagały od dużych przedsiębiorstw produkujących technologie w sektorach strategicznych regularnego i właściwego wdrażania środków gotowości na wypadek zagrożeń oraz środków mających na celu ograniczenie niedoborów dostaw, w tym gromadzenia zapasów;</w:t>
      </w:r>
    </w:p>
    <w:p w14:paraId="307C4AEA" w14:textId="77777777" w:rsidR="00BD62BF" w:rsidRPr="00A45877" w:rsidRDefault="00BD62BF" w:rsidP="00BD62BF">
      <w:pPr>
        <w:pStyle w:val="NormalHanging12a"/>
      </w:pPr>
      <w:r w:rsidRPr="00A45877">
        <w:t>12.</w:t>
      </w:r>
      <w:r w:rsidRPr="00A45877">
        <w:tab/>
        <w:t>apeluje do Komisji, by wraz z państwami członkowskimi oceniła minimalny poziom strategicznych zapasów metali ziem rzadkich sklasyfikowanych jako surowce strategiczne (neodym, prazeodym, terb, dysproz, gadolin, samar i cer) oraz odpowiadające im zastosowania końcowe, w tym te związane z przemysłem obronnym;</w:t>
      </w:r>
    </w:p>
    <w:p w14:paraId="2B52D1F2" w14:textId="77777777" w:rsidR="00BD62BF" w:rsidRPr="00A45877" w:rsidRDefault="00BD62BF" w:rsidP="00BD62BF">
      <w:pPr>
        <w:pStyle w:val="NormalHanging12a"/>
      </w:pPr>
      <w:r w:rsidRPr="00A45877">
        <w:t>13.</w:t>
      </w:r>
      <w:r w:rsidRPr="00A45877">
        <w:tab/>
        <w:t>wzywa ponadto do większego zaangażowania w zawieranie partnerstw na rzecz czystego handlu i inwestycji oraz dwustronnych partnerstw strategicznych w zakresie surowców, opartych na zasadzie wzajemnych korzyści i spełniających wysokie standardy w zakresie zrównoważonego rozwoju i praw człowieka; podkreśla potrzebę zawarcia wiążących porozumień w sprawie surowców krytycznych, aby zapewnić długoterminowe bezpieczeństwo dostaw dla UE i większą przejrzystość oraz zadbać o to, by Parlament miał uprawnienia kontrolne; podkreśla znaczenie umów o wolnym handlu i inicjatywy Global Gateway dla zwiększenia dostępu do surowców krytycznych;</w:t>
      </w:r>
    </w:p>
    <w:p w14:paraId="234CE9B6" w14:textId="77777777" w:rsidR="00BD62BF" w:rsidRPr="00A45877" w:rsidRDefault="00BD62BF" w:rsidP="00BD62BF">
      <w:pPr>
        <w:pStyle w:val="NormalHanging12a"/>
        <w:rPr>
          <w:bCs/>
        </w:rPr>
      </w:pPr>
      <w:r w:rsidRPr="00A45877">
        <w:t>14.</w:t>
      </w:r>
      <w:r w:rsidRPr="00A45877">
        <w:tab/>
        <w:t>zachęca do stosowania klauzul pierwszeństwa w odniesieniu do metali ziem rzadkich pozyskiwanych od dostawców z UE i zaufanych partnerów w odpowiednich przepisach dotyczących zamówień publicznych; wzywa do większej koordynacji z partnerami międzynarodowymi o podobnych poglądach, w szczególności w ramach G-7 i NATO, oraz z japońską Organizacją ds. Metali i Bezpieczeństwa Energetycznego, aby usprawnić transfer wiedzy, dostosować standardy bezpieczeństwa łańcucha dostaw, wspólne inwestycje i strategie gromadzenia zapasów oraz opracować normy dla wiarygodnych dostawców dla strategicznych sektorów i projektów;</w:t>
      </w:r>
    </w:p>
    <w:p w14:paraId="58AEB8D1" w14:textId="6C1F4970" w:rsidR="00A45877" w:rsidRPr="00A45877" w:rsidRDefault="00BD62BF" w:rsidP="00A45877">
      <w:pPr>
        <w:pStyle w:val="NormalHanging12a"/>
      </w:pPr>
      <w:r w:rsidRPr="00A45877">
        <w:t>15.</w:t>
      </w:r>
      <w:r w:rsidRPr="00A45877">
        <w:tab/>
        <w:t>zobowiązuje swoją przewodniczącą do przekazania niniejszej rezolucji Radzie, Komisji, wiceprzewodniczącej Komisji / wysokiej przedstawiciel Unii do spraw zagranicznych i polityki bezpieczeństwa, rządom i parlamentom państw członkowskich oraz rządowi i parlamentowi Chińskiej Republiki Ludowej.</w:t>
      </w:r>
    </w:p>
    <w:p w14:paraId="265190B5" w14:textId="396340DF" w:rsidR="00E365E1" w:rsidRPr="00A45877" w:rsidRDefault="00E365E1" w:rsidP="00356812"/>
    <w:sectPr w:rsidR="00E365E1" w:rsidRPr="00A45877" w:rsidSect="00A458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3B7513" w14:textId="77777777" w:rsidR="00356812" w:rsidRPr="00A45877" w:rsidRDefault="00356812">
      <w:r w:rsidRPr="00A45877">
        <w:separator/>
      </w:r>
    </w:p>
  </w:endnote>
  <w:endnote w:type="continuationSeparator" w:id="0">
    <w:p w14:paraId="52C00DAC" w14:textId="77777777" w:rsidR="00356812" w:rsidRPr="00A45877" w:rsidRDefault="00356812">
      <w:r w:rsidRPr="00A458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549FB" w14:textId="77777777" w:rsidR="00064002" w:rsidRPr="00A458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506E2" w14:textId="77777777" w:rsidR="00064002" w:rsidRPr="00A458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DB58E" w14:textId="77777777" w:rsidR="00064002" w:rsidRPr="00A458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93043" w14:textId="77777777" w:rsidR="00356812" w:rsidRPr="00A45877" w:rsidRDefault="00356812">
      <w:r w:rsidRPr="00A45877">
        <w:separator/>
      </w:r>
    </w:p>
  </w:footnote>
  <w:footnote w:type="continuationSeparator" w:id="0">
    <w:p w14:paraId="0ABD23B3" w14:textId="77777777" w:rsidR="00356812" w:rsidRPr="00A45877" w:rsidRDefault="00356812">
      <w:r w:rsidRPr="00A45877">
        <w:continuationSeparator/>
      </w:r>
    </w:p>
  </w:footnote>
  <w:footnote w:id="1">
    <w:p w14:paraId="71B20FF2" w14:textId="7ECBC627" w:rsidR="00BD62BF" w:rsidRPr="00560F26" w:rsidRDefault="00BD62BF" w:rsidP="00A45877">
      <w:pPr>
        <w:pStyle w:val="FootnoteText"/>
        <w:ind w:left="567" w:hanging="567"/>
        <w:rPr>
          <w:sz w:val="24"/>
          <w:lang w:val="fi-FI"/>
        </w:rPr>
      </w:pPr>
      <w:r w:rsidRPr="00A45877">
        <w:rPr>
          <w:rStyle w:val="FootnoteReference"/>
          <w:sz w:val="24"/>
          <w:lang w:val="pl-PL"/>
        </w:rPr>
        <w:footnoteRef/>
      </w:r>
      <w:r w:rsidR="00A45877" w:rsidRPr="00560F26">
        <w:rPr>
          <w:sz w:val="24"/>
          <w:lang w:val="fi-FI"/>
        </w:rPr>
        <w:t xml:space="preserve"> </w:t>
      </w:r>
      <w:r w:rsidR="00A45877" w:rsidRPr="00560F26">
        <w:rPr>
          <w:sz w:val="24"/>
          <w:lang w:val="fi-FI"/>
        </w:rPr>
        <w:tab/>
      </w:r>
      <w:r w:rsidRPr="00560F26">
        <w:rPr>
          <w:sz w:val="24"/>
          <w:lang w:val="fi-FI"/>
        </w:rPr>
        <w:t>Dz.U. L, 2024/1252, 3.5.2024, ELI: http://data.europa.eu/eli/reg/2024/1252/oj.</w:t>
      </w:r>
    </w:p>
  </w:footnote>
  <w:footnote w:id="2">
    <w:p w14:paraId="571ABB89" w14:textId="74F3CA7B" w:rsidR="00BD62BF" w:rsidRPr="00560F26" w:rsidRDefault="00BD62BF" w:rsidP="00A45877">
      <w:pPr>
        <w:pStyle w:val="FootnoteText"/>
        <w:ind w:left="567" w:hanging="567"/>
        <w:rPr>
          <w:sz w:val="24"/>
          <w:lang w:val="fi-FI"/>
        </w:rPr>
      </w:pPr>
      <w:r w:rsidRPr="00A45877">
        <w:rPr>
          <w:rStyle w:val="FootnoteReference"/>
          <w:sz w:val="24"/>
          <w:lang w:val="pl-PL"/>
        </w:rPr>
        <w:footnoteRef/>
      </w:r>
      <w:r w:rsidR="00A45877" w:rsidRPr="00560F26">
        <w:rPr>
          <w:sz w:val="24"/>
          <w:lang w:val="fi-FI"/>
        </w:rPr>
        <w:t xml:space="preserve"> </w:t>
      </w:r>
      <w:r w:rsidR="00A45877" w:rsidRPr="00560F26">
        <w:rPr>
          <w:sz w:val="24"/>
          <w:lang w:val="fi-FI"/>
        </w:rPr>
        <w:tab/>
      </w:r>
      <w:r w:rsidRPr="00560F26">
        <w:rPr>
          <w:sz w:val="24"/>
          <w:lang w:val="fi-FI"/>
        </w:rPr>
        <w:t>Dz.U. L, 2024/1735, 28.6.2024, ELI: http://data.europa.eu/eli/reg/2024/1735/oj.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59F26" w14:textId="77777777" w:rsidR="00064002" w:rsidRPr="00A458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8A36E" w14:textId="77777777" w:rsidR="00064002" w:rsidRPr="00A458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22178" w14:textId="77777777" w:rsidR="00064002" w:rsidRPr="00A458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3173001">
    <w:abstractNumId w:val="9"/>
  </w:num>
  <w:num w:numId="2" w16cid:durableId="437482232">
    <w:abstractNumId w:val="9"/>
  </w:num>
  <w:num w:numId="3" w16cid:durableId="649481306">
    <w:abstractNumId w:val="7"/>
  </w:num>
  <w:num w:numId="4" w16cid:durableId="126434278">
    <w:abstractNumId w:val="7"/>
  </w:num>
  <w:num w:numId="5" w16cid:durableId="171843969">
    <w:abstractNumId w:val="6"/>
  </w:num>
  <w:num w:numId="6" w16cid:durableId="1421946064">
    <w:abstractNumId w:val="6"/>
  </w:num>
  <w:num w:numId="7" w16cid:durableId="761416467">
    <w:abstractNumId w:val="5"/>
  </w:num>
  <w:num w:numId="8" w16cid:durableId="1887637768">
    <w:abstractNumId w:val="5"/>
  </w:num>
  <w:num w:numId="9" w16cid:durableId="822963940">
    <w:abstractNumId w:val="4"/>
  </w:num>
  <w:num w:numId="10" w16cid:durableId="445852789">
    <w:abstractNumId w:val="4"/>
  </w:num>
  <w:num w:numId="11" w16cid:durableId="511191536">
    <w:abstractNumId w:val="8"/>
  </w:num>
  <w:num w:numId="12" w16cid:durableId="1656494567">
    <w:abstractNumId w:val="8"/>
  </w:num>
  <w:num w:numId="13" w16cid:durableId="53431464">
    <w:abstractNumId w:val="3"/>
  </w:num>
  <w:num w:numId="14" w16cid:durableId="1895506531">
    <w:abstractNumId w:val="3"/>
  </w:num>
  <w:num w:numId="15" w16cid:durableId="175922980">
    <w:abstractNumId w:val="2"/>
  </w:num>
  <w:num w:numId="16" w16cid:durableId="730272283">
    <w:abstractNumId w:val="2"/>
  </w:num>
  <w:num w:numId="17" w16cid:durableId="268243526">
    <w:abstractNumId w:val="1"/>
  </w:num>
  <w:num w:numId="18" w16cid:durableId="323314906">
    <w:abstractNumId w:val="1"/>
  </w:num>
  <w:num w:numId="19" w16cid:durableId="67003788">
    <w:abstractNumId w:val="0"/>
  </w:num>
  <w:num w:numId="20" w16cid:durableId="190798940">
    <w:abstractNumId w:val="0"/>
  </w:num>
  <w:num w:numId="21" w16cid:durableId="735855531">
    <w:abstractNumId w:val="9"/>
  </w:num>
  <w:num w:numId="22" w16cid:durableId="929123942">
    <w:abstractNumId w:val="7"/>
  </w:num>
  <w:num w:numId="23" w16cid:durableId="1489976224">
    <w:abstractNumId w:val="6"/>
  </w:num>
  <w:num w:numId="24" w16cid:durableId="1796175067">
    <w:abstractNumId w:val="5"/>
  </w:num>
  <w:num w:numId="25" w16cid:durableId="338507838">
    <w:abstractNumId w:val="4"/>
  </w:num>
  <w:num w:numId="26" w16cid:durableId="452098363">
    <w:abstractNumId w:val="8"/>
  </w:num>
  <w:num w:numId="27" w16cid:durableId="933827543">
    <w:abstractNumId w:val="3"/>
  </w:num>
  <w:num w:numId="28" w16cid:durableId="1542354157">
    <w:abstractNumId w:val="2"/>
  </w:num>
  <w:num w:numId="29" w16cid:durableId="1729650971">
    <w:abstractNumId w:val="1"/>
  </w:num>
  <w:num w:numId="30" w16cid:durableId="228082809">
    <w:abstractNumId w:val="0"/>
  </w:num>
  <w:num w:numId="31" w16cid:durableId="1855915766">
    <w:abstractNumId w:val="9"/>
  </w:num>
  <w:num w:numId="32" w16cid:durableId="273749538">
    <w:abstractNumId w:val="7"/>
  </w:num>
  <w:num w:numId="33" w16cid:durableId="1945765776">
    <w:abstractNumId w:val="6"/>
  </w:num>
  <w:num w:numId="34" w16cid:durableId="1503548820">
    <w:abstractNumId w:val="5"/>
  </w:num>
  <w:num w:numId="35" w16cid:durableId="841823203">
    <w:abstractNumId w:val="4"/>
  </w:num>
  <w:num w:numId="36" w16cid:durableId="2142266674">
    <w:abstractNumId w:val="8"/>
  </w:num>
  <w:num w:numId="37" w16cid:durableId="1529224234">
    <w:abstractNumId w:val="3"/>
  </w:num>
  <w:num w:numId="38" w16cid:durableId="1794591363">
    <w:abstractNumId w:val="2"/>
  </w:num>
  <w:num w:numId="39" w16cid:durableId="1239754906">
    <w:abstractNumId w:val="1"/>
  </w:num>
  <w:num w:numId="40" w16cid:durableId="1259170212">
    <w:abstractNumId w:val="0"/>
  </w:num>
  <w:num w:numId="41" w16cid:durableId="1050836895">
    <w:abstractNumId w:val="10"/>
  </w:num>
  <w:num w:numId="42" w16cid:durableId="1588266103">
    <w:abstractNumId w:val="10"/>
  </w:num>
  <w:num w:numId="43" w16cid:durableId="730888545">
    <w:abstractNumId w:val="10"/>
  </w:num>
  <w:num w:numId="44" w16cid:durableId="1547058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4/2025"/>
    <w:docVar w:name="dvlangue" w:val="PL"/>
    <w:docVar w:name="dvnumam" w:val="0"/>
    <w:docVar w:name="dvpe" w:val="774.020"/>
    <w:docVar w:name="dvtitre" w:val="Rezolucja Parlamentu Europejskiego z dnia  2025 r. w sprawie przeciwdziałania chińskim ograniczeniom w wywozie surowców krytycznych(2025/2800(RSP))"/>
  </w:docVars>
  <w:rsids>
    <w:rsidRoot w:val="0035681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6812"/>
    <w:rsid w:val="00361C00"/>
    <w:rsid w:val="00395FA1"/>
    <w:rsid w:val="003B1BD7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F26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0F5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877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62BF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969C86"/>
  <w15:chartTrackingRefBased/>
  <w15:docId w15:val="{7F6E5D0F-7F56-404B-A783-AC5CB18E5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D62B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D62B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D62BF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2267</Words>
  <Characters>14845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2025-07-10T10:50:00Z</dcterms:created>
  <dcterms:modified xsi:type="dcterms:W3CDTF">2025-07-10T10:50:00Z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B10-0324/2025</vt:lpwstr>
  </property>
  <property fmtid="{D5CDD505-2E9C-101B-9397-08002B2CF9AE}" pid="4" name="&lt;Type&gt;">
    <vt:lpwstr>RR</vt:lpwstr>
  </property>
</Properties>
</file>