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5C83" w14:paraId="766BB0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BF7170" w14:textId="77777777" w:rsidR="00751A4A" w:rsidRPr="00C15C83" w:rsidRDefault="006F124E" w:rsidP="0010095E">
            <w:pPr>
              <w:pStyle w:val="EPName"/>
            </w:pPr>
            <w:r w:rsidRPr="00C15C83">
              <w:t>Parlamento Europeu</w:t>
            </w:r>
          </w:p>
          <w:p w14:paraId="0F6F9F58" w14:textId="77777777" w:rsidR="00751A4A" w:rsidRPr="00C15C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5C83">
              <w:t>2024</w:t>
            </w:r>
            <w:r w:rsidR="00817416" w:rsidRPr="00C15C83">
              <w:t>-202</w:t>
            </w:r>
            <w:r w:rsidRPr="00C15C83">
              <w:t>9</w:t>
            </w:r>
          </w:p>
        </w:tc>
        <w:tc>
          <w:tcPr>
            <w:tcW w:w="2268" w:type="dxa"/>
            <w:shd w:val="clear" w:color="auto" w:fill="auto"/>
          </w:tcPr>
          <w:p w14:paraId="4840BBA6" w14:textId="77777777" w:rsidR="00751A4A" w:rsidRPr="00C15C83" w:rsidRDefault="00187494" w:rsidP="0010095E">
            <w:pPr>
              <w:pStyle w:val="EPLogo"/>
            </w:pPr>
            <w:r w:rsidRPr="00C15C83">
              <w:rPr>
                <w:noProof/>
                <w:lang w:val="en-GB"/>
              </w:rPr>
              <w:drawing>
                <wp:inline distT="0" distB="0" distL="0" distR="0" wp14:anchorId="6FE450D4" wp14:editId="24FDC3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E7571" w14:textId="77777777" w:rsidR="00D058B8" w:rsidRPr="00C15C83" w:rsidRDefault="00D058B8" w:rsidP="004C5D52">
      <w:pPr>
        <w:pStyle w:val="LineTop"/>
      </w:pPr>
    </w:p>
    <w:p w14:paraId="6ECC3535" w14:textId="77777777" w:rsidR="00680577" w:rsidRPr="00C15C83" w:rsidRDefault="006F124E" w:rsidP="00680577">
      <w:pPr>
        <w:pStyle w:val="EPBodyTA1"/>
      </w:pPr>
      <w:r w:rsidRPr="00C15C83">
        <w:t>TEXTOS APROVADOS</w:t>
      </w:r>
    </w:p>
    <w:p w14:paraId="2B222532" w14:textId="77777777" w:rsidR="00D058B8" w:rsidRPr="00C15C83" w:rsidRDefault="00D058B8" w:rsidP="00D058B8">
      <w:pPr>
        <w:pStyle w:val="LineBottom"/>
      </w:pPr>
    </w:p>
    <w:p w14:paraId="57F9BB37" w14:textId="77777777" w:rsidR="006F124E" w:rsidRPr="00C15C83" w:rsidRDefault="006F124E" w:rsidP="006F124E">
      <w:pPr>
        <w:pStyle w:val="ATHeading1"/>
      </w:pPr>
      <w:bookmarkStart w:id="0" w:name="TANumber"/>
      <w:r w:rsidRPr="00C15C83">
        <w:t>P10_TA(2025)</w:t>
      </w:r>
      <w:bookmarkEnd w:id="0"/>
      <w:r w:rsidR="0047259C" w:rsidRPr="00C15C83">
        <w:t>0166</w:t>
      </w:r>
    </w:p>
    <w:p w14:paraId="229014D5" w14:textId="77777777" w:rsidR="006F124E" w:rsidRPr="00C15C83" w:rsidRDefault="006F124E" w:rsidP="006F124E">
      <w:pPr>
        <w:pStyle w:val="ATHeading2"/>
      </w:pPr>
      <w:bookmarkStart w:id="1" w:name="title"/>
      <w:r w:rsidRPr="00C15C83">
        <w:t>Medidas para fazer face às restrições aplicadas pela China à exportação de matérias-primas críticas</w:t>
      </w:r>
      <w:bookmarkEnd w:id="1"/>
    </w:p>
    <w:p w14:paraId="0C7BFFC8" w14:textId="77777777" w:rsidR="006F124E" w:rsidRPr="00C15C83" w:rsidRDefault="006F124E" w:rsidP="006F124E">
      <w:pPr>
        <w:rPr>
          <w:i/>
          <w:vanish/>
        </w:rPr>
      </w:pPr>
      <w:r w:rsidRPr="00C15C83">
        <w:rPr>
          <w:i/>
        </w:rPr>
        <w:fldChar w:fldCharType="begin"/>
      </w:r>
      <w:r w:rsidRPr="00C15C83">
        <w:rPr>
          <w:i/>
        </w:rPr>
        <w:instrText xml:space="preserve"> TC"(</w:instrText>
      </w:r>
      <w:bookmarkStart w:id="2" w:name="DocNumber"/>
      <w:r w:rsidRPr="00C15C83">
        <w:rPr>
          <w:i/>
        </w:rPr>
        <w:instrText>B10-0324, 0329, 0330, 0331 e 0332/2025</w:instrText>
      </w:r>
      <w:bookmarkEnd w:id="2"/>
      <w:r w:rsidRPr="00C15C83">
        <w:rPr>
          <w:i/>
        </w:rPr>
        <w:instrText xml:space="preserve">)"\l3 \n&gt; \* MERGEFORMAT </w:instrText>
      </w:r>
      <w:r w:rsidRPr="00C15C83">
        <w:rPr>
          <w:i/>
        </w:rPr>
        <w:fldChar w:fldCharType="end"/>
      </w:r>
    </w:p>
    <w:p w14:paraId="0C104B50" w14:textId="77777777" w:rsidR="006F124E" w:rsidRPr="00C15C83" w:rsidRDefault="006F124E" w:rsidP="006F124E">
      <w:pPr>
        <w:rPr>
          <w:vanish/>
        </w:rPr>
      </w:pPr>
      <w:bookmarkStart w:id="3" w:name="PE"/>
      <w:r w:rsidRPr="00C15C83">
        <w:rPr>
          <w:vanish/>
        </w:rPr>
        <w:t>PE774.020</w:t>
      </w:r>
      <w:bookmarkEnd w:id="3"/>
    </w:p>
    <w:p w14:paraId="6826039E" w14:textId="77777777" w:rsidR="006F124E" w:rsidRPr="00C15C83" w:rsidRDefault="006F124E" w:rsidP="006F124E">
      <w:pPr>
        <w:pStyle w:val="ATHeading3"/>
      </w:pPr>
      <w:bookmarkStart w:id="4" w:name="Sujet"/>
      <w:r w:rsidRPr="00C15C83">
        <w:t xml:space="preserve">Resolução do Parlamento Europeu, de </w:t>
      </w:r>
      <w:r w:rsidR="0047259C" w:rsidRPr="00C15C83">
        <w:t xml:space="preserve">10 </w:t>
      </w:r>
      <w:r w:rsidRPr="00C15C83">
        <w:t xml:space="preserve">de </w:t>
      </w:r>
      <w:r w:rsidR="0047259C" w:rsidRPr="00C15C83">
        <w:t xml:space="preserve">julho </w:t>
      </w:r>
      <w:r w:rsidRPr="00C15C83">
        <w:t>de 2025, sobre medidas para fazer face às restrições aplicadas pela China à exportação de matérias</w:t>
      </w:r>
      <w:r w:rsidRPr="00C15C83">
        <w:noBreakHyphen/>
        <w:t>primas críticas</w:t>
      </w:r>
      <w:bookmarkEnd w:id="4"/>
      <w:r w:rsidRPr="00C15C83">
        <w:t xml:space="preserve"> </w:t>
      </w:r>
      <w:bookmarkStart w:id="5" w:name="References"/>
      <w:r w:rsidRPr="00C15C83">
        <w:t>(2025/2800(RSP))</w:t>
      </w:r>
      <w:bookmarkEnd w:id="5"/>
    </w:p>
    <w:p w14:paraId="1565B026" w14:textId="77777777" w:rsidR="00D020FB" w:rsidRPr="00C15C83" w:rsidRDefault="00D020FB" w:rsidP="00D020FB">
      <w:pPr>
        <w:pStyle w:val="EPComma"/>
      </w:pPr>
      <w:bookmarkStart w:id="6" w:name="TextBodyBegin"/>
      <w:bookmarkEnd w:id="6"/>
      <w:r w:rsidRPr="00C15C83">
        <w:rPr>
          <w:i/>
          <w:iCs/>
        </w:rPr>
        <w:t>O Parlamento Europeu</w:t>
      </w:r>
      <w:r w:rsidRPr="00C15C83">
        <w:t>,</w:t>
      </w:r>
    </w:p>
    <w:p w14:paraId="79235CEC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as suas anteriores resoluções sobre a China,</w:t>
      </w:r>
    </w:p>
    <w:p w14:paraId="5CB0AFA3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 próxima cimeira UE</w:t>
      </w:r>
      <w:r w:rsidRPr="00C15C83">
        <w:noBreakHyphen/>
        <w:t>China prevista para 24 e 25 de julho de 2025,</w:t>
      </w:r>
    </w:p>
    <w:p w14:paraId="014EDB42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o Regulamento (UE) 2024/1252 do Parlamento Europeu e do Conselho, de 11 de abril de 2024, que estabelece um regime para garantir um aprovisionamento seguro e sustentável de matérias</w:t>
      </w:r>
      <w:r w:rsidRPr="00C15C83">
        <w:noBreakHyphen/>
        <w:t>primas críticas e que altera os Regulamentos (UE) n.º 168/2013, (UE) 2018/858, (UE) 2018/1724 e (UE) 2019/1020</w:t>
      </w:r>
      <w:r w:rsidRPr="00C15C83">
        <w:rPr>
          <w:rStyle w:val="FootnoteReference"/>
        </w:rPr>
        <w:footnoteReference w:id="1"/>
      </w:r>
      <w:r w:rsidRPr="00C15C83">
        <w:t>, comummente designado por «Regulamento Matérias</w:t>
      </w:r>
      <w:r w:rsidRPr="00C15C83">
        <w:noBreakHyphen/>
        <w:t>Primas Críticas»,</w:t>
      </w:r>
    </w:p>
    <w:p w14:paraId="493E1AB0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o Regulamento (UE) 2024/1735 do Parlamento Europeu e do Conselho, de 13 de junho de 2024, que cria um regime de medidas para o reforço do ecossistema europeu de fabrico de produtos de tecnologias neutras em carbono e que altera o Regulamento (UE) 2018/1724</w:t>
      </w:r>
      <w:r w:rsidRPr="00C15C83">
        <w:rPr>
          <w:rStyle w:val="FootnoteReference"/>
        </w:rPr>
        <w:footnoteReference w:id="2"/>
      </w:r>
      <w:r w:rsidRPr="00C15C83">
        <w:t xml:space="preserve"> (Regulamento Indústria Neutra em Carbono),</w:t>
      </w:r>
    </w:p>
    <w:p w14:paraId="6E92B61E" w14:textId="1738188C" w:rsidR="00D020FB" w:rsidRPr="00C15C83" w:rsidRDefault="00F5111F" w:rsidP="00D020FB">
      <w:pPr>
        <w:pStyle w:val="NormalHanging12a"/>
      </w:pPr>
      <w:r w:rsidRPr="00C15C83">
        <w:t>–</w:t>
      </w:r>
      <w:r w:rsidRPr="00C15C83">
        <w:tab/>
      </w:r>
      <w:r w:rsidR="00D020FB" w:rsidRPr="00C15C83">
        <w:t>Tendo em conta a declaração dos dirigentes do G7 sobre o Plano de Ação do G7 para os Minerais Críticos,</w:t>
      </w:r>
    </w:p>
    <w:p w14:paraId="0D617C96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 Comunicação da Comissão de 26 de fevereiro de 2025, intitulada «Pacto da Indústria Limpa: um roteiro conjunto para a descarbonização e a competitividade» (COM(2025)0085),</w:t>
      </w:r>
    </w:p>
    <w:p w14:paraId="6FF53851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as parcerias de comércio e investimento limpos que estão a ser negociadas pela UE e as parcerias no domínio das matérias</w:t>
      </w:r>
      <w:r w:rsidRPr="00C15C83">
        <w:noBreakHyphen/>
        <w:t>primas críticas,</w:t>
      </w:r>
    </w:p>
    <w:p w14:paraId="2D7E739D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 xml:space="preserve">Tendo em conta a Comunicação Conjunta da Comissão e do alto representante da União para os Negócios Estrangeiros e a Política de Segurança, de 20 de junho de 2023, relativa à estratégia europeia em matéria de segurança económica (JOIN(2023)0020), e </w:t>
      </w:r>
      <w:r w:rsidRPr="00C15C83">
        <w:lastRenderedPageBreak/>
        <w:t xml:space="preserve">as alocuções sobre a redução dos riscos proferidas pela presidente da Comissão, </w:t>
      </w:r>
      <w:proofErr w:type="spellStart"/>
      <w:r w:rsidRPr="00C15C83">
        <w:t>Ursula</w:t>
      </w:r>
      <w:proofErr w:type="spellEnd"/>
      <w:r w:rsidRPr="00C15C83">
        <w:t xml:space="preserve"> von der </w:t>
      </w:r>
      <w:proofErr w:type="spellStart"/>
      <w:r w:rsidRPr="00C15C83">
        <w:t>Leyen</w:t>
      </w:r>
      <w:proofErr w:type="spellEnd"/>
      <w:r w:rsidRPr="00C15C83">
        <w:t>, no Centro de Política Europeia, em 30 de março de 2023, e no Parlamento, em 18 de abril de 2023,</w:t>
      </w:r>
    </w:p>
    <w:p w14:paraId="67260EFF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o 13.º Diálogo Estratégico UE</w:t>
      </w:r>
      <w:r w:rsidRPr="00C15C83">
        <w:noBreakHyphen/>
        <w:t>China, realizado entre a vice</w:t>
      </w:r>
      <w:r w:rsidRPr="00C15C83">
        <w:noBreakHyphen/>
        <w:t xml:space="preserve">presidente da Comissão/alta representante da União para os Negócios Estrangeiros e a Política de Segurança, </w:t>
      </w:r>
      <w:proofErr w:type="spellStart"/>
      <w:r w:rsidRPr="00C15C83">
        <w:t>Kaja</w:t>
      </w:r>
      <w:proofErr w:type="spellEnd"/>
      <w:r w:rsidRPr="00C15C83">
        <w:t xml:space="preserve"> </w:t>
      </w:r>
      <w:proofErr w:type="spellStart"/>
      <w:r w:rsidRPr="00C15C83">
        <w:t>Kallas</w:t>
      </w:r>
      <w:proofErr w:type="spellEnd"/>
      <w:r w:rsidRPr="00C15C83">
        <w:t xml:space="preserve">, e o ministro dos Negócios Estrangeiros da China, Wang </w:t>
      </w:r>
      <w:proofErr w:type="spellStart"/>
      <w:r w:rsidRPr="00C15C83">
        <w:t>Yi</w:t>
      </w:r>
      <w:proofErr w:type="spellEnd"/>
      <w:r w:rsidRPr="00C15C83">
        <w:t>, em Bruxelas, em 2 de julho de 2025,</w:t>
      </w:r>
    </w:p>
    <w:p w14:paraId="3A1A38FC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 xml:space="preserve">Tendo em conta as declarações da Presidente da Comissão, </w:t>
      </w:r>
      <w:proofErr w:type="spellStart"/>
      <w:r w:rsidRPr="00C15C83">
        <w:t>Ursula</w:t>
      </w:r>
      <w:proofErr w:type="spellEnd"/>
      <w:r w:rsidRPr="00C15C83">
        <w:t xml:space="preserve"> von der </w:t>
      </w:r>
      <w:proofErr w:type="spellStart"/>
      <w:r w:rsidRPr="00C15C83">
        <w:t>Leyen</w:t>
      </w:r>
      <w:proofErr w:type="spellEnd"/>
      <w:r w:rsidRPr="00C15C83">
        <w:t xml:space="preserve">, na Cimeira do G7 em </w:t>
      </w:r>
      <w:proofErr w:type="spellStart"/>
      <w:r w:rsidRPr="00C15C83">
        <w:t>Kananaskis</w:t>
      </w:r>
      <w:proofErr w:type="spellEnd"/>
      <w:r w:rsidRPr="00C15C83">
        <w:t>, Canadá, de 16 a 17 de junho de 2025,</w:t>
      </w:r>
    </w:p>
    <w:p w14:paraId="1B08E80D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as normas da Organização Mundial do Comércio (OMC), nomeadamente os princípios de não discriminação e transparência em matéria de restrições à exportação,</w:t>
      </w:r>
    </w:p>
    <w:p w14:paraId="3FBAFFA8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as decisões da OMC em matéria de resolução de litígios DS431, DS432 e DS433 sobre as restrições chinesas à exportação de terras raras,</w:t>
      </w:r>
    </w:p>
    <w:p w14:paraId="03EEAE12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>Tendo em conta os Princípios Orientadores das Nações Unidas sobre Empresas e Direitos Humanos,</w:t>
      </w:r>
    </w:p>
    <w:p w14:paraId="76989A70" w14:textId="77777777" w:rsidR="00D020FB" w:rsidRPr="00C15C83" w:rsidRDefault="00D020FB" w:rsidP="00D020FB">
      <w:pPr>
        <w:pStyle w:val="NormalHanging12a"/>
      </w:pPr>
      <w:r w:rsidRPr="00C15C83">
        <w:t>–</w:t>
      </w:r>
      <w:r w:rsidRPr="00C15C83">
        <w:tab/>
        <w:t xml:space="preserve">Tendo em conta o artigo 136.º, </w:t>
      </w:r>
      <w:proofErr w:type="spellStart"/>
      <w:r w:rsidRPr="00C15C83">
        <w:t>n.</w:t>
      </w:r>
      <w:r w:rsidRPr="00C15C83">
        <w:rPr>
          <w:vertAlign w:val="superscript"/>
        </w:rPr>
        <w:t>os</w:t>
      </w:r>
      <w:proofErr w:type="spellEnd"/>
      <w:r w:rsidRPr="00C15C83">
        <w:t xml:space="preserve"> 2 e 4, do seu Regimento,</w:t>
      </w:r>
    </w:p>
    <w:p w14:paraId="5769B9D7" w14:textId="77777777" w:rsidR="00D020FB" w:rsidRPr="00C15C83" w:rsidRDefault="00D020FB" w:rsidP="00D020FB">
      <w:pPr>
        <w:pStyle w:val="NormalHanging12a"/>
      </w:pPr>
      <w:r w:rsidRPr="00C15C83">
        <w:t>A.</w:t>
      </w:r>
      <w:r w:rsidRPr="00C15C83">
        <w:tab/>
        <w:t>Considerando que, em 4 de abril de 2025, a China começou a decretar restrições à exportação de sete dos dezassete elementos de terras raras (ETR) e ímanes permanentes produzidos a partir destes elementos, com a introdução de um sistema de licenças não automáticas, invocando motivos relacionados com a dupla utilização e a segurança</w:t>
      </w:r>
      <w:r w:rsidR="00496091" w:rsidRPr="00C15C83">
        <w:t>; considerando que</w:t>
      </w:r>
      <w:r w:rsidRPr="00C15C83">
        <w:t xml:space="preserve"> a lista de produtos abrangidos pelas restrições inclui ETR médios e pesados (samário, gadolínio, térbio, disprósio, lutécio, escândio, ítrio);</w:t>
      </w:r>
    </w:p>
    <w:p w14:paraId="0E0B5064" w14:textId="77777777" w:rsidR="00D020FB" w:rsidRPr="00C15C83" w:rsidRDefault="00D020FB" w:rsidP="00D020FB">
      <w:pPr>
        <w:pStyle w:val="NormalHanging12a"/>
      </w:pPr>
      <w:r w:rsidRPr="00C15C83">
        <w:t>B.</w:t>
      </w:r>
      <w:r w:rsidRPr="00C15C83">
        <w:tab/>
        <w:t>Considerando que as matérias</w:t>
      </w:r>
      <w:r w:rsidRPr="00C15C83">
        <w:noBreakHyphen/>
        <w:t>primas críticas são insumos essenciais a uma vasta gama de produtos e processos industriais, nomeadamente em setores críticos como as tecnologias limpas, as tecnologias digitais, os cuidados de saúde e a defesa</w:t>
      </w:r>
      <w:r w:rsidR="00496091" w:rsidRPr="00C15C83">
        <w:t>; considerando que</w:t>
      </w:r>
      <w:r w:rsidRPr="00C15C83">
        <w:t xml:space="preserve"> um aprovisionamento seguro e sustentável em matérias</w:t>
      </w:r>
      <w:r w:rsidRPr="00C15C83">
        <w:noBreakHyphen/>
        <w:t>primas críticas é fundamental para alcançar os objetivos da UE em matéria de clima, digitalização, competitividade e defesa;</w:t>
      </w:r>
    </w:p>
    <w:p w14:paraId="6317B34A" w14:textId="77777777" w:rsidR="00D020FB" w:rsidRPr="00C15C83" w:rsidRDefault="00D020FB" w:rsidP="00D020FB">
      <w:pPr>
        <w:pStyle w:val="NormalHanging12a"/>
      </w:pPr>
      <w:r w:rsidRPr="00C15C83">
        <w:t>C.</w:t>
      </w:r>
      <w:r w:rsidRPr="00C15C83">
        <w:tab/>
        <w:t>Considerando que os volumes de exportação diminuíram até 80 %, o que teve um forte impacto num grande conjunto de setores, nomeadamente a eletrónica e a tecnologia de consumo, a energia verde e as energias renováveis, a indústria automóvel, a indústria aeroespacial e os cuidados de saúde;</w:t>
      </w:r>
    </w:p>
    <w:p w14:paraId="1F46091C" w14:textId="77777777" w:rsidR="00D020FB" w:rsidRPr="00C15C83" w:rsidRDefault="00D020FB" w:rsidP="00D020FB">
      <w:pPr>
        <w:pStyle w:val="NormalHanging12a"/>
      </w:pPr>
      <w:r w:rsidRPr="00C15C83">
        <w:t>D.</w:t>
      </w:r>
      <w:r w:rsidRPr="00C15C83">
        <w:tab/>
        <w:t>Considerando que a dependência da UE em relação à China para matérias</w:t>
      </w:r>
      <w:r w:rsidRPr="00C15C83">
        <w:noBreakHyphen/>
        <w:t>primas críticas continuou a crescer ou, na melhor das hipóteses, manteve</w:t>
      </w:r>
      <w:r w:rsidRPr="00C15C83">
        <w:noBreakHyphen/>
        <w:t>se extremamente elevada; Considerando que a cadeia de abastecimento mundial dos ETR está fortemente concentrada na China, que controla cerca de 75 % da produção mineira e de 85 % da capacidade de transformação, alcançando mais de 95 % no caso de alguns ETR, como o térbio, o ítrio e o disprósio</w:t>
      </w:r>
      <w:r w:rsidR="00496091" w:rsidRPr="00C15C83">
        <w:t>; considerando que</w:t>
      </w:r>
      <w:r w:rsidRPr="00C15C83">
        <w:t xml:space="preserve"> a UE continua a depender excessivamente de países terceiros para o aprovisionamento de matérias</w:t>
      </w:r>
      <w:r w:rsidRPr="00C15C83">
        <w:noBreakHyphen/>
        <w:t>primas críticas (MPC), sendo quase totalmente dependente da China no que toca ao aprovisionamento de determinados ETR</w:t>
      </w:r>
      <w:r w:rsidR="00496091" w:rsidRPr="00C15C83">
        <w:t>; considerando que</w:t>
      </w:r>
      <w:r w:rsidRPr="00C15C83">
        <w:t xml:space="preserve"> a UE importa da China 98 % dos ímanes </w:t>
      </w:r>
      <w:r w:rsidRPr="00C15C83">
        <w:lastRenderedPageBreak/>
        <w:t>permanentes e 92 % dos ímanes de Neodímio de que necessita;</w:t>
      </w:r>
    </w:p>
    <w:p w14:paraId="5CD827E0" w14:textId="77777777" w:rsidR="00D020FB" w:rsidRPr="00C15C83" w:rsidRDefault="00D020FB" w:rsidP="00D020FB">
      <w:pPr>
        <w:pStyle w:val="NormalHanging12a"/>
        <w:rPr>
          <w:rFonts w:eastAsia="Calibri"/>
        </w:rPr>
      </w:pPr>
      <w:r w:rsidRPr="00C15C83">
        <w:t>E.</w:t>
      </w:r>
      <w:r w:rsidRPr="00C15C83">
        <w:tab/>
        <w:t>Considerando que a China reforçou significativamente a sua posição dominante nos setores mundiais da mineração, transformação e refinação de MPC e produtos intermédios, criando dependências estratégicas ao longo das principais cadeias de valor, que foram, por vezes, deliberadamente aproveitadas através de medidas comerciais restritivas</w:t>
      </w:r>
      <w:r w:rsidR="00496091" w:rsidRPr="00C15C83">
        <w:t>; considerando que</w:t>
      </w:r>
      <w:r w:rsidRPr="00C15C83">
        <w:t xml:space="preserve"> a China restringiu, pela primeira vez, a exportação de ETR em 2010, devido a um litígio territorial com o Japão, e que esta restrição foi declarada incompatível com as regras da OMC pelo Órgão de Recurso</w:t>
      </w:r>
      <w:r w:rsidR="00496091" w:rsidRPr="00C15C83">
        <w:t>; considerando que</w:t>
      </w:r>
      <w:r w:rsidRPr="00C15C83">
        <w:t xml:space="preserve"> a China também aplica amplas restrições à exportação de minerais brutos classificados como estratégicos e/ou críticos pela UE, nomeadamente o gálio e o germânio desde 1 de agosto de 2023, grafite desde dezembro de 2023, os produtos do antimónio desde 15 de setembro de 2024, o tungsténio e o bismuto desde 4 de fevereiro de 2025, e o escândio desde 17 de abril de 2025;</w:t>
      </w:r>
    </w:p>
    <w:p w14:paraId="6B7E98C2" w14:textId="77777777" w:rsidR="00D020FB" w:rsidRPr="00C15C83" w:rsidRDefault="00D020FB" w:rsidP="00D020FB">
      <w:pPr>
        <w:pStyle w:val="NormalHanging12a"/>
      </w:pPr>
      <w:r w:rsidRPr="00C15C83">
        <w:t>F.</w:t>
      </w:r>
      <w:r w:rsidRPr="00C15C83">
        <w:tab/>
        <w:t>Considerando que a aplicação destas restrições à exportação já começou a causar perturbações graves na indústria da UE, inclusivamente no setor automóvel, com 17 linhas de montagem a sofrer encerramentos temporários em maio de 2025</w:t>
      </w:r>
      <w:r w:rsidR="00496091" w:rsidRPr="00C15C83">
        <w:t>; considerando que</w:t>
      </w:r>
      <w:r w:rsidRPr="00C15C83">
        <w:t xml:space="preserve"> um vasto leque de setores pode enfrentar perturbações, como os setores dos cuidados de saúde, do espaço e da defesa </w:t>
      </w:r>
      <w:r w:rsidR="00F66872" w:rsidRPr="00C15C83">
        <w:t xml:space="preserve">– </w:t>
      </w:r>
      <w:r w:rsidRPr="00C15C83">
        <w:t xml:space="preserve">incluindo jatos de combate, fragatas, drones e sistemas de armamento orientados para a precisão </w:t>
      </w:r>
      <w:r w:rsidR="00F66872" w:rsidRPr="00C15C83">
        <w:t xml:space="preserve">– </w:t>
      </w:r>
      <w:r w:rsidRPr="00C15C83">
        <w:t>turbinas eólicas e baterias, bem como as transições ecológica e digital de um modo mais geral;</w:t>
      </w:r>
    </w:p>
    <w:p w14:paraId="72B74941" w14:textId="77777777" w:rsidR="00D020FB" w:rsidRPr="00C15C83" w:rsidRDefault="00D020FB" w:rsidP="00D020FB">
      <w:pPr>
        <w:pStyle w:val="NormalHanging12a"/>
        <w:rPr>
          <w:rFonts w:eastAsia="Calibri"/>
        </w:rPr>
      </w:pPr>
      <w:r w:rsidRPr="00C15C83">
        <w:t>G.</w:t>
      </w:r>
      <w:r w:rsidRPr="00C15C83">
        <w:tab/>
        <w:t>Considerando que o procedimento de atribuição de licenças chinês exige que os requerentes divulguem informações sensíveis às autoridades chinesas, o que viola o segredo económico</w:t>
      </w:r>
      <w:r w:rsidR="00496091" w:rsidRPr="00C15C83">
        <w:t>; considerando que</w:t>
      </w:r>
      <w:r w:rsidRPr="00C15C83">
        <w:t xml:space="preserve"> o quadro de controlo das exportações atualizado da China, de dezembro de 2024, confere mais poderes discricionários ao Ministério do Comércio, ao Conselho de Estado e à Comissão Militar Central para sujeitar a controlos das exportações produtos não formalmente classificados como bens de dupla utilização</w:t>
      </w:r>
      <w:r w:rsidR="00496091" w:rsidRPr="00C15C83">
        <w:t>; considerando que</w:t>
      </w:r>
      <w:r w:rsidRPr="00C15C83">
        <w:t xml:space="preserve"> estes novos regulamentos incluem medidas com pedidos extraterritoriais;</w:t>
      </w:r>
    </w:p>
    <w:p w14:paraId="7C822956" w14:textId="77777777" w:rsidR="00D020FB" w:rsidRPr="00C15C83" w:rsidRDefault="00D020FB" w:rsidP="00D020FB">
      <w:pPr>
        <w:pStyle w:val="NormalHanging12a"/>
        <w:rPr>
          <w:rFonts w:eastAsia="Calibri"/>
        </w:rPr>
      </w:pPr>
      <w:r w:rsidRPr="00C15C83">
        <w:t>H.</w:t>
      </w:r>
      <w:r w:rsidRPr="00C15C83">
        <w:tab/>
        <w:t>Considerando que a UE aplica controlos das exportações a determinados tipos de materiais críticos e avançados, mas que estes controlos incidem claramente em tipos de materiais, com parâmetros técnicos precisos relacionados com a sua utilização em aplicações militares específicas, não afetam o comércio de produtos comerciais não sensíveis e representam apenas uma pequena parte das exportações totais dos materiais visados;</w:t>
      </w:r>
    </w:p>
    <w:p w14:paraId="2878C9A5" w14:textId="77777777" w:rsidR="00D020FB" w:rsidRPr="00C15C83" w:rsidRDefault="00D020FB" w:rsidP="00D020FB">
      <w:pPr>
        <w:pStyle w:val="NormalHanging12a"/>
        <w:rPr>
          <w:rFonts w:eastAsia="Calibri"/>
        </w:rPr>
      </w:pPr>
      <w:r w:rsidRPr="00C15C83">
        <w:t>I.</w:t>
      </w:r>
      <w:r w:rsidRPr="00C15C83">
        <w:tab/>
        <w:t xml:space="preserve">Considerando que a China prosseguiu deliberadamente uma estratégia de </w:t>
      </w:r>
      <w:proofErr w:type="spellStart"/>
      <w:r w:rsidRPr="00C15C83">
        <w:t>subcotação</w:t>
      </w:r>
      <w:proofErr w:type="spellEnd"/>
      <w:r w:rsidRPr="00C15C83">
        <w:t xml:space="preserve"> dos preços no mercado mundial, mantendo o mercado interno, de um modo geral, fechado em benefício das empresas estatais, juntamente com regimes de subvenção avultados, o que conduziu a distorções significativas da concorrência mundial e pondo em risco os recentes esforços da UE e dos Estados</w:t>
      </w:r>
      <w:r w:rsidRPr="00C15C83">
        <w:noBreakHyphen/>
        <w:t xml:space="preserve">Membros para manter os restantes setores mineiros da UE em funcionamento; </w:t>
      </w:r>
    </w:p>
    <w:p w14:paraId="3CDC8D18" w14:textId="77777777" w:rsidR="00D020FB" w:rsidRPr="00C15C83" w:rsidRDefault="00D020FB" w:rsidP="00D020FB">
      <w:pPr>
        <w:pStyle w:val="NormalHanging12a"/>
      </w:pPr>
      <w:r w:rsidRPr="00C15C83">
        <w:t>J.</w:t>
      </w:r>
      <w:r w:rsidRPr="00C15C83">
        <w:tab/>
        <w:t>Considerando que a UE adotou o Regulamento Matérias</w:t>
      </w:r>
      <w:r w:rsidRPr="00C15C83">
        <w:noBreakHyphen/>
        <w:t>Primas Críticas em abril de 2024 como ponto de partida dos esforços para melhorar a resiliência e a autonomia do aprovisionamento da UE em matérias</w:t>
      </w:r>
      <w:r w:rsidRPr="00C15C83">
        <w:noBreakHyphen/>
        <w:t>primas críticas e matérias</w:t>
      </w:r>
      <w:r w:rsidRPr="00C15C83">
        <w:noBreakHyphen/>
        <w:t>primas estratégicas</w:t>
      </w:r>
      <w:r w:rsidR="00496091" w:rsidRPr="00C15C83">
        <w:t>; considerando que</w:t>
      </w:r>
      <w:r w:rsidRPr="00C15C83">
        <w:t xml:space="preserve"> o Regulamento Matérias</w:t>
      </w:r>
      <w:r w:rsidRPr="00C15C83">
        <w:noBreakHyphen/>
        <w:t xml:space="preserve">Primas Críticas incide tanto sobre o lado da oferta como sobre o lado da procura, nomeadamente através de objetivos de produção, </w:t>
      </w:r>
      <w:r w:rsidRPr="00C15C83">
        <w:lastRenderedPageBreak/>
        <w:t>da eficiência na utilização dos recursos destinada a moderar o consumo e da substituição de matérias</w:t>
      </w:r>
      <w:r w:rsidRPr="00C15C83">
        <w:noBreakHyphen/>
        <w:t>primas estratégicas</w:t>
      </w:r>
      <w:r w:rsidR="00496091" w:rsidRPr="00C15C83">
        <w:t>; considerando que</w:t>
      </w:r>
      <w:r w:rsidRPr="00C15C83">
        <w:t xml:space="preserve"> a circularidade está no cerne do Regulamento Matérias</w:t>
      </w:r>
      <w:r w:rsidRPr="00C15C83">
        <w:noBreakHyphen/>
        <w:t>Primas Críticas, que visa cobrir 25 % das necessidades de matérias</w:t>
      </w:r>
      <w:r w:rsidRPr="00C15C83">
        <w:noBreakHyphen/>
        <w:t>primas estratégica da União através da reciclagem até 2030 e tem o objetivo de reciclar quantidades cada vez maiores de cada matéria</w:t>
      </w:r>
      <w:r w:rsidRPr="00C15C83">
        <w:noBreakHyphen/>
        <w:t>prima estratégica a partir de resíduos, incluindo no que se refere aos ímanes permanentes;</w:t>
      </w:r>
    </w:p>
    <w:p w14:paraId="741D9680" w14:textId="77777777" w:rsidR="00D020FB" w:rsidRPr="00C15C83" w:rsidRDefault="00D020FB" w:rsidP="00D020FB">
      <w:pPr>
        <w:pStyle w:val="NormalHanging12a"/>
        <w:rPr>
          <w:bCs/>
        </w:rPr>
      </w:pPr>
      <w:r w:rsidRPr="00C15C83">
        <w:t>K.</w:t>
      </w:r>
      <w:r w:rsidRPr="00C15C83">
        <w:tab/>
        <w:t>Considerando que a próxima cimeira UE</w:t>
      </w:r>
      <w:r w:rsidRPr="00C15C83">
        <w:noBreakHyphen/>
        <w:t>China constitui uma oportunidade para encetar um diálogo, devendo, simultaneamente, continuar a ter</w:t>
      </w:r>
      <w:r w:rsidRPr="00C15C83">
        <w:noBreakHyphen/>
        <w:t>se uma posição forte contra ações coercivas;</w:t>
      </w:r>
    </w:p>
    <w:p w14:paraId="2E23A2F7" w14:textId="77777777" w:rsidR="00D020FB" w:rsidRPr="00C15C83" w:rsidRDefault="00D020FB" w:rsidP="00D020FB">
      <w:pPr>
        <w:pStyle w:val="NormalHanging12a"/>
      </w:pPr>
      <w:r w:rsidRPr="00C15C83">
        <w:t>L.</w:t>
      </w:r>
      <w:r w:rsidRPr="00C15C83">
        <w:tab/>
        <w:t>Considerando que a China mantém sanções contra um antigo deputado ao Parlamento Europeu, deputados dos parlamentos dos Estados</w:t>
      </w:r>
      <w:r w:rsidRPr="00C15C83">
        <w:noBreakHyphen/>
        <w:t>Membros e grupos de reflexão europeus;</w:t>
      </w:r>
    </w:p>
    <w:p w14:paraId="282F97F4" w14:textId="77777777" w:rsidR="00D020FB" w:rsidRPr="00C15C83" w:rsidRDefault="00D020FB" w:rsidP="00D020FB">
      <w:pPr>
        <w:pStyle w:val="NormalHanging12a"/>
      </w:pPr>
      <w:r w:rsidRPr="00C15C83">
        <w:t>1.</w:t>
      </w:r>
      <w:r w:rsidRPr="00C15C83">
        <w:tab/>
        <w:t>Condena fortemente a decisão da China de decretar restrições às exportações de MPC, a qual fez parar as exportações e gerou perturbações importantes nas cadeias de aprovisionamento vitais para a indústria automóvel, os fabricantes do setor da defesa, as empresas de semicondutores, as tecnologias verdes, as aplicações de cuidados de saúde e muitos outros setores na UE e no resto do mundo</w:t>
      </w:r>
      <w:r w:rsidR="00496091" w:rsidRPr="00C15C83">
        <w:t>; considerando que</w:t>
      </w:r>
      <w:r w:rsidRPr="00C15C83">
        <w:t xml:space="preserve"> esta ação adotada pela China é injustificada e tem intuito coercivo, aproveitando</w:t>
      </w:r>
      <w:r w:rsidRPr="00C15C83">
        <w:noBreakHyphen/>
        <w:t>se da sua posição de quase monopólio no mercado mundial;</w:t>
      </w:r>
    </w:p>
    <w:p w14:paraId="44E52449" w14:textId="77777777" w:rsidR="00D020FB" w:rsidRPr="00C15C83" w:rsidRDefault="00D020FB" w:rsidP="00D020FB">
      <w:pPr>
        <w:pStyle w:val="NormalHanging12a"/>
      </w:pPr>
      <w:r w:rsidRPr="00C15C83">
        <w:t>2.</w:t>
      </w:r>
      <w:r w:rsidRPr="00C15C83">
        <w:tab/>
      </w:r>
      <w:bookmarkStart w:id="7" w:name="_Hlk202535774"/>
      <w:r w:rsidRPr="00C15C83">
        <w:t>Considera que a China utiliza estas restrições à exportação para reforçar a sua posição negocial; salienta que a UE deve rejeitar firmemente quaisquer tentativas da China de utilizar estas restrições para forçar concessões a outros irritantes comerciais em curso, e considera que quaisquer concessões à China a este respeito prejudicariam a capacidade da UE para se proteger da coerção atual e futura;</w:t>
      </w:r>
      <w:bookmarkEnd w:id="7"/>
    </w:p>
    <w:p w14:paraId="25ADEAA6" w14:textId="77777777" w:rsidR="00D020FB" w:rsidRPr="00C15C83" w:rsidRDefault="00D020FB" w:rsidP="00D020FB">
      <w:pPr>
        <w:pStyle w:val="NormalHanging12a"/>
      </w:pPr>
      <w:r w:rsidRPr="00C15C83">
        <w:t>3.</w:t>
      </w:r>
      <w:r w:rsidRPr="00C15C83">
        <w:tab/>
      </w:r>
      <w:bookmarkStart w:id="8" w:name="_Hlk202907727"/>
      <w:r w:rsidRPr="00C15C83">
        <w:t>Sublinha a importância de manifestar a sua preocupação com as restrições à exportação de ETR por parte da China e com implicações mais vastas dessas restrições para as cadeias de abastecimento mundiais na próxima Cimeira UE</w:t>
      </w:r>
      <w:r w:rsidRPr="00C15C83">
        <w:noBreakHyphen/>
        <w:t xml:space="preserve">China; está convicto de que os controlos das exportações devem fazer parte de uma abordagem multilateral destinada a proteger a segurança internacional e a garantir condições de concorrência equitativas a nível mundial, insiste em que os controlos unilaterais devem ser limitados aos estritamente necessário por considerações de segurança nacional, com regras transparentes e claramente definidas, e salienta, por conseguinte, que as ações da China são contrárias às regras e práticas multilaterais, </w:t>
      </w:r>
      <w:bookmarkStart w:id="9" w:name="_Hlk202909856"/>
      <w:r w:rsidRPr="00C15C83">
        <w:t>e convida a Comissão e os Estados</w:t>
      </w:r>
      <w:r w:rsidRPr="00C15C83">
        <w:noBreakHyphen/>
        <w:t>Membros a adotarem uma posição firme e unificada, a dialogarem com a China para encontrar uma solução estrutural e a prosseguirem o diálogo com este país a este respeito</w:t>
      </w:r>
      <w:bookmarkEnd w:id="9"/>
      <w:r w:rsidRPr="00C15C83">
        <w:t>;</w:t>
      </w:r>
      <w:bookmarkEnd w:id="8"/>
    </w:p>
    <w:p w14:paraId="1C0FABE3" w14:textId="77777777" w:rsidR="00D020FB" w:rsidRPr="00C15C83" w:rsidRDefault="00D020FB" w:rsidP="00D020FB">
      <w:pPr>
        <w:pStyle w:val="NormalHanging12a"/>
      </w:pPr>
      <w:r w:rsidRPr="00C15C83">
        <w:t>4.</w:t>
      </w:r>
      <w:r w:rsidRPr="00C15C83">
        <w:tab/>
        <w:t>Insta as autoridades chinesas a darem seguimento concreto à sua proposta e a levantarem totalmente as restrições à exportação; toma nota, enquanto isso, da recente proposta das autoridades chinesas de criar os chamados corredores verdes destinados a simplificar os procedimentos para as empresas europeias;</w:t>
      </w:r>
    </w:p>
    <w:p w14:paraId="2041E52E" w14:textId="77777777" w:rsidR="00D020FB" w:rsidRPr="00C15C83" w:rsidRDefault="00D020FB" w:rsidP="00D020FB">
      <w:pPr>
        <w:pStyle w:val="NormalHanging12a"/>
      </w:pPr>
      <w:r w:rsidRPr="00C15C83">
        <w:t>5.</w:t>
      </w:r>
      <w:r w:rsidRPr="00C15C83">
        <w:tab/>
      </w:r>
      <w:bookmarkStart w:id="10" w:name="_Hlk202909943"/>
      <w:r w:rsidRPr="00C15C83">
        <w:t xml:space="preserve">Salienta a necessidade urgente de a UE reforçar a sua alavancagem estratégica e o seu caráter indispensável, identificando, operacionalizando e reforçando os domínios em que detém vantagens críticas em relação à China em bens e tecnologias essenciais, com o objetivo de reforçar a autonomia estratégica da UE, ou limitando o acesso ao mercado </w:t>
      </w:r>
      <w:r w:rsidRPr="00C15C83">
        <w:lastRenderedPageBreak/>
        <w:t>interno da UE para os fornecedores chineses de alto risco, em conformidade com o direito da UE e o direito comercial internacional;</w:t>
      </w:r>
      <w:bookmarkEnd w:id="10"/>
    </w:p>
    <w:p w14:paraId="1B01D4A7" w14:textId="77777777" w:rsidR="00D020FB" w:rsidRPr="00C15C83" w:rsidRDefault="00D020FB" w:rsidP="00D020FB">
      <w:pPr>
        <w:pStyle w:val="NormalHanging12a"/>
      </w:pPr>
      <w:r w:rsidRPr="00C15C83">
        <w:t>6.</w:t>
      </w:r>
      <w:r w:rsidRPr="00C15C83">
        <w:tab/>
        <w:t>Considera que as medidas da China constituem uma instrumentalização injustificada das suas linhas de aprovisionamento de MPC, tornando</w:t>
      </w:r>
      <w:r w:rsidRPr="00C15C83">
        <w:noBreakHyphen/>
        <w:t>a uma fonte de informação pouco fiável para setores críticos e uma ameaça para os interesses económicos e essenciais da União em matéria de segurança;</w:t>
      </w:r>
    </w:p>
    <w:p w14:paraId="3047D453" w14:textId="77777777" w:rsidR="00D020FB" w:rsidRPr="00C15C83" w:rsidRDefault="00D020FB" w:rsidP="00D020FB">
      <w:pPr>
        <w:pStyle w:val="NormalHanging12a"/>
      </w:pPr>
      <w:r w:rsidRPr="00C15C83">
        <w:t>7.</w:t>
      </w:r>
      <w:r w:rsidRPr="00C15C83">
        <w:tab/>
        <w:t>Manifesta profunda preocupação com os requisitos, impostos pelas autoridades chinesas, segundo os quais os requerentes devem divulgar dados sensíveis quando solicitam licenças de exportação, bem como com o risco considerável de fugas de tecnologia associadas a esta situação no que diz respeito à cadeia de valor da base industrial de defesa e aos segredos de segurança nacional, salientando que tal pode ser utilizado para futura coerção; considera essencial que a Comissão e os Estados</w:t>
      </w:r>
      <w:r w:rsidRPr="00C15C83">
        <w:noBreakHyphen/>
        <w:t>Membros avaliem e atenuem as repercussões dessas transferências de dados no plano da segurança, em consonância com a estratégia europeia em matéria de segurança económica;</w:t>
      </w:r>
    </w:p>
    <w:p w14:paraId="4EA93CD5" w14:textId="77777777" w:rsidR="00D020FB" w:rsidRPr="00C15C83" w:rsidRDefault="00D020FB" w:rsidP="00D020FB">
      <w:pPr>
        <w:pStyle w:val="NormalHanging12a"/>
        <w:rPr>
          <w:bCs/>
        </w:rPr>
      </w:pPr>
      <w:r w:rsidRPr="00C15C83">
        <w:t>8.</w:t>
      </w:r>
      <w:r w:rsidRPr="00C15C83">
        <w:tab/>
        <w:t>Insta a Comissão e os Estados</w:t>
      </w:r>
      <w:r w:rsidRPr="00C15C83">
        <w:noBreakHyphen/>
        <w:t>Membros a acelerarem a aplicação do Regulamento Matérias</w:t>
      </w:r>
      <w:r w:rsidRPr="00C15C83">
        <w:noBreakHyphen/>
        <w:t>Primas Críticas; salienta o importante papel desempenhado pelo Conselho Europeu das Matérias</w:t>
      </w:r>
      <w:r w:rsidRPr="00C15C83">
        <w:noBreakHyphen/>
        <w:t>Primas e dos seus subgrupos para a rápida e eficiente aplicação acelerada do Regulamento Matérias</w:t>
      </w:r>
      <w:r w:rsidRPr="00C15C83">
        <w:noBreakHyphen/>
        <w:t>Primas Críticas; recorda as metas claras e ambiciosas para reforçar as capacidades de extração, transformação e reciclagem de matérias</w:t>
      </w:r>
      <w:r w:rsidRPr="00C15C83">
        <w:noBreakHyphen/>
        <w:t>primas estratégicas dentro da UE até 2030; destaca a seleção dos primeiros 60 projetos estratégicos no âmbito do Regulamento Matérias</w:t>
      </w:r>
      <w:r w:rsidRPr="00C15C83">
        <w:noBreakHyphen/>
        <w:t>Primas Críticas;</w:t>
      </w:r>
    </w:p>
    <w:p w14:paraId="4D8F988F" w14:textId="77777777" w:rsidR="00D020FB" w:rsidRPr="00C15C83" w:rsidRDefault="00D020FB" w:rsidP="00D020FB">
      <w:pPr>
        <w:pStyle w:val="NormalHanging12a"/>
        <w:rPr>
          <w:bCs/>
        </w:rPr>
      </w:pPr>
      <w:r w:rsidRPr="00C15C83">
        <w:t>9.</w:t>
      </w:r>
      <w:r w:rsidRPr="00C15C83">
        <w:tab/>
        <w:t>Lamenta que o Regulamento Matérias</w:t>
      </w:r>
      <w:r w:rsidRPr="00C15C83">
        <w:noBreakHyphen/>
        <w:t>Primas Críticas não tenha sido acompanhado de um orçamento específico da UE, apesar de a falta de financiamento ser o principal estrangulamento; salienta a necessidade urgente de garantir investimentos nos projetos estratégicos aprovados ao abrigo do Regulamento Matérias</w:t>
      </w:r>
      <w:r w:rsidRPr="00C15C83">
        <w:noBreakHyphen/>
        <w:t>Primas Críticas e noutros projetos para impulsionar a extração, a refinação, a transformação e a reciclagem que contribuam para reduzir os riscos da China e alcançar os parâmetros de referência do Regulamento Matérias</w:t>
      </w:r>
      <w:r w:rsidRPr="00C15C83">
        <w:noBreakHyphen/>
        <w:t>Primas Críticas; insta a Comissão a consagrar mais apoio a nível da UE à diversificação do aprovisionamento de ETR e MPC e a garantir que o próximo quadro financeiro plurianual inclua uma rubrica orçamental para promover o investimento na extração, transformação, circularidade, investigação e inovação, nomeadamente para a substituição de MPC;</w:t>
      </w:r>
    </w:p>
    <w:p w14:paraId="18DC9658" w14:textId="77777777" w:rsidR="00D020FB" w:rsidRPr="00C15C83" w:rsidRDefault="00D020FB" w:rsidP="00D020FB">
      <w:pPr>
        <w:pStyle w:val="NormalHanging12a"/>
      </w:pPr>
      <w:r w:rsidRPr="00C15C83">
        <w:t>10.</w:t>
      </w:r>
      <w:r w:rsidRPr="00C15C83">
        <w:tab/>
        <w:t>Sublinha a necessidade de a UE proceder à mineração a nível nacional e restabelecer a capacidade de transformação; destaca que o aumento da eficiência da utilização dos recursos através da inovação tecnológica é um dos objetivos do Regulamento Matérias</w:t>
      </w:r>
      <w:r w:rsidRPr="00C15C83">
        <w:noBreakHyphen/>
        <w:t>Primas Críticas; salienta o potencial da reciclagem e da exploração mineira urbana para atenuar os condicionalismos da oferta a curto prazo e solicita à Comissão que tome medidas imediatas para melhorar a recolha e a retenção das energias renováveis no mercado interno;</w:t>
      </w:r>
    </w:p>
    <w:p w14:paraId="61807320" w14:textId="77777777" w:rsidR="00D020FB" w:rsidRPr="00C15C83" w:rsidRDefault="00D020FB" w:rsidP="00D020FB">
      <w:pPr>
        <w:pStyle w:val="NormalHanging12a"/>
      </w:pPr>
      <w:r w:rsidRPr="00C15C83">
        <w:t>11.</w:t>
      </w:r>
      <w:r w:rsidRPr="00C15C83">
        <w:tab/>
        <w:t>Sublinha a necessidade de assegurar a viabilidade económica a longo prazo e a viabilidade dos investimentos nas cadeias de valor das MPC, nomeadamente através de apoio financeiro, como os limites mínimos de preços, o apoio à compra e a constituição de reservas estratégicas; insta os Estados</w:t>
      </w:r>
      <w:r w:rsidRPr="00C15C83">
        <w:noBreakHyphen/>
        <w:t xml:space="preserve">Membros a solicitarem que as grandes empresas que produzem tecnologias em setores estratégicos realizem devida e </w:t>
      </w:r>
      <w:r w:rsidRPr="00C15C83">
        <w:lastRenderedPageBreak/>
        <w:t>regularmente atividades de preparação para riscos e medidas para atenuar a escassez da oferta, nomeadamente através da constituição de reservas;</w:t>
      </w:r>
    </w:p>
    <w:p w14:paraId="17CD8591" w14:textId="77777777" w:rsidR="00D020FB" w:rsidRPr="00C15C83" w:rsidRDefault="00D020FB" w:rsidP="00D020FB">
      <w:pPr>
        <w:pStyle w:val="NormalHanging12a"/>
      </w:pPr>
      <w:r w:rsidRPr="00C15C83">
        <w:t>12.</w:t>
      </w:r>
      <w:r w:rsidRPr="00C15C83">
        <w:tab/>
        <w:t>Solicita à Comissão que, juntamente com os Estados</w:t>
      </w:r>
      <w:r w:rsidRPr="00C15C83">
        <w:noBreakHyphen/>
        <w:t>Membros, determine o nível mínimo para a UE de stocks estratégicos dos ETR que constam da lista de MPE (neodímio, praseodímio, térbio, disprósio, gadolínio, samário e cério) e as suas correspondentes aplicações finais, incluindo as relacionadas com a indústria da defesa;</w:t>
      </w:r>
    </w:p>
    <w:p w14:paraId="4289D794" w14:textId="77777777" w:rsidR="00D020FB" w:rsidRPr="00C15C83" w:rsidRDefault="00D020FB" w:rsidP="00D020FB">
      <w:pPr>
        <w:pStyle w:val="NormalHanging12a"/>
      </w:pPr>
      <w:r w:rsidRPr="00C15C83">
        <w:t>13.</w:t>
      </w:r>
      <w:r w:rsidRPr="00C15C83">
        <w:tab/>
        <w:t>Apela, além disso, a um maior empenho na celebração de parcerias de comércio e investimento limpos (PCIL) e de parcerias estratégicas bilaterais no domínio das matérias</w:t>
      </w:r>
      <w:r w:rsidRPr="00C15C83">
        <w:noBreakHyphen/>
        <w:t>primas baseadas em verdadeiras parcerias mutuamente vantajosas e que cumpram normas elevadas em matéria de sustentabilidade e direitos humanos; insiste na necessidade de avançar para acordos vinculativos sobre MPC, a fim de garantir a segurança a longo prazo do aprovisionamento da UE, garantir uma maior transparência e assegurar que o Parlamento dispõe de poderes de controlo; sublinha a importância dos acordos de comércio livre e da iniciativa Global Gateway para melhorar o acesso às MPC;</w:t>
      </w:r>
    </w:p>
    <w:p w14:paraId="3D2022AE" w14:textId="77777777" w:rsidR="00D020FB" w:rsidRPr="00C15C83" w:rsidRDefault="00D020FB" w:rsidP="00D020FB">
      <w:pPr>
        <w:pStyle w:val="NormalHanging12a"/>
        <w:rPr>
          <w:bCs/>
        </w:rPr>
      </w:pPr>
      <w:r w:rsidRPr="00C15C83">
        <w:t>14.</w:t>
      </w:r>
      <w:r w:rsidRPr="00C15C83">
        <w:tab/>
        <w:t>Incentiva a utilização de cláusulas preferenciais para o aprovisionamento de ETR junto de fornecedores da UE e de parceiros de confiança na legislação pertinente em matéria de contratos públicos; preconiza uma maior coordenação com parceiros internacionais afins, em particular no quadro do G7 e da NATO, e com a Organização para os Metais e a Segurança Energética do Japão, com o objetivo de melhorar a transferência de conhecimentos e harmonizar a segurança na cadeia de abastecimento, os investimentos conjuntos e as estratégias de constituição de reservas, e desenvolver padrões de fonte confiável para setores e projetos estratégicos;</w:t>
      </w:r>
    </w:p>
    <w:p w14:paraId="14DF45DB" w14:textId="77777777" w:rsidR="009515EF" w:rsidRPr="00C15C83" w:rsidRDefault="00D020FB" w:rsidP="009515EF">
      <w:pPr>
        <w:pStyle w:val="NormalHanging12a"/>
      </w:pPr>
      <w:r w:rsidRPr="00C15C83">
        <w:t>15.</w:t>
      </w:r>
      <w:r w:rsidRPr="00C15C83">
        <w:tab/>
        <w:t>Encarrega a sua Presidente de transmitir a presente resolução ao Conselho, à Comissão, à Vice</w:t>
      </w:r>
      <w:r w:rsidRPr="00C15C83">
        <w:noBreakHyphen/>
        <w:t>Presidente da Comissão/Alta Representante da União para os Negócios Estrangeiros e a Política de Segurança, aos governos e parlamentos dos Estados</w:t>
      </w:r>
      <w:r w:rsidRPr="00C15C83">
        <w:noBreakHyphen/>
        <w:t>Membros, bem como ao Governo e ao Parlamento da República Popular da China.</w:t>
      </w:r>
    </w:p>
    <w:p w14:paraId="54879176" w14:textId="77777777" w:rsidR="00E365E1" w:rsidRPr="00C15C83" w:rsidRDefault="00E365E1" w:rsidP="006F124E"/>
    <w:sectPr w:rsidR="00E365E1" w:rsidRPr="00C15C83" w:rsidSect="009515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5F66A" w14:textId="77777777" w:rsidR="006F124E" w:rsidRPr="009515EF" w:rsidRDefault="006F124E">
      <w:r w:rsidRPr="009515EF">
        <w:separator/>
      </w:r>
    </w:p>
  </w:endnote>
  <w:endnote w:type="continuationSeparator" w:id="0">
    <w:p w14:paraId="68C62A3A" w14:textId="77777777" w:rsidR="006F124E" w:rsidRPr="009515EF" w:rsidRDefault="006F124E">
      <w:r w:rsidRPr="009515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7B69" w14:textId="77777777" w:rsidR="00064002" w:rsidRPr="009515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77D5" w14:textId="77777777" w:rsidR="00064002" w:rsidRPr="009515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39C0" w14:textId="77777777" w:rsidR="00064002" w:rsidRPr="009515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0198A" w14:textId="77777777" w:rsidR="006F124E" w:rsidRPr="009515EF" w:rsidRDefault="006F124E">
      <w:r w:rsidRPr="009515EF">
        <w:separator/>
      </w:r>
    </w:p>
  </w:footnote>
  <w:footnote w:type="continuationSeparator" w:id="0">
    <w:p w14:paraId="61B335B3" w14:textId="77777777" w:rsidR="006F124E" w:rsidRPr="009515EF" w:rsidRDefault="006F124E">
      <w:r w:rsidRPr="009515EF">
        <w:continuationSeparator/>
      </w:r>
    </w:p>
  </w:footnote>
  <w:footnote w:id="1">
    <w:p w14:paraId="220C2F20" w14:textId="77777777" w:rsidR="00D020FB" w:rsidRPr="00C15C83" w:rsidRDefault="00D020FB" w:rsidP="009515EF">
      <w:pPr>
        <w:pStyle w:val="FootnoteText"/>
        <w:ind w:left="567" w:hanging="567"/>
        <w:rPr>
          <w:sz w:val="24"/>
          <w:lang w:val="fi-FI"/>
        </w:rPr>
      </w:pPr>
      <w:r w:rsidRPr="009515EF">
        <w:rPr>
          <w:rStyle w:val="FootnoteReference"/>
          <w:sz w:val="24"/>
          <w:lang w:val="pt-PT"/>
        </w:rPr>
        <w:footnoteRef/>
      </w:r>
      <w:r w:rsidR="009515EF" w:rsidRPr="00C15C83">
        <w:rPr>
          <w:sz w:val="24"/>
          <w:lang w:val="fi-FI"/>
        </w:rPr>
        <w:t xml:space="preserve"> </w:t>
      </w:r>
      <w:r w:rsidR="009515EF" w:rsidRPr="00C15C83">
        <w:rPr>
          <w:sz w:val="24"/>
          <w:lang w:val="fi-FI"/>
        </w:rPr>
        <w:tab/>
      </w:r>
      <w:r w:rsidRPr="00C15C83">
        <w:rPr>
          <w:sz w:val="24"/>
          <w:lang w:val="fi-FI"/>
        </w:rPr>
        <w:t xml:space="preserve">JO L, 2024/1252, 3.5.2024, ELI: </w:t>
      </w:r>
      <w:hyperlink r:id="rId1" w:history="1">
        <w:r w:rsidRPr="00C15C83">
          <w:rPr>
            <w:rStyle w:val="Hyperlink"/>
            <w:sz w:val="24"/>
            <w:lang w:val="fi-FI"/>
          </w:rPr>
          <w:t>http://data.europa.eu/eli/reg/2024/1252/oj</w:t>
        </w:r>
      </w:hyperlink>
      <w:r w:rsidRPr="00C15C83">
        <w:rPr>
          <w:sz w:val="24"/>
          <w:lang w:val="fi-FI"/>
        </w:rPr>
        <w:t>.</w:t>
      </w:r>
    </w:p>
  </w:footnote>
  <w:footnote w:id="2">
    <w:p w14:paraId="4878A4E8" w14:textId="77777777" w:rsidR="00D020FB" w:rsidRPr="00C15C83" w:rsidRDefault="00D020FB" w:rsidP="009515EF">
      <w:pPr>
        <w:pStyle w:val="FootnoteText"/>
        <w:ind w:left="567" w:hanging="567"/>
        <w:rPr>
          <w:sz w:val="24"/>
          <w:lang w:val="fi-FI"/>
        </w:rPr>
      </w:pPr>
      <w:r w:rsidRPr="009515EF">
        <w:rPr>
          <w:rStyle w:val="FootnoteReference"/>
          <w:sz w:val="24"/>
          <w:lang w:val="pt-PT"/>
        </w:rPr>
        <w:footnoteRef/>
      </w:r>
      <w:r w:rsidR="009515EF" w:rsidRPr="00C15C83">
        <w:rPr>
          <w:sz w:val="24"/>
          <w:lang w:val="fi-FI"/>
        </w:rPr>
        <w:t xml:space="preserve"> </w:t>
      </w:r>
      <w:r w:rsidR="009515EF" w:rsidRPr="00C15C83">
        <w:rPr>
          <w:sz w:val="24"/>
          <w:lang w:val="fi-FI"/>
        </w:rPr>
        <w:tab/>
      </w:r>
      <w:r w:rsidRPr="00C15C83">
        <w:rPr>
          <w:sz w:val="24"/>
          <w:lang w:val="fi-FI"/>
        </w:rPr>
        <w:t xml:space="preserve">JO L, 2024/1735, 28.6.2024, ELI: </w:t>
      </w:r>
      <w:hyperlink r:id="rId2" w:history="1">
        <w:r w:rsidRPr="00C15C83">
          <w:rPr>
            <w:rStyle w:val="Hyperlink"/>
            <w:sz w:val="24"/>
            <w:lang w:val="fi-FI"/>
          </w:rPr>
          <w:t>http://data.europa.eu/eli/reg/2024/1735/oj</w:t>
        </w:r>
      </w:hyperlink>
      <w:r w:rsidRPr="00C15C8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9C42" w14:textId="77777777" w:rsidR="00064002" w:rsidRPr="009515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84026" w14:textId="77777777" w:rsidR="00064002" w:rsidRPr="009515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0D9D" w14:textId="77777777" w:rsidR="00064002" w:rsidRPr="009515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559267">
    <w:abstractNumId w:val="9"/>
  </w:num>
  <w:num w:numId="2" w16cid:durableId="47848556">
    <w:abstractNumId w:val="9"/>
  </w:num>
  <w:num w:numId="3" w16cid:durableId="285547881">
    <w:abstractNumId w:val="7"/>
  </w:num>
  <w:num w:numId="4" w16cid:durableId="2009357358">
    <w:abstractNumId w:val="7"/>
  </w:num>
  <w:num w:numId="5" w16cid:durableId="725639701">
    <w:abstractNumId w:val="6"/>
  </w:num>
  <w:num w:numId="6" w16cid:durableId="2033875231">
    <w:abstractNumId w:val="6"/>
  </w:num>
  <w:num w:numId="7" w16cid:durableId="2126347931">
    <w:abstractNumId w:val="5"/>
  </w:num>
  <w:num w:numId="8" w16cid:durableId="602809556">
    <w:abstractNumId w:val="5"/>
  </w:num>
  <w:num w:numId="9" w16cid:durableId="1828747351">
    <w:abstractNumId w:val="4"/>
  </w:num>
  <w:num w:numId="10" w16cid:durableId="756557830">
    <w:abstractNumId w:val="4"/>
  </w:num>
  <w:num w:numId="11" w16cid:durableId="2078169159">
    <w:abstractNumId w:val="8"/>
  </w:num>
  <w:num w:numId="12" w16cid:durableId="1200582249">
    <w:abstractNumId w:val="8"/>
  </w:num>
  <w:num w:numId="13" w16cid:durableId="938678289">
    <w:abstractNumId w:val="3"/>
  </w:num>
  <w:num w:numId="14" w16cid:durableId="881094488">
    <w:abstractNumId w:val="3"/>
  </w:num>
  <w:num w:numId="15" w16cid:durableId="2142309675">
    <w:abstractNumId w:val="2"/>
  </w:num>
  <w:num w:numId="16" w16cid:durableId="1431002391">
    <w:abstractNumId w:val="2"/>
  </w:num>
  <w:num w:numId="17" w16cid:durableId="1531450534">
    <w:abstractNumId w:val="1"/>
  </w:num>
  <w:num w:numId="18" w16cid:durableId="111365534">
    <w:abstractNumId w:val="1"/>
  </w:num>
  <w:num w:numId="19" w16cid:durableId="323969674">
    <w:abstractNumId w:val="0"/>
  </w:num>
  <w:num w:numId="20" w16cid:durableId="1529416023">
    <w:abstractNumId w:val="0"/>
  </w:num>
  <w:num w:numId="21" w16cid:durableId="510217532">
    <w:abstractNumId w:val="9"/>
  </w:num>
  <w:num w:numId="22" w16cid:durableId="1272281419">
    <w:abstractNumId w:val="7"/>
  </w:num>
  <w:num w:numId="23" w16cid:durableId="4207323">
    <w:abstractNumId w:val="6"/>
  </w:num>
  <w:num w:numId="24" w16cid:durableId="186677190">
    <w:abstractNumId w:val="5"/>
  </w:num>
  <w:num w:numId="25" w16cid:durableId="602767173">
    <w:abstractNumId w:val="4"/>
  </w:num>
  <w:num w:numId="26" w16cid:durableId="1060516952">
    <w:abstractNumId w:val="8"/>
  </w:num>
  <w:num w:numId="27" w16cid:durableId="2057872">
    <w:abstractNumId w:val="3"/>
  </w:num>
  <w:num w:numId="28" w16cid:durableId="715619397">
    <w:abstractNumId w:val="2"/>
  </w:num>
  <w:num w:numId="29" w16cid:durableId="1040974618">
    <w:abstractNumId w:val="1"/>
  </w:num>
  <w:num w:numId="30" w16cid:durableId="1461267511">
    <w:abstractNumId w:val="0"/>
  </w:num>
  <w:num w:numId="31" w16cid:durableId="1402756417">
    <w:abstractNumId w:val="9"/>
  </w:num>
  <w:num w:numId="32" w16cid:durableId="1842355086">
    <w:abstractNumId w:val="7"/>
  </w:num>
  <w:num w:numId="33" w16cid:durableId="1368292456">
    <w:abstractNumId w:val="6"/>
  </w:num>
  <w:num w:numId="34" w16cid:durableId="1172068932">
    <w:abstractNumId w:val="5"/>
  </w:num>
  <w:num w:numId="35" w16cid:durableId="1525972207">
    <w:abstractNumId w:val="4"/>
  </w:num>
  <w:num w:numId="36" w16cid:durableId="1825588684">
    <w:abstractNumId w:val="8"/>
  </w:num>
  <w:num w:numId="37" w16cid:durableId="2129857379">
    <w:abstractNumId w:val="3"/>
  </w:num>
  <w:num w:numId="38" w16cid:durableId="534120598">
    <w:abstractNumId w:val="2"/>
  </w:num>
  <w:num w:numId="39" w16cid:durableId="2003005132">
    <w:abstractNumId w:val="1"/>
  </w:num>
  <w:num w:numId="40" w16cid:durableId="2043049015">
    <w:abstractNumId w:val="0"/>
  </w:num>
  <w:num w:numId="41" w16cid:durableId="2013753395">
    <w:abstractNumId w:val="10"/>
  </w:num>
  <w:num w:numId="42" w16cid:durableId="1200363629">
    <w:abstractNumId w:val="10"/>
  </w:num>
  <w:num w:numId="43" w16cid:durableId="959646907">
    <w:abstractNumId w:val="10"/>
  </w:num>
  <w:num w:numId="44" w16cid:durableId="697006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24, 0329, 0330, 0331 e 0332/2025"/>
    <w:docVar w:name="dvlangue" w:val="PT"/>
    <w:docVar w:name="dvnumam" w:val="0"/>
    <w:docVar w:name="dvpe" w:val="774.020"/>
    <w:docVar w:name="dvtitre" w:val="Resolução do Parlamento Europeu, de ... de ... de 2025,_x000d__x000a_ sobre medidas para fazer face às restrições aplicadas pela China à exportação de matérias_x001e_primas críticas(2025/2800(RSP))"/>
  </w:docVars>
  <w:rsids>
    <w:rsidRoot w:val="006F124E"/>
    <w:rsid w:val="00002272"/>
    <w:rsid w:val="00064002"/>
    <w:rsid w:val="000677B9"/>
    <w:rsid w:val="000831BA"/>
    <w:rsid w:val="0009583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59C"/>
    <w:rsid w:val="004867E3"/>
    <w:rsid w:val="00494A28"/>
    <w:rsid w:val="0049609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24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8B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5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C83"/>
    <w:rsid w:val="00C23CD4"/>
    <w:rsid w:val="00C61C0C"/>
    <w:rsid w:val="00C941CB"/>
    <w:rsid w:val="00CC2357"/>
    <w:rsid w:val="00CF071A"/>
    <w:rsid w:val="00D020F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11F"/>
    <w:rsid w:val="00F5134D"/>
    <w:rsid w:val="00F668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D0900"/>
  <w15:chartTrackingRefBased/>
  <w15:docId w15:val="{8D44B471-390B-4224-9865-E4E6FFD8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020F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020F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020FB"/>
    <w:rPr>
      <w:sz w:val="24"/>
      <w:lang w:val="pt-PT"/>
    </w:rPr>
  </w:style>
  <w:style w:type="character" w:styleId="Hyperlink">
    <w:name w:val="Hyperlink"/>
    <w:basedOn w:val="DefaultParagraphFont"/>
    <w:rsid w:val="0049609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96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609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735/oj" TargetMode="External"/><Relationship Id="rId1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82831-ACF8-4250-9C24-A14F391C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2642</Words>
  <Characters>14852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CORISCO Vasco</cp:lastModifiedBy>
  <cp:revision>2</cp:revision>
  <cp:lastPrinted>2004-11-19T15:42:00Z</cp:lastPrinted>
  <dcterms:created xsi:type="dcterms:W3CDTF">2025-08-04T14:22:00Z</dcterms:created>
  <dcterms:modified xsi:type="dcterms:W3CDTF">2025-08-04T14:22:00Z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B10-0324, 0329, 0330, 0331 e 0332/2025</vt:lpwstr>
  </property>
  <property fmtid="{D5CDD505-2E9C-101B-9397-08002B2CF9AE}" pid="4" name="&lt;Type&gt;">
    <vt:lpwstr>RR</vt:lpwstr>
  </property>
</Properties>
</file>