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11A9" w14:paraId="7FD7665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2D01BE" w14:textId="77777777" w:rsidR="00751A4A" w:rsidRPr="00B711A9" w:rsidRDefault="00705A45" w:rsidP="0010095E">
            <w:pPr>
              <w:pStyle w:val="EPName"/>
            </w:pPr>
            <w:r w:rsidRPr="00B711A9">
              <w:t>Európsky parlament</w:t>
            </w:r>
          </w:p>
          <w:p w14:paraId="31A8A4ED" w14:textId="77777777" w:rsidR="00751A4A" w:rsidRPr="00B711A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11A9">
              <w:t>2024</w:t>
            </w:r>
            <w:r w:rsidR="00817416" w:rsidRPr="00B711A9">
              <w:t>-202</w:t>
            </w:r>
            <w:r w:rsidRPr="00B711A9">
              <w:t>9</w:t>
            </w:r>
          </w:p>
        </w:tc>
        <w:tc>
          <w:tcPr>
            <w:tcW w:w="2268" w:type="dxa"/>
            <w:shd w:val="clear" w:color="auto" w:fill="auto"/>
          </w:tcPr>
          <w:p w14:paraId="2DCBD5D7" w14:textId="77777777" w:rsidR="00751A4A" w:rsidRPr="00B711A9" w:rsidRDefault="00187494" w:rsidP="0010095E">
            <w:pPr>
              <w:pStyle w:val="EPLogo"/>
            </w:pPr>
            <w:r w:rsidRPr="00B711A9">
              <w:rPr>
                <w:noProof/>
                <w:lang w:eastAsia="ja-JP"/>
              </w:rPr>
              <w:drawing>
                <wp:inline distT="0" distB="0" distL="0" distR="0" wp14:anchorId="535E0AD6" wp14:editId="59D2A64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7E9551" w14:textId="77777777" w:rsidR="00D058B8" w:rsidRPr="00B711A9" w:rsidRDefault="00D058B8" w:rsidP="004C5D52">
      <w:pPr>
        <w:pStyle w:val="LineTop"/>
      </w:pPr>
    </w:p>
    <w:p w14:paraId="6432F966" w14:textId="77777777" w:rsidR="00680577" w:rsidRPr="00B711A9" w:rsidRDefault="00705A45" w:rsidP="00680577">
      <w:pPr>
        <w:pStyle w:val="EPBodyTA1"/>
      </w:pPr>
      <w:r w:rsidRPr="00B711A9">
        <w:t>PRIJATÉ TEXTY</w:t>
      </w:r>
    </w:p>
    <w:p w14:paraId="1296A802" w14:textId="77777777" w:rsidR="00D058B8" w:rsidRPr="00B711A9" w:rsidRDefault="00D058B8" w:rsidP="00D058B8">
      <w:pPr>
        <w:pStyle w:val="LineBottom"/>
      </w:pPr>
    </w:p>
    <w:p w14:paraId="38B8020F" w14:textId="61774E2C" w:rsidR="00705A45" w:rsidRPr="00B711A9" w:rsidRDefault="00705A45" w:rsidP="00705A45">
      <w:pPr>
        <w:pStyle w:val="ATHeading1"/>
      </w:pPr>
      <w:bookmarkStart w:id="0" w:name="TANumber"/>
      <w:r w:rsidRPr="00B711A9">
        <w:t>P10_TA(2025)0</w:t>
      </w:r>
      <w:r w:rsidR="00B711A9" w:rsidRPr="00B711A9">
        <w:t>16</w:t>
      </w:r>
      <w:r w:rsidR="00384F52">
        <w:t>6</w:t>
      </w:r>
      <w:bookmarkEnd w:id="0"/>
    </w:p>
    <w:p w14:paraId="0633CF2C" w14:textId="77777777" w:rsidR="00705A45" w:rsidRPr="00B711A9" w:rsidRDefault="00705A45" w:rsidP="00705A45">
      <w:pPr>
        <w:pStyle w:val="ATHeading2"/>
      </w:pPr>
      <w:bookmarkStart w:id="1" w:name="title"/>
      <w:r w:rsidRPr="00B711A9">
        <w:t>Riešenie problému čínskych obmedzení týkajúcich sa vývozu kritických surovín</w:t>
      </w:r>
      <w:bookmarkEnd w:id="1"/>
    </w:p>
    <w:p w14:paraId="0C9F76AC" w14:textId="77777777" w:rsidR="00705A45" w:rsidRPr="00B711A9" w:rsidRDefault="00705A45" w:rsidP="00705A45">
      <w:pPr>
        <w:rPr>
          <w:i/>
          <w:vanish/>
        </w:rPr>
      </w:pPr>
      <w:r w:rsidRPr="00B711A9">
        <w:rPr>
          <w:i/>
        </w:rPr>
        <w:fldChar w:fldCharType="begin"/>
      </w:r>
      <w:r w:rsidRPr="00B711A9">
        <w:rPr>
          <w:i/>
        </w:rPr>
        <w:instrText xml:space="preserve"> TC"(</w:instrText>
      </w:r>
      <w:bookmarkStart w:id="2" w:name="DocNumber"/>
      <w:r w:rsidRPr="00B711A9">
        <w:rPr>
          <w:i/>
        </w:rPr>
        <w:instrText>B10-0324, 0329, 0330, 0331 a 0332/2025</w:instrText>
      </w:r>
      <w:bookmarkEnd w:id="2"/>
      <w:r w:rsidRPr="00B711A9">
        <w:rPr>
          <w:i/>
        </w:rPr>
        <w:instrText xml:space="preserve">)"\l3 \n&gt; \* MERGEFORMAT </w:instrText>
      </w:r>
      <w:r w:rsidRPr="00B711A9">
        <w:rPr>
          <w:i/>
        </w:rPr>
        <w:fldChar w:fldCharType="end"/>
      </w:r>
    </w:p>
    <w:p w14:paraId="5C9853FD" w14:textId="77777777" w:rsidR="00705A45" w:rsidRPr="00B711A9" w:rsidRDefault="00705A45" w:rsidP="00705A45">
      <w:pPr>
        <w:rPr>
          <w:vanish/>
        </w:rPr>
      </w:pPr>
      <w:bookmarkStart w:id="3" w:name="PE"/>
      <w:r w:rsidRPr="00B711A9">
        <w:rPr>
          <w:vanish/>
        </w:rPr>
        <w:t>PE774.020</w:t>
      </w:r>
      <w:bookmarkEnd w:id="3"/>
    </w:p>
    <w:p w14:paraId="5ADAF0E4" w14:textId="30037EE0" w:rsidR="00705A45" w:rsidRPr="00B711A9" w:rsidRDefault="00705A45" w:rsidP="00705A45">
      <w:pPr>
        <w:pStyle w:val="ATHeading3"/>
      </w:pPr>
      <w:bookmarkStart w:id="4" w:name="Sujet"/>
      <w:r w:rsidRPr="00B711A9">
        <w:t>Uznesenie Európskeho parlamentu z</w:t>
      </w:r>
      <w:r w:rsidR="00F4098F" w:rsidRPr="00B711A9">
        <w:t> 10</w:t>
      </w:r>
      <w:r w:rsidRPr="00B711A9">
        <w:t>. júla 2025 o riešení problému čínskych obmedzení vývozu kritických surovín</w:t>
      </w:r>
      <w:bookmarkEnd w:id="4"/>
      <w:r w:rsidRPr="00B711A9">
        <w:t xml:space="preserve"> </w:t>
      </w:r>
      <w:bookmarkStart w:id="5" w:name="References"/>
      <w:r w:rsidRPr="00B711A9">
        <w:t>(2025/2800(RSP))</w:t>
      </w:r>
      <w:bookmarkEnd w:id="5"/>
    </w:p>
    <w:p w14:paraId="00113242" w14:textId="77777777" w:rsidR="00CC551C" w:rsidRPr="00B711A9" w:rsidRDefault="00CC551C" w:rsidP="00CC551C">
      <w:pPr>
        <w:pStyle w:val="EPComma"/>
      </w:pPr>
      <w:bookmarkStart w:id="6" w:name="TextBodyBegin"/>
      <w:bookmarkEnd w:id="6"/>
      <w:r w:rsidRPr="00B711A9">
        <w:rPr>
          <w:i/>
        </w:rPr>
        <w:t>Európsky parlament</w:t>
      </w:r>
      <w:r w:rsidRPr="00B711A9">
        <w:t>,</w:t>
      </w:r>
    </w:p>
    <w:p w14:paraId="2EC1BF0E" w14:textId="77777777" w:rsidR="00CC551C" w:rsidRPr="00B711A9" w:rsidRDefault="00CC551C" w:rsidP="00CC551C">
      <w:pPr>
        <w:pStyle w:val="NormalHanging12a"/>
      </w:pPr>
      <w:r w:rsidRPr="00B711A9">
        <w:t>–</w:t>
      </w:r>
      <w:r w:rsidRPr="00B711A9">
        <w:tab/>
        <w:t>so zreteľom na svoje predchádzajúce uznesenia o Číne,</w:t>
      </w:r>
    </w:p>
    <w:p w14:paraId="59CB54F3" w14:textId="3DE0AE8B" w:rsidR="00CC551C" w:rsidRPr="00B711A9" w:rsidRDefault="00CC551C" w:rsidP="00CC551C">
      <w:pPr>
        <w:pStyle w:val="NormalHanging12a"/>
      </w:pPr>
      <w:r w:rsidRPr="00B711A9">
        <w:t>–</w:t>
      </w:r>
      <w:r w:rsidRPr="00B711A9">
        <w:tab/>
        <w:t xml:space="preserve">so zreteľom na nadchádzajúci samit EÚ – Čína naplánovaný na 24. </w:t>
      </w:r>
      <w:r w:rsidR="00F4098F" w:rsidRPr="00B711A9">
        <w:t>a</w:t>
      </w:r>
      <w:r w:rsidRPr="00B711A9">
        <w:t xml:space="preserve"> 25. júla 2025,</w:t>
      </w:r>
    </w:p>
    <w:p w14:paraId="6886E616" w14:textId="77777777" w:rsidR="00CC551C" w:rsidRPr="00B711A9" w:rsidRDefault="00CC551C" w:rsidP="00CC551C">
      <w:pPr>
        <w:pStyle w:val="NormalHanging12a"/>
      </w:pPr>
      <w:r w:rsidRPr="00B711A9">
        <w:t>–</w:t>
      </w:r>
      <w:r w:rsidRPr="00B711A9">
        <w:tab/>
        <w:t>so zreteľom na nariadenie Európskeho parlamentu a Rady (EÚ) 2024/1252 z 11. apríla 2024, ktorým sa stanovuje rámec na zaistenie bezpečných a udržateľných dodávok kritických surovín a ktorým sa menia nariadenia (EÚ) č. 168/2013, (EÚ) 2018/858, (EÚ) 2018/1724 a (EÚ) 2019/1020</w:t>
      </w:r>
      <w:r w:rsidRPr="00B711A9">
        <w:rPr>
          <w:rStyle w:val="FootnoteReference"/>
        </w:rPr>
        <w:footnoteReference w:id="1"/>
      </w:r>
      <w:r w:rsidRPr="00B711A9">
        <w:t>, známe aj ako európsky akt o kritických surovinách (CRMA),</w:t>
      </w:r>
    </w:p>
    <w:p w14:paraId="1A35C4D8" w14:textId="77777777" w:rsidR="00CC551C" w:rsidRPr="00B711A9" w:rsidRDefault="00CC551C" w:rsidP="00CC551C">
      <w:pPr>
        <w:pStyle w:val="NormalHanging12a"/>
      </w:pPr>
      <w:r w:rsidRPr="00B711A9">
        <w:t>–</w:t>
      </w:r>
      <w:r w:rsidRPr="00B711A9">
        <w:tab/>
        <w:t>so zreteľom na nariadenie Európskeho parlamentu a Rady (EÚ) 2024/1735 z 13. júna 2024 o zriadení rámca opatrení na posilnenie európskeho ekosystému výroby emisne neutrálnych technológií a o zmene nariadenia (EÚ) 2018/1724</w:t>
      </w:r>
      <w:r w:rsidRPr="00B711A9">
        <w:rPr>
          <w:rStyle w:val="FootnoteReference"/>
        </w:rPr>
        <w:footnoteReference w:id="2"/>
      </w:r>
      <w:r w:rsidRPr="00B711A9">
        <w:t xml:space="preserve"> (akt o emisne neutrálnom priemysle),</w:t>
      </w:r>
    </w:p>
    <w:p w14:paraId="1BCD46B2" w14:textId="77777777" w:rsidR="00CC551C" w:rsidRPr="00B711A9" w:rsidRDefault="00CC551C" w:rsidP="00CC551C">
      <w:pPr>
        <w:pStyle w:val="NormalHanging12a"/>
      </w:pPr>
      <w:r w:rsidRPr="00B711A9">
        <w:t>–</w:t>
      </w:r>
      <w:r w:rsidRPr="00B711A9">
        <w:tab/>
        <w:t>so zreteľom na vyhlásenie vedúcich predstaviteľov skupiny G7 o akčnom pláne skupiny G7 pre kritické nerasty,</w:t>
      </w:r>
    </w:p>
    <w:p w14:paraId="2D1DE54B" w14:textId="77777777" w:rsidR="00CC551C" w:rsidRPr="00B711A9" w:rsidRDefault="00CC551C" w:rsidP="00CC551C">
      <w:pPr>
        <w:pStyle w:val="NormalHanging12a"/>
      </w:pPr>
      <w:r w:rsidRPr="00B711A9">
        <w:t>–</w:t>
      </w:r>
      <w:r w:rsidRPr="00B711A9">
        <w:tab/>
        <w:t xml:space="preserve">so zreteľom na oznámenie Komisie z 26. februára 2025 s názvom Dohoda o čistom priemysle: spoločný plán </w:t>
      </w:r>
      <w:proofErr w:type="spellStart"/>
      <w:r w:rsidRPr="00B711A9">
        <w:t>konkurenciechopnosti</w:t>
      </w:r>
      <w:proofErr w:type="spellEnd"/>
      <w:r w:rsidRPr="00B711A9">
        <w:t xml:space="preserve"> a dekarbonizácie (COM(2025)0085),</w:t>
      </w:r>
    </w:p>
    <w:p w14:paraId="6EF244C9" w14:textId="77777777" w:rsidR="00CC551C" w:rsidRPr="00B711A9" w:rsidRDefault="00CC551C" w:rsidP="00CC551C">
      <w:pPr>
        <w:pStyle w:val="NormalHanging12a"/>
      </w:pPr>
      <w:r w:rsidRPr="00B711A9">
        <w:t>–</w:t>
      </w:r>
      <w:r w:rsidRPr="00B711A9">
        <w:tab/>
        <w:t>so zreteľom na partnerstvá pre čistý obchod a investície, o ktorých rokuje EÚ, a na partnerstvá EÚ v oblasti kritických surovín,</w:t>
      </w:r>
    </w:p>
    <w:p w14:paraId="5F45CB5A" w14:textId="77777777" w:rsidR="00CC551C" w:rsidRPr="00B711A9" w:rsidRDefault="00CC551C" w:rsidP="00CC551C">
      <w:pPr>
        <w:pStyle w:val="NormalHanging12a"/>
      </w:pPr>
      <w:r w:rsidRPr="00B711A9">
        <w:t>–</w:t>
      </w:r>
      <w:r w:rsidRPr="00B711A9">
        <w:tab/>
        <w:t xml:space="preserve">so zreteľom na spoločné oznámenie Komisie a vysokej predstaviteľky Únie pre zahraničné veci a bezpečnostnú politiku z 20. júna 2023 o Európskej stratégii hospodárskej bezpečnosti (JOIN(2023)0020) a na prejavy predsedníčky Komisie </w:t>
      </w:r>
      <w:proofErr w:type="spellStart"/>
      <w:r w:rsidRPr="00B711A9">
        <w:t>Ursuly</w:t>
      </w:r>
      <w:proofErr w:type="spellEnd"/>
      <w:r w:rsidRPr="00B711A9">
        <w:t xml:space="preserve"> </w:t>
      </w:r>
      <w:r w:rsidRPr="00B711A9">
        <w:lastRenderedPageBreak/>
        <w:t xml:space="preserve">von der </w:t>
      </w:r>
      <w:proofErr w:type="spellStart"/>
      <w:r w:rsidRPr="00B711A9">
        <w:t>Leyenovej</w:t>
      </w:r>
      <w:proofErr w:type="spellEnd"/>
      <w:r w:rsidRPr="00B711A9">
        <w:t xml:space="preserve"> o znižovaní rizika, s ktorými vystúpila 30. marca 2023 v Centre pre európsku politiku a 18. apríla 2023 v Európskom parlamente,</w:t>
      </w:r>
    </w:p>
    <w:p w14:paraId="1397311C" w14:textId="77777777" w:rsidR="00CC551C" w:rsidRPr="00B711A9" w:rsidRDefault="00CC551C" w:rsidP="00CC551C">
      <w:pPr>
        <w:pStyle w:val="NormalHanging12a"/>
      </w:pPr>
      <w:r w:rsidRPr="00B711A9">
        <w:t>–</w:t>
      </w:r>
      <w:r w:rsidRPr="00B711A9">
        <w:tab/>
        <w:t xml:space="preserve">so zreteľom na 13. strategický dialóg medzi EÚ a Čínou, ktorý viedli podpredsedníčka Komisie/vysoká predstaviteľka Únie pre zahraničné veci a bezpečnostnú politiku (PK/VP) </w:t>
      </w:r>
      <w:proofErr w:type="spellStart"/>
      <w:r w:rsidRPr="00B711A9">
        <w:t>Kaja</w:t>
      </w:r>
      <w:proofErr w:type="spellEnd"/>
      <w:r w:rsidRPr="00B711A9">
        <w:t xml:space="preserve"> </w:t>
      </w:r>
      <w:proofErr w:type="spellStart"/>
      <w:r w:rsidRPr="00B711A9">
        <w:t>Kallas</w:t>
      </w:r>
      <w:proofErr w:type="spellEnd"/>
      <w:r w:rsidRPr="00B711A9">
        <w:t xml:space="preserve"> a čínsky minister zahraničných vecí </w:t>
      </w:r>
      <w:proofErr w:type="spellStart"/>
      <w:r w:rsidRPr="00B711A9">
        <w:t>Wang</w:t>
      </w:r>
      <w:proofErr w:type="spellEnd"/>
      <w:r w:rsidRPr="00B711A9">
        <w:t xml:space="preserve"> </w:t>
      </w:r>
      <w:proofErr w:type="spellStart"/>
      <w:r w:rsidRPr="00B711A9">
        <w:t>Yi</w:t>
      </w:r>
      <w:proofErr w:type="spellEnd"/>
      <w:r w:rsidRPr="00B711A9">
        <w:t xml:space="preserve"> v Bruseli 2. júla 2025,</w:t>
      </w:r>
    </w:p>
    <w:p w14:paraId="2A43CADA" w14:textId="77777777" w:rsidR="00CC551C" w:rsidRPr="00B711A9" w:rsidRDefault="00CC551C" w:rsidP="00CC551C">
      <w:pPr>
        <w:pStyle w:val="NormalHanging12a"/>
      </w:pPr>
      <w:r w:rsidRPr="00B711A9">
        <w:t>–</w:t>
      </w:r>
      <w:r w:rsidRPr="00B711A9">
        <w:tab/>
        <w:t xml:space="preserve">so zreteľom na vyhlásenia predsedníčky Komisie </w:t>
      </w:r>
      <w:proofErr w:type="spellStart"/>
      <w:r w:rsidRPr="00B711A9">
        <w:t>Ursuly</w:t>
      </w:r>
      <w:proofErr w:type="spellEnd"/>
      <w:r w:rsidRPr="00B711A9">
        <w:t xml:space="preserve"> von der </w:t>
      </w:r>
      <w:proofErr w:type="spellStart"/>
      <w:r w:rsidRPr="00B711A9">
        <w:t>Leyenovej</w:t>
      </w:r>
      <w:proofErr w:type="spellEnd"/>
      <w:r w:rsidRPr="00B711A9">
        <w:t xml:space="preserve"> na samite G7, ktorý sa konal od 16. do 17. júna 2025 v </w:t>
      </w:r>
      <w:proofErr w:type="spellStart"/>
      <w:r w:rsidRPr="00B711A9">
        <w:t>Kananaskise</w:t>
      </w:r>
      <w:proofErr w:type="spellEnd"/>
      <w:r w:rsidRPr="00B711A9">
        <w:t xml:space="preserve"> (Kanada),</w:t>
      </w:r>
    </w:p>
    <w:p w14:paraId="05C9D235" w14:textId="77777777" w:rsidR="00CC551C" w:rsidRPr="00B711A9" w:rsidRDefault="00CC551C" w:rsidP="00CC551C">
      <w:pPr>
        <w:pStyle w:val="NormalHanging12a"/>
      </w:pPr>
      <w:r w:rsidRPr="00B711A9">
        <w:t>–</w:t>
      </w:r>
      <w:r w:rsidRPr="00B711A9">
        <w:tab/>
        <w:t>so zreteľom na pravidlá Svetovej obchodnej organizácie (WTO), najmä na zásady nediskriminácie a transparentnosti v súvislosti s vývoznými obmedzeniami,</w:t>
      </w:r>
    </w:p>
    <w:p w14:paraId="2A91F9E5" w14:textId="77777777" w:rsidR="00CC551C" w:rsidRPr="00B711A9" w:rsidRDefault="00CC551C" w:rsidP="00CC551C">
      <w:pPr>
        <w:pStyle w:val="NormalHanging12a"/>
      </w:pPr>
      <w:r w:rsidRPr="00B711A9">
        <w:t>–</w:t>
      </w:r>
      <w:r w:rsidRPr="00B711A9">
        <w:tab/>
        <w:t>so zreteľom na rozhodnutia orgánu WTO na urovnávanie sporov DS431, DS432 a DS433 o čínskych obmedzeniach vývozu kritických surovín,</w:t>
      </w:r>
    </w:p>
    <w:p w14:paraId="3D2C9A56" w14:textId="77777777" w:rsidR="00CC551C" w:rsidRPr="00B711A9" w:rsidRDefault="00CC551C" w:rsidP="00CC551C">
      <w:pPr>
        <w:pStyle w:val="NormalHanging12a"/>
      </w:pPr>
      <w:r w:rsidRPr="00B711A9">
        <w:t>–</w:t>
      </w:r>
      <w:r w:rsidRPr="00B711A9">
        <w:tab/>
        <w:t>so zreteľom na hlavné zásady OSN v oblasti podnikania a ľudských práv,</w:t>
      </w:r>
    </w:p>
    <w:p w14:paraId="7329AE67" w14:textId="77777777" w:rsidR="00CC551C" w:rsidRPr="00B711A9" w:rsidRDefault="00CC551C" w:rsidP="00CC551C">
      <w:pPr>
        <w:pStyle w:val="NormalHanging12a"/>
      </w:pPr>
      <w:r w:rsidRPr="00B711A9">
        <w:t>–</w:t>
      </w:r>
      <w:r w:rsidRPr="00B711A9">
        <w:tab/>
        <w:t>so zreteľom na článok 136 ods. 2 a 4 rokovacieho poriadku,</w:t>
      </w:r>
    </w:p>
    <w:p w14:paraId="2114AB78" w14:textId="77777777" w:rsidR="00CC551C" w:rsidRPr="00B711A9" w:rsidRDefault="00CC551C" w:rsidP="00CC551C">
      <w:pPr>
        <w:pStyle w:val="NormalHanging12a"/>
      </w:pPr>
      <w:r w:rsidRPr="00B711A9">
        <w:t>A.</w:t>
      </w:r>
      <w:r w:rsidRPr="00B711A9">
        <w:tab/>
        <w:t>keďže Čína začala 4. apríla 2025 uplatňovať obmedzenia vývozu siedmich zo sedemnástich kovov vzácnych zemín a permanentných magnetov, ktoré sa z nich vyrábajú, pričom zaviedla systém neautomatických licencií a ako odôvodnenie uviedla aspekty dvojakého použitia a bezpečnosti; keďže zoznam položiek, na ktoré sa vzťahujú obmedzenia, zahŕňa stredné a ťažké kovy vzácnych zemín (samárium, gadolínium, terbium, dysprózium, lutécium, skandium a ytrium);</w:t>
      </w:r>
    </w:p>
    <w:p w14:paraId="3102CC6C" w14:textId="77777777" w:rsidR="00CC551C" w:rsidRPr="00B711A9" w:rsidRDefault="00CC551C" w:rsidP="00CC551C">
      <w:pPr>
        <w:pStyle w:val="NormalHanging12a"/>
      </w:pPr>
      <w:r w:rsidRPr="00B711A9">
        <w:t>B.</w:t>
      </w:r>
      <w:r w:rsidRPr="00B711A9">
        <w:tab/>
        <w:t>keďže kritické suroviny sú základným vstupným materiálom pre širokú škálu priemyselných výrobkov a procesov, a to aj v kritických odvetviach, ako sú čisté technológie, digitálne technológie, zdravotná starostlivosť a obrana; keďže bezpečné a udržateľné dodávky kritických surovín majú zásadný význam pre dosiahnutie cieľov Únie v oblasti klímy, digitálnych technológií, konkurencieschopnosti a obrany;</w:t>
      </w:r>
    </w:p>
    <w:p w14:paraId="53691D0E" w14:textId="77777777" w:rsidR="00CC551C" w:rsidRPr="00B711A9" w:rsidRDefault="00CC551C" w:rsidP="00CC551C">
      <w:pPr>
        <w:pStyle w:val="NormalHanging12a"/>
      </w:pPr>
      <w:r w:rsidRPr="00B711A9">
        <w:t>C.</w:t>
      </w:r>
      <w:r w:rsidRPr="00B711A9">
        <w:tab/>
        <w:t>keďže objem vývozu údajne klesol až o 80 %, čo má veľký vplyv na širokú škálu odvetví, ako sú okrem iného elektronika a spotrebiteľské technológie, zelená energia a obnoviteľné zdroje energie, automobilový priemysel, letecký a kozmický priemysel a zdravotná starostlivosť;</w:t>
      </w:r>
    </w:p>
    <w:p w14:paraId="028C896B" w14:textId="77777777" w:rsidR="00CC551C" w:rsidRPr="00B711A9" w:rsidRDefault="00CC551C" w:rsidP="00CC551C">
      <w:pPr>
        <w:pStyle w:val="NormalHanging12a"/>
      </w:pPr>
      <w:r w:rsidRPr="00B711A9">
        <w:t>D.</w:t>
      </w:r>
      <w:r w:rsidRPr="00B711A9">
        <w:tab/>
        <w:t xml:space="preserve">keďže závislosť EÚ od Číny v oblasti kritických surovín naďalej rastie alebo v najlepšom prípade zostáva stále vysoká; keďže celosvetový dodávateľský reťazec kovov vzácnych zemín je vo veľkej miere koncentrovaný v Číne, ktorá má kontrolu nad približne 75 % ťažobnej produkcie a 85 % spracovateľskej kapacity, pričom v prípade niektorých kovov vzácnych zemín, ako je terbium, ytrium a dysprózium, dosahuje viac ako 95 %; keďže EÚ je naďalej príliš závislá od tretích krajín, pokiaľ ide o dodávky kritických surovín, a je takmer úplne závislá od Číny, pokiaľ ide o dodávky ťažkých kovov vzácnych zemín; keďže EÚ pokrýva 98 % svojho dopytu po permanentných magnetoch a 92 % svojho dopytu po </w:t>
      </w:r>
      <w:proofErr w:type="spellStart"/>
      <w:r w:rsidRPr="00B711A9">
        <w:t>NdFeB</w:t>
      </w:r>
      <w:proofErr w:type="spellEnd"/>
      <w:r w:rsidRPr="00B711A9">
        <w:t xml:space="preserve"> magnetoch dovozom z Číny;</w:t>
      </w:r>
    </w:p>
    <w:p w14:paraId="64806D7D" w14:textId="77777777" w:rsidR="00CC551C" w:rsidRPr="00B711A9" w:rsidRDefault="00CC551C" w:rsidP="00CC551C">
      <w:pPr>
        <w:pStyle w:val="NormalHanging12a"/>
        <w:rPr>
          <w:rFonts w:eastAsia="Calibri"/>
        </w:rPr>
      </w:pPr>
      <w:r w:rsidRPr="00B711A9">
        <w:t>E.</w:t>
      </w:r>
      <w:r w:rsidRPr="00B711A9">
        <w:tab/>
        <w:t xml:space="preserve">keďže Čína výrazne rozšírila svoje dominantné postavenie v celosvetovej ťažbe, spracovaní a rafinácii kritických surovín a medziproduktov, čím vytvorila strategickú závislosť v kľúčových hodnotových reťazcoch, čo sa niekedy zámerne využívalo </w:t>
      </w:r>
      <w:r w:rsidRPr="00B711A9">
        <w:lastRenderedPageBreak/>
        <w:t>prostredníctvom reštriktívnych obchodných opatrení; keďže Čína v roku 2010 najprv obmedzila vývoz kovov vzácnych zemín v dôsledku územného sporu s Japonskom a toto obmedzenie bolo Odvolacím orgánom vyhlásené za nezlučiteľné s pravidlami WTO; keďže Čína uplatňuje rozsiahle obmedzenia aj na vývoz nerastov, ktoré sú podľa EÚ klasifikované ako strategické a/alebo kritické, okrem iného na gálium a germánium od 1. augusta 2023, na grafit od decembra 2023, na antimónové výrobky od 15. septembra 2024, volfrám a bizmut od 4. februára 2025 a na skandium od 17. apríla 2025;</w:t>
      </w:r>
    </w:p>
    <w:p w14:paraId="2DF54747" w14:textId="77777777" w:rsidR="00CC551C" w:rsidRPr="00B711A9" w:rsidRDefault="00CC551C" w:rsidP="00CC551C">
      <w:pPr>
        <w:pStyle w:val="NormalHanging12a"/>
      </w:pPr>
      <w:r w:rsidRPr="00B711A9">
        <w:t>F.</w:t>
      </w:r>
      <w:r w:rsidRPr="00B711A9">
        <w:tab/>
        <w:t xml:space="preserve">keďže vykonávanie týchto vývozných obmedzení už začalo vážne narúšať priemysel v EÚ vrátane automobilového priemyslu, pričom v máji 2025 bolo dočasne odstavených až 17 montážnych liniek; keďže narušeniu by čoskoro mohla čeliť široká škála odvetví, ako je napríklad odvetvie zdravotnej starostlivosti, vesmírny sektor a obrana (vrátane stíhačiek, fregát, </w:t>
      </w:r>
      <w:proofErr w:type="spellStart"/>
      <w:r w:rsidRPr="00B711A9">
        <w:t>dronov</w:t>
      </w:r>
      <w:proofErr w:type="spellEnd"/>
      <w:r w:rsidRPr="00B711A9">
        <w:t xml:space="preserve"> a presne riadených zbraňových systémov), veterné turbíny a batérie, rovnako ako súbežná zelená a digitálna transformácia;</w:t>
      </w:r>
    </w:p>
    <w:p w14:paraId="35BC4ABB" w14:textId="77777777" w:rsidR="00CC551C" w:rsidRPr="00B711A9" w:rsidRDefault="00CC551C" w:rsidP="00CC551C">
      <w:pPr>
        <w:pStyle w:val="NormalHanging12a"/>
        <w:rPr>
          <w:rFonts w:eastAsia="Calibri"/>
        </w:rPr>
      </w:pPr>
      <w:r w:rsidRPr="00B711A9">
        <w:t>G.</w:t>
      </w:r>
      <w:r w:rsidRPr="00B711A9">
        <w:tab/>
        <w:t xml:space="preserve">keďže v čínskom licenčnom konaní sa od žiadateľov vyžaduje, aby čínskym orgánom zverejňovali citlivé informácie, čo je v rozpore s hospodárskym tajomstvom; keďže aktualizovaný čínsky rámec kontroly vývozu z decembra 2024 poskytuje čínskemu ministerstvu obchodu, Štátnej rade a Ústrednej vojenskej komisii väčšie </w:t>
      </w:r>
      <w:proofErr w:type="spellStart"/>
      <w:r w:rsidRPr="00B711A9">
        <w:t>diskrečné</w:t>
      </w:r>
      <w:proofErr w:type="spellEnd"/>
      <w:r w:rsidRPr="00B711A9">
        <w:t xml:space="preserve"> právomoci, aby položky, ktoré nie sú formálne uvedené ako tovar s dvojakým použitím, podliehali kontrolám vývozu; keďže tieto nové predpisy zahŕňajú opatrenia s </w:t>
      </w:r>
      <w:proofErr w:type="spellStart"/>
      <w:r w:rsidRPr="00B711A9">
        <w:t>extrateritoriálnym</w:t>
      </w:r>
      <w:proofErr w:type="spellEnd"/>
      <w:r w:rsidRPr="00B711A9">
        <w:t xml:space="preserve"> uplatňovaním;</w:t>
      </w:r>
    </w:p>
    <w:p w14:paraId="138BBCE8" w14:textId="77777777" w:rsidR="00CC551C" w:rsidRPr="00B711A9" w:rsidRDefault="00CC551C" w:rsidP="00CC551C">
      <w:pPr>
        <w:pStyle w:val="NormalHanging12a"/>
        <w:rPr>
          <w:rFonts w:eastAsia="Calibri"/>
        </w:rPr>
      </w:pPr>
      <w:r w:rsidRPr="00B711A9">
        <w:t>H.</w:t>
      </w:r>
      <w:r w:rsidRPr="00B711A9">
        <w:tab/>
        <w:t>keďže EÚ uplatňuje kontroly vývozu na určité druhy kritických surovín a progresívnych materiálov, no tieto kontroly sú jasne zamerané na druhy materiálov s presnými technickými parametrami týkajúcimi sa ich použitia v konkrétnych vojenských aplikáciách, nemajú vplyv na obchod s komerčnými necitlivými výrobkami a predstavujú len malý podiel na celkovom vývoze príslušných materiálov;</w:t>
      </w:r>
    </w:p>
    <w:p w14:paraId="72DAC301" w14:textId="77777777" w:rsidR="00CC551C" w:rsidRPr="00B711A9" w:rsidRDefault="00CC551C" w:rsidP="00CC551C">
      <w:pPr>
        <w:pStyle w:val="NormalHanging12a"/>
        <w:rPr>
          <w:rFonts w:eastAsia="Calibri"/>
        </w:rPr>
      </w:pPr>
      <w:r w:rsidRPr="00B711A9">
        <w:t>I.</w:t>
      </w:r>
      <w:r w:rsidRPr="00B711A9">
        <w:tab/>
        <w:t xml:space="preserve">keďže Čína zámerne presadzovala stratégiu cenového podhodnotenia na svetovom trhu a zároveň udržiavala svoj domáci trh zatvorený, vo všeobecnosti v prospech štátnych podnikov, čo v kombinácii s obrovskými systémami dotácií vedie k výraznému narušeniu celosvetovej hospodárskej súťaže a ohrozuje nedávne úsilie EÚ a členských štátov udržať pri živote zostávajúce ťažobné odvetvia EÚ; </w:t>
      </w:r>
    </w:p>
    <w:p w14:paraId="4D77FC71" w14:textId="77777777" w:rsidR="00CC551C" w:rsidRPr="00B711A9" w:rsidRDefault="00CC551C" w:rsidP="00CC551C">
      <w:pPr>
        <w:pStyle w:val="NormalHanging12a"/>
      </w:pPr>
      <w:r w:rsidRPr="00B711A9">
        <w:t>J.</w:t>
      </w:r>
      <w:r w:rsidRPr="00B711A9">
        <w:tab/>
        <w:t xml:space="preserve">keďže EÚ prijala v apríli 2024 európsky akt o kritických surovinách ako východiskový bod pre úsilia zamerané na zlepšenie odolnosti a autonómie európskych dodávok kritických surovín vrátane strategických surovín; keďže európsky akt o kritických surovinách sa zaoberá stranou ponuky aj dopytu, a to aj prostredníctvom cieľov výroby, efektívneho využívania zdrojov zameraného na zmiernenie spotreby a nahradzovanie strategických surovín; keďže </w:t>
      </w:r>
      <w:proofErr w:type="spellStart"/>
      <w:r w:rsidRPr="00B711A9">
        <w:t>obehovosť</w:t>
      </w:r>
      <w:proofErr w:type="spellEnd"/>
      <w:r w:rsidRPr="00B711A9">
        <w:t xml:space="preserve"> je jadrom európskeho aktu o kritických surovinách, ktorý má za cieľ pokryť 25 % potrieb Únie v oblasti strategických surovín prostredníctvom recyklácie do roku 2030 a recyklovať podstatne väčšie množstvá každej strategickej suroviny z odpadu, okrem iného na výrobu permanentných magnetov;</w:t>
      </w:r>
    </w:p>
    <w:p w14:paraId="0F1C574A" w14:textId="77777777" w:rsidR="00CC551C" w:rsidRPr="00B711A9" w:rsidRDefault="00CC551C" w:rsidP="00CC551C">
      <w:pPr>
        <w:pStyle w:val="NormalHanging12a"/>
        <w:rPr>
          <w:bCs/>
        </w:rPr>
      </w:pPr>
      <w:r w:rsidRPr="00B711A9">
        <w:t>K.</w:t>
      </w:r>
      <w:r w:rsidRPr="00B711A9">
        <w:tab/>
        <w:t>keďže nadchádzajúci samit EÚ – Čína je príležitosťou zapojiť sa do dialógu a zároveň naďalej dôrazne bojovať proti nátlaku;</w:t>
      </w:r>
    </w:p>
    <w:p w14:paraId="4D4D7C5C" w14:textId="77777777" w:rsidR="00CC551C" w:rsidRPr="00B711A9" w:rsidRDefault="00CC551C" w:rsidP="00CC551C">
      <w:pPr>
        <w:pStyle w:val="NormalHanging12a"/>
      </w:pPr>
      <w:r w:rsidRPr="00B711A9">
        <w:t>L.</w:t>
      </w:r>
      <w:r w:rsidRPr="00B711A9">
        <w:tab/>
        <w:t xml:space="preserve">keďže Čína stále uplatňuje sankcie voči bývalému poslancovi EP, poslancom </w:t>
      </w:r>
      <w:r w:rsidRPr="00B711A9">
        <w:lastRenderedPageBreak/>
        <w:t>parlamentov členských štátov a európskym expertným skupinám;</w:t>
      </w:r>
    </w:p>
    <w:p w14:paraId="30A8C464" w14:textId="77777777" w:rsidR="00CC551C" w:rsidRPr="00B711A9" w:rsidRDefault="00CC551C" w:rsidP="00CC551C">
      <w:pPr>
        <w:pStyle w:val="NormalHanging12a"/>
      </w:pPr>
      <w:r w:rsidRPr="00B711A9">
        <w:t>1.</w:t>
      </w:r>
      <w:r w:rsidRPr="00B711A9">
        <w:tab/>
        <w:t>dôrazne odsudzuje rozhodnutie Číny uplatňovať vývozné obmedzenia, čo zastavilo vývoz a výrazne narušilo dodávateľské reťazce nevyhnutné pre automobilový priemysel, výrobcov v obrannom priemysle, spoločnosti vyrábajúce polovodiče, zelené technológie, aplikácie v zdravotníctve a mnohé ďalšie odvetvia v EÚ a na celom svete; domnieva sa, že opatrenia Číny sú neodôvodnené a majú donucovací zámer, pričom stavajú na obrovskom vplyve, ktorý umožňuje prakticky monopolné postavenie Číny na svetovom trhu;</w:t>
      </w:r>
    </w:p>
    <w:p w14:paraId="55830A8A" w14:textId="77777777" w:rsidR="00CC551C" w:rsidRPr="00B711A9" w:rsidRDefault="00CC551C" w:rsidP="00CC551C">
      <w:pPr>
        <w:pStyle w:val="NormalHanging12a"/>
      </w:pPr>
      <w:r w:rsidRPr="00B711A9">
        <w:t>2.</w:t>
      </w:r>
      <w:r w:rsidRPr="00B711A9">
        <w:tab/>
      </w:r>
      <w:bookmarkStart w:id="7" w:name="_Hlk202535774"/>
      <w:r w:rsidRPr="00B711A9">
        <w:t>domnieva sa, že Čína využíva tieto vývozné obmedzenia na posilnenie svojej rokovacej pozície; zdôrazňuje, že EÚ musí dôrazne odmietnuť akékoľvek pokusy Číny využiť tieto obmedzenia na vynútenie ústupkov pri rokovaniach o iných pretrvávajúcich obchodných prekážkach, a domnieva sa, že akékoľvek ústupky voči Číne v tejto súvislosti by znížili schopnosť EÚ brániť sa súčasným a budúcim tlakom;</w:t>
      </w:r>
      <w:bookmarkEnd w:id="7"/>
    </w:p>
    <w:p w14:paraId="1F3844A6" w14:textId="77777777" w:rsidR="00CC551C" w:rsidRPr="00B711A9" w:rsidRDefault="00CC551C" w:rsidP="00CC551C">
      <w:pPr>
        <w:pStyle w:val="NormalHanging12a"/>
      </w:pPr>
      <w:r w:rsidRPr="00B711A9">
        <w:t>3.</w:t>
      </w:r>
      <w:r w:rsidRPr="00B711A9">
        <w:tab/>
      </w:r>
      <w:bookmarkStart w:id="8" w:name="_Hlk202907727"/>
      <w:r w:rsidRPr="00B711A9">
        <w:t xml:space="preserve">zdôrazňuje, že je dôležité, aby sa na nadchádzajúcom samite EÚ – Čína vyjadrili obavy v súvislosti s čínskymi obmedzeniami vývozu kovov vzácnych zemín a širšími dôsledkami týchto obmedzení na celosvetové dodávateľské reťazce; je presvedčený, že kontroly vývozu by mali byť súčasťou multilaterálneho prístupu, ktorý má chrániť medzinárodnú bezpečnosť a zabezpečiť rovnaké podmienky na celosvetovej úrovni, trvá na tom, že jednostranné kontroly sa musia obmedziť na kontroly, ktoré sú nevyhnutne potrebné z hľadiska národnej bezpečnosti, pričom sú potrebné transparentné a jasne vymedzené pravidlá, a preto zdôrazňuje, že konanie Číny je v rozpore s mnohostrannými pravidlami a postupmi, </w:t>
      </w:r>
      <w:bookmarkStart w:id="9" w:name="_Hlk202909856"/>
      <w:r w:rsidRPr="00B711A9">
        <w:t>a vyzýva Komisiu a členské štáty, aby zaujali pevný a jednotný postoj, začali rokovania s Čínou s cieľom nájsť štrukturálne riešenie a pokračovali v dialógu s Čínou v tejto súvislosti</w:t>
      </w:r>
      <w:bookmarkEnd w:id="9"/>
      <w:r w:rsidRPr="00B711A9">
        <w:t>;</w:t>
      </w:r>
      <w:bookmarkEnd w:id="8"/>
    </w:p>
    <w:p w14:paraId="4CAE5917" w14:textId="77777777" w:rsidR="00CC551C" w:rsidRPr="00B711A9" w:rsidRDefault="00CC551C" w:rsidP="00CC551C">
      <w:pPr>
        <w:pStyle w:val="NormalHanging12a"/>
      </w:pPr>
      <w:r w:rsidRPr="00B711A9">
        <w:t>4.</w:t>
      </w:r>
      <w:r w:rsidRPr="00B711A9">
        <w:tab/>
        <w:t>naliehavo vyzýva čínske orgány, aby na základe svojho návrhu vykonali konkrétne kroky a zrušili všetky vývozné obmedzenia; medzitým berie na vedomie nedávny návrh čínskych orgánov na vytvorenie tzv. zelených jazdných pruhov, ktorými sa majú zjednodušiť postupy pre európske spoločnosti;</w:t>
      </w:r>
    </w:p>
    <w:p w14:paraId="579C9774" w14:textId="77777777" w:rsidR="00CC551C" w:rsidRPr="00B711A9" w:rsidRDefault="00CC551C" w:rsidP="00CC551C">
      <w:pPr>
        <w:pStyle w:val="NormalHanging12a"/>
      </w:pPr>
      <w:r w:rsidRPr="00B711A9">
        <w:t>5.</w:t>
      </w:r>
      <w:r w:rsidRPr="00B711A9">
        <w:tab/>
      </w:r>
      <w:bookmarkStart w:id="10" w:name="_Hlk202909943"/>
      <w:r w:rsidRPr="00B711A9">
        <w:t>zdôrazňuje, že EÚ musí čo najskôr posilniť svoj strategický vplyv a nevyhnutnosť tým, že bude identifikovať, využívať a posilňovať oblasti, v ktorých má kritické výhody v porovnaní s Čínou, pokiaľ ide o základný tovar a technológie, s cieľom posilniť strategickú autonómiu EÚ, alebo tým, že obmedzí prístup vysokorizikových čínskych predajcov na vnútorný trh EÚ v súlade s právom EÚ a medzinárodným obchodným právom;</w:t>
      </w:r>
      <w:bookmarkEnd w:id="10"/>
    </w:p>
    <w:p w14:paraId="2D6B1DA6" w14:textId="77777777" w:rsidR="00CC551C" w:rsidRPr="00B711A9" w:rsidRDefault="00CC551C" w:rsidP="00CC551C">
      <w:pPr>
        <w:pStyle w:val="NormalHanging12a"/>
      </w:pPr>
      <w:r w:rsidRPr="00B711A9">
        <w:t>6.</w:t>
      </w:r>
      <w:r w:rsidRPr="00B711A9">
        <w:tab/>
        <w:t>považuje obmedzenia Číny za neodôvodnene účelové zneužívanie jej trás na dodávky kritických surovín, čo z nej robí nedôveryhodný zdroj vstupných surovín pre kritické sektory a hrozbu pre hospodárske a základné bezpečnostné záujmy Únie;</w:t>
      </w:r>
    </w:p>
    <w:p w14:paraId="015D4159" w14:textId="77777777" w:rsidR="00CC551C" w:rsidRPr="00B711A9" w:rsidRDefault="00CC551C" w:rsidP="00CC551C">
      <w:pPr>
        <w:pStyle w:val="NormalHanging12a"/>
      </w:pPr>
      <w:r w:rsidRPr="00B711A9">
        <w:t>7.</w:t>
      </w:r>
      <w:r w:rsidRPr="00B711A9">
        <w:tab/>
        <w:t xml:space="preserve">vyjadruje hlboké znepokojenie nad požiadavkami čínskych orgánov, podľa ktorých musia európski kupujúci pri podávaní žiadostí o vývozné licencie poskytovať citlivé údaje, ako aj nad značným rizikom súvisiacich únikov technológií, pokiaľ ide o hodnotové reťazce obrannej technologickej a priemyselnej základne a národnú bezpečnosť, pričom zdôrazňuje, že by sa to mohlo v budúcnosti použiť ako donucovací prostriedok; považuje za nevyhnutné, aby Komisia a členské štáty posúdili a zmiernili bezpečnostné dôsledky takýchto prenosov údajov v súlade s Európskou stratégiou </w:t>
      </w:r>
      <w:r w:rsidRPr="00B711A9">
        <w:lastRenderedPageBreak/>
        <w:t>hospodárskej bezpečnosti;</w:t>
      </w:r>
    </w:p>
    <w:p w14:paraId="71A0B737" w14:textId="77777777" w:rsidR="00CC551C" w:rsidRPr="00B711A9" w:rsidRDefault="00CC551C" w:rsidP="00CC551C">
      <w:pPr>
        <w:pStyle w:val="NormalHanging12a"/>
        <w:rPr>
          <w:bCs/>
        </w:rPr>
      </w:pPr>
      <w:r w:rsidRPr="00B711A9">
        <w:t>8.</w:t>
      </w:r>
      <w:r w:rsidRPr="00B711A9">
        <w:tab/>
        <w:t>naliehavo žiada Komisiu a členské štáty, aby urýchlili vykonávanie európskeho aktu o kritických surovinách; zdôrazňuje dôležitú úlohu Európskej rady pre suroviny a jej podskupín v súvislosti s urýchleným a efektívnym vykonávaním európskeho aktu o kritických surovinách; pripomína jasné a ambiciózne ciele stanovené s cieľom posilniť do roku 2030 kapacity EÚ na ťažbu, spracovanie a recykláciu strategických surovín na domácom trhu; zdôrazňuje, že v rámci európskeho aktu o kritických surovinách bolo vybraných prvých 60 strategických projektov;</w:t>
      </w:r>
    </w:p>
    <w:p w14:paraId="3DA1A88D" w14:textId="77777777" w:rsidR="00CC551C" w:rsidRPr="00B711A9" w:rsidRDefault="00CC551C" w:rsidP="00CC551C">
      <w:pPr>
        <w:pStyle w:val="NormalHanging12a"/>
        <w:rPr>
          <w:bCs/>
        </w:rPr>
      </w:pPr>
      <w:r w:rsidRPr="00B711A9">
        <w:t>9.</w:t>
      </w:r>
      <w:r w:rsidRPr="00B711A9">
        <w:tab/>
        <w:t xml:space="preserve">vyjadruje poľutovanie nad tým, že k európskemu aktu o kritických surovinách nebol pripojený osobitný rozpočet EÚ, hoci nedostatok finančného krytia bol hlavným slabým miestom; zdôrazňuje naliehavú potrebu zabezpečiť investície do strategických projektov schválených v rámci európskeho aktu o kritických surovinách, ako aj do iných projektov s cieľom podporiť ťažbu, rafináciu, spracovanie a recykláciu, ktoré prispievajú k znižovaniu rizika zo strany Číny a k dosiahnutiu cieľov európskeho aktu o kritických surovinách; naliehavo vyzýva Komisiu, aby na úrovni EÚ ďalej podporila diverzifikáciu dodávok kovov vzácnych zemín a kritických surovín a aby zaručila, že nadchádzajúci viacročný finančný rámec bude zahŕňať rozpočtový riadok na podporu investícií do ťažby, spracovania, </w:t>
      </w:r>
      <w:proofErr w:type="spellStart"/>
      <w:r w:rsidRPr="00B711A9">
        <w:t>obehovosti</w:t>
      </w:r>
      <w:proofErr w:type="spellEnd"/>
      <w:r w:rsidRPr="00B711A9">
        <w:t>, výskumu a inovácií vrátane nahradenia kritických surovín;</w:t>
      </w:r>
    </w:p>
    <w:p w14:paraId="7DCBFA11" w14:textId="77777777" w:rsidR="00CC551C" w:rsidRPr="00B711A9" w:rsidRDefault="00CC551C" w:rsidP="00CC551C">
      <w:pPr>
        <w:pStyle w:val="NormalHanging12a"/>
      </w:pPr>
      <w:r w:rsidRPr="00B711A9">
        <w:t>10.</w:t>
      </w:r>
      <w:r w:rsidRPr="00B711A9">
        <w:tab/>
        <w:t>zdôrazňuje, že je potrebné, aby EÚ ťažila na domácom trhu a obnovila spracovateľskú kapacitu; zdôrazňuje, že jedným z cieľov európskeho aktu o kritických surovinách je zvýšenie efektívnosti využívania zdrojov prostredníctvom technologických inovácií; zdôrazňuje potenciál recyklácie a mestskej ťažby zmierniť obmedzenia dodávok v krátkodobom horizonte a žiada Komisiu, aby prijala okamžité opatrenia na zlepšenie zhromažďovania a uchovávania kovov vzácnych zemín na vnútornom trhu;</w:t>
      </w:r>
    </w:p>
    <w:p w14:paraId="15455E02" w14:textId="77777777" w:rsidR="00CC551C" w:rsidRPr="00B711A9" w:rsidRDefault="00CC551C" w:rsidP="00CC551C">
      <w:pPr>
        <w:pStyle w:val="NormalHanging12a"/>
      </w:pPr>
      <w:r w:rsidRPr="00B711A9">
        <w:t>11.</w:t>
      </w:r>
      <w:r w:rsidRPr="00B711A9">
        <w:tab/>
        <w:t xml:space="preserve">zdôrazňuje, že je potrebné zabezpečiť dlhodobú ekonomickú opodstatnenosť a životaschopnosť investícií do hodnotových reťazcov kritických surovín, a to aj prostredníctvom finančnej podpory, ako sú minimálne ceny, podpora odberu či tvorba strategických zásob; vyzýva členské štáty, aby od veľkých spoločností, ktoré produkujú technológie v strategických odvetviach, požadovali riadne a pravidelne vykonávanie činností a opatrení pripravenosti na riziká s cieľom zmierniť riziko nedostatku dodávok, a to aj hromadením zásob, </w:t>
      </w:r>
    </w:p>
    <w:p w14:paraId="213421B5" w14:textId="77777777" w:rsidR="00CC551C" w:rsidRPr="00B711A9" w:rsidRDefault="00CC551C" w:rsidP="00CC551C">
      <w:pPr>
        <w:pStyle w:val="NormalHanging12a"/>
      </w:pPr>
      <w:r w:rsidRPr="00B711A9">
        <w:t>12.</w:t>
      </w:r>
      <w:r w:rsidRPr="00B711A9">
        <w:tab/>
        <w:t>vyzýva Komisiu, aby spolu s členskými štátmi posúdila pre EÚ minimálnu úroveň strategických zásob kovov vzácnych zemín, ktoré sa uvádzajú ako strategické suroviny (neodým, prazeodým, terbium, dysprózium, gadolínium, samárium a cérium), a príslušné konečné použitia vrátane tých, ktoré súvisia s obranným priemyslom;</w:t>
      </w:r>
    </w:p>
    <w:p w14:paraId="67FDF252" w14:textId="7EEA29BD" w:rsidR="00CC551C" w:rsidRPr="00B711A9" w:rsidRDefault="00CC551C" w:rsidP="00CC551C">
      <w:pPr>
        <w:pStyle w:val="NormalHanging12a"/>
      </w:pPr>
      <w:r w:rsidRPr="00B711A9">
        <w:t>13.</w:t>
      </w:r>
      <w:r w:rsidRPr="00B711A9">
        <w:tab/>
        <w:t xml:space="preserve">okrem toho požaduje väčšiu angažovanosť pri uzatváraní partnerstiev pre čistý obchod a investície a dvojstranných strategických partnerstiev v oblasti surovín, ktoré budú založené na skutočne prospešných partnerstvách a budú spĺňať vysoké normy udržateľnosti a dodržiavania ľudských práv; trvá na tom, že treba prejsť na záväzné dohody o kritických surovinách s cieľom zaistiť dlhodobú bezpečnosť, pokiaľ ide o dodávky EÚ, zaručiť väčšiu transparentnosť a zabezpečiť, aby mal </w:t>
      </w:r>
      <w:r w:rsidR="009F4150" w:rsidRPr="00B711A9">
        <w:t>Európsky p</w:t>
      </w:r>
      <w:r w:rsidRPr="00B711A9">
        <w:t xml:space="preserve">arlament kontrolnú právomoc; zdôrazňuje význam dohôd o voľnom obchode a iniciatívy </w:t>
      </w:r>
      <w:proofErr w:type="spellStart"/>
      <w:r w:rsidRPr="00B711A9">
        <w:t>Global</w:t>
      </w:r>
      <w:proofErr w:type="spellEnd"/>
      <w:r w:rsidRPr="00B711A9">
        <w:t xml:space="preserve"> </w:t>
      </w:r>
      <w:proofErr w:type="spellStart"/>
      <w:r w:rsidRPr="00B711A9">
        <w:t>Gateway</w:t>
      </w:r>
      <w:proofErr w:type="spellEnd"/>
      <w:r w:rsidRPr="00B711A9">
        <w:t xml:space="preserve"> pri zlepšovaní prístupu k strategickým surovinám;</w:t>
      </w:r>
    </w:p>
    <w:p w14:paraId="14461E44" w14:textId="77777777" w:rsidR="00CC551C" w:rsidRPr="00B711A9" w:rsidRDefault="00CC551C" w:rsidP="00CC551C">
      <w:pPr>
        <w:pStyle w:val="NormalHanging12a"/>
        <w:rPr>
          <w:bCs/>
        </w:rPr>
      </w:pPr>
      <w:r w:rsidRPr="00B711A9">
        <w:lastRenderedPageBreak/>
        <w:t>14.</w:t>
      </w:r>
      <w:r w:rsidRPr="00B711A9">
        <w:tab/>
        <w:t>nabáda na používanie preferenčných doložiek v prípade kovov vzácnych zemín získaných od dodávateľov EÚ a dôveryhodných partnerov v príslušných právnych predpisoch o verejnom obstarávaní; vyzýva, aby sa posilnila koordinácia s podobne zmýšľajúcimi medzinárodnými partnermi, najmä v rámci G7 a NATO a s Japonskou organizáciou pre kovy a energetickú bezpečnosť, s cieľom zlepšiť prenos znalostí, zosúladiť bezpečnosť dodávateľských reťazcov, spoločných investícií a stratégií tvorby zásob a vypracovať normy dôveryhodných zdrojov pre strategické odvetvia a projekty;</w:t>
      </w:r>
    </w:p>
    <w:p w14:paraId="2E8B81FA" w14:textId="4AF62696" w:rsidR="00E365E1" w:rsidRPr="00B711A9" w:rsidRDefault="00CC551C" w:rsidP="009F4150">
      <w:pPr>
        <w:pStyle w:val="NormalHanging12a"/>
      </w:pPr>
      <w:r w:rsidRPr="00B711A9">
        <w:t>15.</w:t>
      </w:r>
      <w:r w:rsidRPr="00B711A9">
        <w:tab/>
        <w:t>poveruje svoju predsedníčku, aby postúpila toto uznesenie Rade, Komisii, podpredsedníčke Komisie/vysokej predstaviteľke Únie pre zahraničné veci a bezpečnostnú politiku, vládam a parlamentom členských štátov a vláde a parlamentu Čínskej ľudovej republiky.</w:t>
      </w:r>
    </w:p>
    <w:sectPr w:rsidR="00E365E1" w:rsidRPr="00B711A9" w:rsidSect="00AE12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B00AA" w14:textId="77777777" w:rsidR="00705A45" w:rsidRPr="00AE12E1" w:rsidRDefault="00705A45">
      <w:r w:rsidRPr="00AE12E1">
        <w:separator/>
      </w:r>
    </w:p>
  </w:endnote>
  <w:endnote w:type="continuationSeparator" w:id="0">
    <w:p w14:paraId="06067219" w14:textId="77777777" w:rsidR="00705A45" w:rsidRPr="00AE12E1" w:rsidRDefault="00705A45">
      <w:r w:rsidRPr="00AE12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A4306" w14:textId="77777777" w:rsidR="00064002" w:rsidRPr="00AE12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11916" w14:textId="77777777" w:rsidR="00064002" w:rsidRPr="00AE12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C2499" w14:textId="77777777" w:rsidR="00064002" w:rsidRPr="00AE12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C37C9" w14:textId="77777777" w:rsidR="00705A45" w:rsidRPr="00AE12E1" w:rsidRDefault="00705A45">
      <w:r w:rsidRPr="00AE12E1">
        <w:separator/>
      </w:r>
    </w:p>
  </w:footnote>
  <w:footnote w:type="continuationSeparator" w:id="0">
    <w:p w14:paraId="2CA6839D" w14:textId="77777777" w:rsidR="00705A45" w:rsidRPr="00AE12E1" w:rsidRDefault="00705A45">
      <w:r w:rsidRPr="00AE12E1">
        <w:continuationSeparator/>
      </w:r>
    </w:p>
  </w:footnote>
  <w:footnote w:id="1">
    <w:p w14:paraId="1A11D4C3" w14:textId="4CF129F0" w:rsidR="00CC551C" w:rsidRPr="00AE12E1" w:rsidRDefault="00CC551C" w:rsidP="00AE12E1">
      <w:pPr>
        <w:pStyle w:val="FootnoteText"/>
        <w:ind w:left="567" w:hanging="567"/>
        <w:rPr>
          <w:sz w:val="24"/>
          <w:lang w:val="sk-SK"/>
        </w:rPr>
      </w:pPr>
      <w:r w:rsidRPr="00AE12E1">
        <w:rPr>
          <w:rStyle w:val="FootnoteReference"/>
          <w:sz w:val="24"/>
          <w:lang w:val="sk-SK"/>
        </w:rPr>
        <w:footnoteRef/>
      </w:r>
      <w:r w:rsidR="00AE12E1" w:rsidRPr="00AE12E1">
        <w:rPr>
          <w:sz w:val="24"/>
          <w:lang w:val="sk-SK"/>
        </w:rPr>
        <w:t xml:space="preserve"> </w:t>
      </w:r>
      <w:r w:rsidR="00AE12E1" w:rsidRPr="00AE12E1">
        <w:rPr>
          <w:sz w:val="24"/>
          <w:lang w:val="sk-SK"/>
        </w:rPr>
        <w:tab/>
      </w:r>
      <w:r w:rsidRPr="00AE12E1">
        <w:rPr>
          <w:sz w:val="24"/>
          <w:lang w:val="sk-SK"/>
        </w:rPr>
        <w:t xml:space="preserve">Ú. v. EÚ L, 2024/1252, 3.5.2024, ELI: </w:t>
      </w:r>
      <w:hyperlink r:id="rId1" w:history="1">
        <w:r w:rsidRPr="00F4098F">
          <w:rPr>
            <w:rStyle w:val="Hyperlink"/>
            <w:sz w:val="24"/>
            <w:lang w:val="sk-SK"/>
          </w:rPr>
          <w:t>http://data.europa.eu/eli/reg/2024/1252/oj</w:t>
        </w:r>
      </w:hyperlink>
      <w:r w:rsidRPr="00AE12E1">
        <w:rPr>
          <w:sz w:val="24"/>
          <w:lang w:val="sk-SK"/>
        </w:rPr>
        <w:t>.</w:t>
      </w:r>
    </w:p>
  </w:footnote>
  <w:footnote w:id="2">
    <w:p w14:paraId="391BFA0F" w14:textId="40A97B27" w:rsidR="00CC551C" w:rsidRPr="00AE12E1" w:rsidRDefault="00CC551C" w:rsidP="00AE12E1">
      <w:pPr>
        <w:pStyle w:val="FootnoteText"/>
        <w:ind w:left="567" w:hanging="567"/>
        <w:rPr>
          <w:sz w:val="24"/>
          <w:lang w:val="sk-SK"/>
        </w:rPr>
      </w:pPr>
      <w:r w:rsidRPr="00AE12E1">
        <w:rPr>
          <w:rStyle w:val="FootnoteReference"/>
          <w:sz w:val="24"/>
          <w:lang w:val="sk-SK"/>
        </w:rPr>
        <w:footnoteRef/>
      </w:r>
      <w:r w:rsidR="00AE12E1" w:rsidRPr="00AE12E1">
        <w:rPr>
          <w:sz w:val="24"/>
          <w:lang w:val="sk-SK"/>
        </w:rPr>
        <w:t xml:space="preserve"> </w:t>
      </w:r>
      <w:r w:rsidR="00AE12E1" w:rsidRPr="00AE12E1">
        <w:rPr>
          <w:sz w:val="24"/>
          <w:lang w:val="sk-SK"/>
        </w:rPr>
        <w:tab/>
      </w:r>
      <w:r w:rsidRPr="00AE12E1">
        <w:rPr>
          <w:sz w:val="24"/>
          <w:lang w:val="sk-SK"/>
        </w:rPr>
        <w:t xml:space="preserve">Ú. v. EÚ L, 2024/1735, 28.6.2024, ELI: </w:t>
      </w:r>
      <w:r w:rsidR="00384F52">
        <w:fldChar w:fldCharType="begin"/>
      </w:r>
      <w:r w:rsidR="00384F52" w:rsidRPr="00384F52">
        <w:rPr>
          <w:lang w:val="fi-FI"/>
        </w:rPr>
        <w:instrText>HYPERLINK "http://data.europa.eu/eli/reg/2024/1735/oj"</w:instrText>
      </w:r>
      <w:r w:rsidR="00384F52">
        <w:fldChar w:fldCharType="separate"/>
      </w:r>
      <w:r w:rsidRPr="00F4098F">
        <w:rPr>
          <w:rStyle w:val="Hyperlink"/>
          <w:sz w:val="24"/>
          <w:lang w:val="sk-SK"/>
        </w:rPr>
        <w:t>http://data.europa.eu/eli/reg/2024/1735/oj</w:t>
      </w:r>
      <w:r w:rsidR="00384F52">
        <w:rPr>
          <w:rStyle w:val="Hyperlink"/>
          <w:sz w:val="24"/>
          <w:lang w:val="sk-SK"/>
        </w:rPr>
        <w:fldChar w:fldCharType="end"/>
      </w:r>
      <w:r w:rsidRPr="00AE12E1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430D9" w14:textId="77777777" w:rsidR="00064002" w:rsidRPr="00AE12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21C5E" w14:textId="77777777" w:rsidR="00064002" w:rsidRPr="00AE12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1951D" w14:textId="77777777" w:rsidR="00064002" w:rsidRPr="00AE12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87975916">
    <w:abstractNumId w:val="9"/>
  </w:num>
  <w:num w:numId="2" w16cid:durableId="543718277">
    <w:abstractNumId w:val="9"/>
  </w:num>
  <w:num w:numId="3" w16cid:durableId="20400880">
    <w:abstractNumId w:val="7"/>
  </w:num>
  <w:num w:numId="4" w16cid:durableId="499778277">
    <w:abstractNumId w:val="7"/>
  </w:num>
  <w:num w:numId="5" w16cid:durableId="1267346262">
    <w:abstractNumId w:val="6"/>
  </w:num>
  <w:num w:numId="6" w16cid:durableId="1701857477">
    <w:abstractNumId w:val="6"/>
  </w:num>
  <w:num w:numId="7" w16cid:durableId="1851289727">
    <w:abstractNumId w:val="5"/>
  </w:num>
  <w:num w:numId="8" w16cid:durableId="1822622752">
    <w:abstractNumId w:val="5"/>
  </w:num>
  <w:num w:numId="9" w16cid:durableId="249320315">
    <w:abstractNumId w:val="4"/>
  </w:num>
  <w:num w:numId="10" w16cid:durableId="1883246621">
    <w:abstractNumId w:val="4"/>
  </w:num>
  <w:num w:numId="11" w16cid:durableId="1776093316">
    <w:abstractNumId w:val="8"/>
  </w:num>
  <w:num w:numId="12" w16cid:durableId="1795830872">
    <w:abstractNumId w:val="8"/>
  </w:num>
  <w:num w:numId="13" w16cid:durableId="2113283320">
    <w:abstractNumId w:val="3"/>
  </w:num>
  <w:num w:numId="14" w16cid:durableId="1344093741">
    <w:abstractNumId w:val="3"/>
  </w:num>
  <w:num w:numId="15" w16cid:durableId="1634024193">
    <w:abstractNumId w:val="2"/>
  </w:num>
  <w:num w:numId="16" w16cid:durableId="1140029404">
    <w:abstractNumId w:val="2"/>
  </w:num>
  <w:num w:numId="17" w16cid:durableId="1357846443">
    <w:abstractNumId w:val="1"/>
  </w:num>
  <w:num w:numId="18" w16cid:durableId="1720785662">
    <w:abstractNumId w:val="1"/>
  </w:num>
  <w:num w:numId="19" w16cid:durableId="1936162552">
    <w:abstractNumId w:val="0"/>
  </w:num>
  <w:num w:numId="20" w16cid:durableId="1042095750">
    <w:abstractNumId w:val="0"/>
  </w:num>
  <w:num w:numId="21" w16cid:durableId="1551187354">
    <w:abstractNumId w:val="9"/>
  </w:num>
  <w:num w:numId="22" w16cid:durableId="1862935596">
    <w:abstractNumId w:val="7"/>
  </w:num>
  <w:num w:numId="23" w16cid:durableId="1429739797">
    <w:abstractNumId w:val="6"/>
  </w:num>
  <w:num w:numId="24" w16cid:durableId="1160846973">
    <w:abstractNumId w:val="5"/>
  </w:num>
  <w:num w:numId="25" w16cid:durableId="1519850519">
    <w:abstractNumId w:val="4"/>
  </w:num>
  <w:num w:numId="26" w16cid:durableId="1991250810">
    <w:abstractNumId w:val="8"/>
  </w:num>
  <w:num w:numId="27" w16cid:durableId="1630043512">
    <w:abstractNumId w:val="3"/>
  </w:num>
  <w:num w:numId="28" w16cid:durableId="1262029351">
    <w:abstractNumId w:val="2"/>
  </w:num>
  <w:num w:numId="29" w16cid:durableId="721901880">
    <w:abstractNumId w:val="1"/>
  </w:num>
  <w:num w:numId="30" w16cid:durableId="168183978">
    <w:abstractNumId w:val="0"/>
  </w:num>
  <w:num w:numId="31" w16cid:durableId="1300306713">
    <w:abstractNumId w:val="9"/>
  </w:num>
  <w:num w:numId="32" w16cid:durableId="764151651">
    <w:abstractNumId w:val="7"/>
  </w:num>
  <w:num w:numId="33" w16cid:durableId="328487267">
    <w:abstractNumId w:val="6"/>
  </w:num>
  <w:num w:numId="34" w16cid:durableId="1924875384">
    <w:abstractNumId w:val="5"/>
  </w:num>
  <w:num w:numId="35" w16cid:durableId="1794866471">
    <w:abstractNumId w:val="4"/>
  </w:num>
  <w:num w:numId="36" w16cid:durableId="1070739077">
    <w:abstractNumId w:val="8"/>
  </w:num>
  <w:num w:numId="37" w16cid:durableId="1222445952">
    <w:abstractNumId w:val="3"/>
  </w:num>
  <w:num w:numId="38" w16cid:durableId="339821769">
    <w:abstractNumId w:val="2"/>
  </w:num>
  <w:num w:numId="39" w16cid:durableId="2069497228">
    <w:abstractNumId w:val="1"/>
  </w:num>
  <w:num w:numId="40" w16cid:durableId="1480926037">
    <w:abstractNumId w:val="0"/>
  </w:num>
  <w:num w:numId="41" w16cid:durableId="1103113848">
    <w:abstractNumId w:val="10"/>
  </w:num>
  <w:num w:numId="42" w16cid:durableId="1482963286">
    <w:abstractNumId w:val="10"/>
  </w:num>
  <w:num w:numId="43" w16cid:durableId="707871502">
    <w:abstractNumId w:val="10"/>
  </w:num>
  <w:num w:numId="44" w16cid:durableId="17576319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24, 0329, 0330, 0331 a 0332/2025"/>
    <w:docVar w:name="dvlangue" w:val="SK"/>
    <w:docVar w:name="dvnumam" w:val="0"/>
    <w:docVar w:name="dvpe" w:val="774.020"/>
    <w:docVar w:name="dvtitre" w:val="Uznesenie Európskeho parlamentu z xx. júla 2025 o riešení problému čínskych obmedzení vývozu kritických surovín(2025/2800(RSP))"/>
  </w:docVars>
  <w:rsids>
    <w:rsidRoot w:val="00705A4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4F5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6462"/>
    <w:rsid w:val="005F1B17"/>
    <w:rsid w:val="006037C0"/>
    <w:rsid w:val="006631B6"/>
    <w:rsid w:val="00680577"/>
    <w:rsid w:val="006F74FA"/>
    <w:rsid w:val="00705A4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FE1"/>
    <w:rsid w:val="009F4150"/>
    <w:rsid w:val="00A1687D"/>
    <w:rsid w:val="00A43E52"/>
    <w:rsid w:val="00A4678D"/>
    <w:rsid w:val="00A778C7"/>
    <w:rsid w:val="00AB441E"/>
    <w:rsid w:val="00AB6293"/>
    <w:rsid w:val="00AE0928"/>
    <w:rsid w:val="00AE12E1"/>
    <w:rsid w:val="00AF3B82"/>
    <w:rsid w:val="00B12E95"/>
    <w:rsid w:val="00B22876"/>
    <w:rsid w:val="00B558F0"/>
    <w:rsid w:val="00B711A9"/>
    <w:rsid w:val="00BD48FE"/>
    <w:rsid w:val="00BD7BD8"/>
    <w:rsid w:val="00BE6ADC"/>
    <w:rsid w:val="00C05BFE"/>
    <w:rsid w:val="00C23CD4"/>
    <w:rsid w:val="00C61C0C"/>
    <w:rsid w:val="00C941CB"/>
    <w:rsid w:val="00CC2357"/>
    <w:rsid w:val="00CC551C"/>
    <w:rsid w:val="00CF071A"/>
    <w:rsid w:val="00D058B8"/>
    <w:rsid w:val="00D56C11"/>
    <w:rsid w:val="00D834A0"/>
    <w:rsid w:val="00D872DF"/>
    <w:rsid w:val="00D91E21"/>
    <w:rsid w:val="00DA0463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098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AF204"/>
  <w15:chartTrackingRefBased/>
  <w15:docId w15:val="{5E1EEE67-ADE5-46DA-ACF0-854FCA763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C551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CC551C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CC551C"/>
    <w:rPr>
      <w:sz w:val="24"/>
      <w:lang w:val="sk-SK"/>
    </w:rPr>
  </w:style>
  <w:style w:type="paragraph" w:styleId="Revision">
    <w:name w:val="Revision"/>
    <w:hidden/>
    <w:uiPriority w:val="99"/>
    <w:semiHidden/>
    <w:rsid w:val="009F4150"/>
    <w:rPr>
      <w:sz w:val="24"/>
      <w:lang w:val="sk-SK"/>
    </w:rPr>
  </w:style>
  <w:style w:type="character" w:styleId="Hyperlink">
    <w:name w:val="Hyperlink"/>
    <w:basedOn w:val="DefaultParagraphFont"/>
    <w:rsid w:val="00F409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09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2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2174</Words>
  <Characters>13525</Characters>
  <Application>Microsoft Office Word</Application>
  <DocSecurity>0</DocSecurity>
  <Lines>375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2025-07-10T10:08:00Z</dcterms:created>
  <dcterms:modified xsi:type="dcterms:W3CDTF">2025-07-10T10:08:00Z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B10-0324, 0329, 0330, 0331 a 0332/2025</vt:lpwstr>
  </property>
  <property fmtid="{D5CDD505-2E9C-101B-9397-08002B2CF9AE}" pid="4" name="&lt;Type&gt;">
    <vt:lpwstr>RR</vt:lpwstr>
  </property>
</Properties>
</file>