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2E2E" w14:paraId="6AA36E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5DAE1A" w14:textId="7EC70A60" w:rsidR="00751A4A" w:rsidRPr="00282E2E" w:rsidRDefault="00671BBE" w:rsidP="0010095E">
            <w:pPr>
              <w:pStyle w:val="EPName"/>
            </w:pPr>
            <w:r w:rsidRPr="00282E2E">
              <w:t>Europski parlament</w:t>
            </w:r>
          </w:p>
          <w:p w14:paraId="7BECFBE0" w14:textId="77777777" w:rsidR="00751A4A" w:rsidRPr="00282E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2E2E">
              <w:t>2024</w:t>
            </w:r>
            <w:r w:rsidR="00817416" w:rsidRPr="00282E2E">
              <w:t>-202</w:t>
            </w:r>
            <w:r w:rsidRPr="00282E2E">
              <w:t>9</w:t>
            </w:r>
          </w:p>
        </w:tc>
        <w:tc>
          <w:tcPr>
            <w:tcW w:w="2268" w:type="dxa"/>
            <w:shd w:val="clear" w:color="auto" w:fill="auto"/>
          </w:tcPr>
          <w:p w14:paraId="4D87B7CF" w14:textId="77777777" w:rsidR="00751A4A" w:rsidRPr="00282E2E" w:rsidRDefault="00187494" w:rsidP="0010095E">
            <w:pPr>
              <w:pStyle w:val="EPLogo"/>
            </w:pPr>
            <w:r w:rsidRPr="00282E2E">
              <w:rPr>
                <w:noProof/>
                <w:lang w:eastAsia="ja-JP"/>
              </w:rPr>
              <w:drawing>
                <wp:inline distT="0" distB="0" distL="0" distR="0" wp14:anchorId="207C0939" wp14:editId="517A85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B5F9D" w14:textId="77777777" w:rsidR="00D058B8" w:rsidRPr="00282E2E" w:rsidRDefault="00D058B8" w:rsidP="004C5D52">
      <w:pPr>
        <w:pStyle w:val="LineTop"/>
      </w:pPr>
    </w:p>
    <w:p w14:paraId="6CEFCA8C" w14:textId="7909EEAA" w:rsidR="00680577" w:rsidRPr="00282E2E" w:rsidRDefault="00671BBE" w:rsidP="00680577">
      <w:pPr>
        <w:pStyle w:val="EPBodyTA1"/>
      </w:pPr>
      <w:r w:rsidRPr="00282E2E">
        <w:t>USVOJENI TEKSTOVI</w:t>
      </w:r>
    </w:p>
    <w:p w14:paraId="463A45C2" w14:textId="77777777" w:rsidR="00D058B8" w:rsidRPr="00282E2E" w:rsidRDefault="00D058B8" w:rsidP="00D058B8">
      <w:pPr>
        <w:pStyle w:val="LineBottom"/>
      </w:pPr>
    </w:p>
    <w:p w14:paraId="364EA30F" w14:textId="068C7953" w:rsidR="00671BBE" w:rsidRPr="00282E2E" w:rsidRDefault="00671BBE" w:rsidP="00671BBE">
      <w:pPr>
        <w:pStyle w:val="ATHeading1"/>
      </w:pPr>
      <w:bookmarkStart w:id="0" w:name="TANumber"/>
      <w:r w:rsidRPr="00282E2E">
        <w:t>P10_TA(2025)0</w:t>
      </w:r>
      <w:r w:rsidR="005C0C73">
        <w:t>175</w:t>
      </w:r>
      <w:bookmarkEnd w:id="0"/>
    </w:p>
    <w:p w14:paraId="76CD61CA" w14:textId="77777777" w:rsidR="00671BBE" w:rsidRPr="00282E2E" w:rsidRDefault="00671BBE" w:rsidP="00671BBE">
      <w:pPr>
        <w:pStyle w:val="ATHeading2"/>
      </w:pPr>
      <w:bookmarkStart w:id="1" w:name="title"/>
      <w:r w:rsidRPr="00282E2E">
        <w:t>Izvješća o Ukrajini za 2023. i 2024.</w:t>
      </w:r>
      <w:bookmarkEnd w:id="1"/>
    </w:p>
    <w:p w14:paraId="3F9E5F4A" w14:textId="77777777" w:rsidR="00671BBE" w:rsidRPr="00282E2E" w:rsidRDefault="00671BBE" w:rsidP="00671BBE">
      <w:pPr>
        <w:rPr>
          <w:i/>
          <w:vanish/>
        </w:rPr>
      </w:pPr>
      <w:r w:rsidRPr="00282E2E">
        <w:rPr>
          <w:i/>
        </w:rPr>
        <w:fldChar w:fldCharType="begin"/>
      </w:r>
      <w:r w:rsidRPr="00282E2E">
        <w:rPr>
          <w:i/>
        </w:rPr>
        <w:instrText xml:space="preserve"> TC"(</w:instrText>
      </w:r>
      <w:bookmarkStart w:id="2" w:name="DocNumber"/>
      <w:r w:rsidRPr="00282E2E">
        <w:rPr>
          <w:i/>
        </w:rPr>
        <w:instrText>A10-0154/2025</w:instrText>
      </w:r>
      <w:bookmarkEnd w:id="2"/>
      <w:r w:rsidRPr="00282E2E">
        <w:rPr>
          <w:i/>
        </w:rPr>
        <w:instrText xml:space="preserve"> - Izvjestitelj: Michael </w:instrText>
      </w:r>
      <w:proofErr w:type="spellStart"/>
      <w:r w:rsidRPr="00282E2E">
        <w:rPr>
          <w:i/>
        </w:rPr>
        <w:instrText>Gahler</w:instrText>
      </w:r>
      <w:proofErr w:type="spellEnd"/>
      <w:r w:rsidRPr="00282E2E">
        <w:rPr>
          <w:i/>
        </w:rPr>
        <w:instrText xml:space="preserve">)"\l3 \n&gt; \* MERGEFORMAT </w:instrText>
      </w:r>
      <w:r w:rsidRPr="00282E2E">
        <w:rPr>
          <w:i/>
        </w:rPr>
        <w:fldChar w:fldCharType="end"/>
      </w:r>
    </w:p>
    <w:p w14:paraId="5CD8EF12" w14:textId="77777777" w:rsidR="00671BBE" w:rsidRPr="00282E2E" w:rsidRDefault="00671BBE" w:rsidP="00671BBE">
      <w:pPr>
        <w:rPr>
          <w:vanish/>
        </w:rPr>
      </w:pPr>
      <w:bookmarkStart w:id="3" w:name="Commission"/>
      <w:r w:rsidRPr="00282E2E">
        <w:rPr>
          <w:vanish/>
        </w:rPr>
        <w:t>Odbor za vanjske poslove</w:t>
      </w:r>
      <w:bookmarkEnd w:id="3"/>
    </w:p>
    <w:p w14:paraId="53A6FCC0" w14:textId="77777777" w:rsidR="00671BBE" w:rsidRPr="00282E2E" w:rsidRDefault="00671BBE" w:rsidP="00671BBE">
      <w:pPr>
        <w:rPr>
          <w:vanish/>
        </w:rPr>
      </w:pPr>
      <w:bookmarkStart w:id="4" w:name="PE"/>
      <w:r w:rsidRPr="00282E2E">
        <w:rPr>
          <w:vanish/>
        </w:rPr>
        <w:t>PE769.901</w:t>
      </w:r>
      <w:bookmarkEnd w:id="4"/>
    </w:p>
    <w:p w14:paraId="2509F7FB" w14:textId="58678887" w:rsidR="00671BBE" w:rsidRPr="00282E2E" w:rsidRDefault="00671BBE" w:rsidP="00671BBE">
      <w:pPr>
        <w:pStyle w:val="ATHeading3"/>
      </w:pPr>
      <w:bookmarkStart w:id="5" w:name="Sujet"/>
      <w:r w:rsidRPr="00282E2E">
        <w:t xml:space="preserve">Rezolucija Europskog parlamenta od </w:t>
      </w:r>
      <w:r w:rsidR="005C0C73">
        <w:t>9</w:t>
      </w:r>
      <w:r w:rsidRPr="00282E2E">
        <w:t xml:space="preserve">. </w:t>
      </w:r>
      <w:r w:rsidR="00282E2E">
        <w:t xml:space="preserve">rujna </w:t>
      </w:r>
      <w:r w:rsidRPr="00282E2E">
        <w:t>2025. o izvješćima Komisije o Ukrajini za 2023. i 2024.</w:t>
      </w:r>
      <w:bookmarkEnd w:id="5"/>
      <w:r w:rsidRPr="00282E2E">
        <w:t xml:space="preserve"> </w:t>
      </w:r>
      <w:bookmarkStart w:id="6" w:name="References"/>
      <w:r w:rsidRPr="00282E2E">
        <w:t>(2025/2026(INI))</w:t>
      </w:r>
      <w:bookmarkEnd w:id="6"/>
    </w:p>
    <w:p w14:paraId="2F5CFF35" w14:textId="77777777" w:rsidR="005F1108" w:rsidRPr="00282E2E" w:rsidRDefault="005F1108" w:rsidP="005F1108">
      <w:pPr>
        <w:pStyle w:val="EPComma"/>
      </w:pPr>
      <w:r w:rsidRPr="00282E2E">
        <w:rPr>
          <w:rStyle w:val="Italic"/>
        </w:rPr>
        <w:t>Europski parlament</w:t>
      </w:r>
      <w:r w:rsidRPr="00282E2E">
        <w:t>,</w:t>
      </w:r>
    </w:p>
    <w:p w14:paraId="206C6D94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–</w:t>
      </w:r>
      <w:r w:rsidRPr="00121A2C">
        <w:rPr>
          <w:snapToGrid w:val="0"/>
          <w:lang w:eastAsia="en-US"/>
        </w:rPr>
        <w:tab/>
        <w:t>uzimajući u obzir svoje prethodne rezolucije o Ukrajini,</w:t>
      </w:r>
    </w:p>
    <w:p w14:paraId="7AB48EEB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–</w:t>
      </w:r>
      <w:r w:rsidRPr="00121A2C">
        <w:rPr>
          <w:snapToGrid w:val="0"/>
          <w:lang w:eastAsia="en-US"/>
        </w:rPr>
        <w:tab/>
        <w:t>uzimajući u obzir radni dokument službi Komisije naslovljen „Izvješće o Ukrajini za 2024.” (SWD(2024)0699) priložen Komunikaciji Komisije o politici proširenja EU-a za 2024. (COM(2024)0690),</w:t>
      </w:r>
    </w:p>
    <w:p w14:paraId="7BDBCA7F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radni dokument službi Komisije naslovljen „Izvješće o Ukrajini za 2023.” (SWD(2023)0699) priložen Komunikaciji Komisije o politici proširenja EU-a za 2023. (COM(2023)0690), </w:t>
      </w:r>
    </w:p>
    <w:p w14:paraId="39F47787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zaključke Europskog vijeća od 24. lipnja 2022. o dodjeli statusa zemlje kandidatkinje Ukrajini, od 15. prosinca 2023. o potvrđivanju otvaranja pristupnih pregovora i od 20. ožujka 2025., </w:t>
      </w:r>
    </w:p>
    <w:p w14:paraId="729A4697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>uzimajući u obzir Uredbu (EU) 2024/792 Europskog parlamenta i Vijeća od 29. veljače 2024. o uspostavi Instrumenta za Ukrajinu</w:t>
      </w:r>
      <w:r w:rsidRPr="00121A2C">
        <w:rPr>
          <w:szCs w:val="24"/>
          <w:vertAlign w:val="superscript"/>
        </w:rPr>
        <w:footnoteReference w:id="1"/>
      </w:r>
      <w:r w:rsidRPr="00121A2C">
        <w:rPr>
          <w:szCs w:val="24"/>
        </w:rPr>
        <w:t>,</w:t>
      </w:r>
    </w:p>
    <w:p w14:paraId="2392F2D0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izvješće Organizacije za gospodarsku suradnju i razvoj (OECD) iz 2021. naslovljeno „Preispitivanje OECD-a o korporativnom upravljanju poduzećima u državnom vlasništvu: Ukrajina” i naknadne dijaloge u 2024., </w:t>
      </w:r>
    </w:p>
    <w:p w14:paraId="5779D507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osmu reviziju proširenog instrumenta za financiranje za Ukrajinu za razdoblje 2023. 2026. koju je proveo Međunarodni monetarni fond, </w:t>
      </w:r>
    </w:p>
    <w:p w14:paraId="77EE419C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mišljenja Venecijanske komisije Vijeća Europe, posebno hitno popratno mišljenje o Zakonu o izmjenama određenih zakonodavnih akata Ukrajine kako bi se pojasnile odredbe o konkurentnom odabiru kandidata za mjesto suca Ustavnog </w:t>
      </w:r>
      <w:r w:rsidRPr="00121A2C">
        <w:rPr>
          <w:szCs w:val="24"/>
        </w:rPr>
        <w:lastRenderedPageBreak/>
        <w:t xml:space="preserve">suda Ukrajine od 9. listopada 2023. i naknadno mišljenje o mišljenju o zakonu o nacionalnim manjinama (zajednice) od 9. listopada 2023., </w:t>
      </w:r>
    </w:p>
    <w:p w14:paraId="0A57F63C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izvješća Skupine država protiv korupcije (GRECO) o Ukrajini, posebno četvrti evaluacijski krug i dopunu drugom izvješću o usklađenosti u pogledu sprečavanja korupcije u zastupnika u parlamentu, sudaca i tužitelja u Ukrajini od 22. studenoga 2024., </w:t>
      </w:r>
    </w:p>
    <w:p w14:paraId="6B8E1950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izvješće koje je Ukrajina podnijela u skladu s člankom 68. stavkom 1. Konvencije Vijeća Europe o sprečavanju i borbi protiv nasilja nad ženama i nasilja u obitelji (osnovno izvješće) od 3. srpnja 2025. i dodatne informacije koje je Skupina stručnjaka za djelovanje protiv nasilja nad ženama i nasilja u obitelji primila od ukrajinskih organizacija civilnog društva, </w:t>
      </w:r>
    </w:p>
    <w:p w14:paraId="456DF0C6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izvješća organizacije Human Rights </w:t>
      </w:r>
      <w:proofErr w:type="spellStart"/>
      <w:r w:rsidRPr="00121A2C">
        <w:rPr>
          <w:szCs w:val="24"/>
        </w:rPr>
        <w:t>Watch</w:t>
      </w:r>
      <w:proofErr w:type="spellEnd"/>
      <w:r w:rsidRPr="00121A2C">
        <w:rPr>
          <w:szCs w:val="24"/>
        </w:rPr>
        <w:t xml:space="preserve"> o Ukrajini, uključujući njezino izvješće od 5. prosinca 2024. naslovljeno „Samo je htjela pomoći – manjkavo </w:t>
      </w:r>
      <w:proofErr w:type="spellStart"/>
      <w:r w:rsidRPr="00121A2C">
        <w:rPr>
          <w:szCs w:val="24"/>
        </w:rPr>
        <w:t>antikolaboracionističko</w:t>
      </w:r>
      <w:proofErr w:type="spellEnd"/>
      <w:r w:rsidRPr="00121A2C">
        <w:rPr>
          <w:szCs w:val="24"/>
        </w:rPr>
        <w:t xml:space="preserve"> zakonodavstvo u Ukrajini” (All </w:t>
      </w:r>
      <w:proofErr w:type="spellStart"/>
      <w:r w:rsidRPr="00121A2C">
        <w:rPr>
          <w:szCs w:val="24"/>
        </w:rPr>
        <w:t>She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Did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Was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Help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People</w:t>
      </w:r>
      <w:proofErr w:type="spellEnd"/>
      <w:r w:rsidRPr="00121A2C">
        <w:rPr>
          <w:szCs w:val="24"/>
        </w:rPr>
        <w:t xml:space="preserve"> – </w:t>
      </w:r>
      <w:proofErr w:type="spellStart"/>
      <w:r w:rsidRPr="00121A2C">
        <w:rPr>
          <w:szCs w:val="24"/>
        </w:rPr>
        <w:t>Flawed</w:t>
      </w:r>
      <w:proofErr w:type="spellEnd"/>
      <w:r w:rsidRPr="00121A2C">
        <w:rPr>
          <w:szCs w:val="24"/>
        </w:rPr>
        <w:t xml:space="preserve"> Anti-</w:t>
      </w:r>
      <w:proofErr w:type="spellStart"/>
      <w:r w:rsidRPr="00121A2C">
        <w:rPr>
          <w:szCs w:val="24"/>
        </w:rPr>
        <w:t>Collaboration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Legislation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in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Ukraine</w:t>
      </w:r>
      <w:proofErr w:type="spellEnd"/>
      <w:r w:rsidRPr="00121A2C">
        <w:rPr>
          <w:szCs w:val="24"/>
        </w:rPr>
        <w:t xml:space="preserve">), </w:t>
      </w:r>
    </w:p>
    <w:p w14:paraId="25BAA630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>uzimajući u obzir svoju Rezoluciju od 12. ožujka 2025. o Bijeloj knjizi o budućnosti europske obrane</w:t>
      </w:r>
      <w:r w:rsidRPr="00121A2C">
        <w:rPr>
          <w:szCs w:val="24"/>
          <w:vertAlign w:val="superscript"/>
        </w:rPr>
        <w:footnoteReference w:id="2"/>
      </w:r>
      <w:r w:rsidRPr="00121A2C">
        <w:rPr>
          <w:szCs w:val="24"/>
        </w:rPr>
        <w:t xml:space="preserve">, </w:t>
      </w:r>
    </w:p>
    <w:p w14:paraId="04863324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–</w:t>
      </w:r>
      <w:r w:rsidRPr="00121A2C">
        <w:rPr>
          <w:szCs w:val="24"/>
        </w:rPr>
        <w:tab/>
        <w:t xml:space="preserve">uzimajući u obzir izjave čelnika Finske, Francuske, Njemačke, Italije, Ujedinjene Kraljevine i Ukrajine nakon sastanka </w:t>
      </w:r>
      <w:r w:rsidRPr="00121A2C">
        <w:rPr>
          <w:bCs/>
          <w:iCs/>
          <w:szCs w:val="24"/>
          <w:lang w:eastAsia="en-US"/>
        </w:rPr>
        <w:t>s predsjednikom SAD-a Donaldom Trumpom u Washingtonu 18. kolovoza</w:t>
      </w:r>
      <w:r w:rsidRPr="00121A2C">
        <w:rPr>
          <w:szCs w:val="24"/>
          <w:lang w:eastAsia="en-US"/>
        </w:rPr>
        <w:t xml:space="preserve"> </w:t>
      </w:r>
      <w:r w:rsidRPr="00121A2C">
        <w:rPr>
          <w:szCs w:val="24"/>
        </w:rPr>
        <w:t xml:space="preserve">2025., </w:t>
      </w:r>
    </w:p>
    <w:p w14:paraId="2B64AC4B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bCs/>
          <w:iCs/>
          <w:szCs w:val="24"/>
          <w:lang w:eastAsia="en-US"/>
        </w:rPr>
      </w:pPr>
      <w:r w:rsidRPr="00121A2C">
        <w:rPr>
          <w:bCs/>
          <w:iCs/>
          <w:szCs w:val="24"/>
          <w:lang w:eastAsia="en-US"/>
        </w:rPr>
        <w:t>–</w:t>
      </w:r>
      <w:r w:rsidRPr="00121A2C">
        <w:rPr>
          <w:bCs/>
          <w:iCs/>
          <w:szCs w:val="24"/>
          <w:lang w:eastAsia="en-US"/>
        </w:rPr>
        <w:tab/>
        <w:t xml:space="preserve">uzimajući u obzir izjavu predsjednice Komisije Ursule von </w:t>
      </w:r>
      <w:proofErr w:type="spellStart"/>
      <w:r w:rsidRPr="00121A2C">
        <w:rPr>
          <w:bCs/>
          <w:iCs/>
          <w:szCs w:val="24"/>
          <w:lang w:eastAsia="en-US"/>
        </w:rPr>
        <w:t>der</w:t>
      </w:r>
      <w:proofErr w:type="spellEnd"/>
      <w:r w:rsidRPr="00121A2C">
        <w:rPr>
          <w:bCs/>
          <w:iCs/>
          <w:szCs w:val="24"/>
          <w:lang w:eastAsia="en-US"/>
        </w:rPr>
        <w:t xml:space="preserve"> </w:t>
      </w:r>
      <w:proofErr w:type="spellStart"/>
      <w:r w:rsidRPr="00121A2C">
        <w:rPr>
          <w:bCs/>
          <w:iCs/>
          <w:szCs w:val="24"/>
          <w:lang w:eastAsia="en-US"/>
        </w:rPr>
        <w:t>Leyen</w:t>
      </w:r>
      <w:proofErr w:type="spellEnd"/>
      <w:r w:rsidRPr="00121A2C">
        <w:rPr>
          <w:bCs/>
          <w:iCs/>
          <w:szCs w:val="24"/>
          <w:lang w:eastAsia="en-US"/>
        </w:rPr>
        <w:t xml:space="preserve"> s ukrajinskim predsjednikom </w:t>
      </w:r>
      <w:proofErr w:type="spellStart"/>
      <w:r w:rsidRPr="00121A2C">
        <w:rPr>
          <w:bCs/>
          <w:iCs/>
          <w:szCs w:val="24"/>
          <w:lang w:eastAsia="en-US"/>
        </w:rPr>
        <w:t>Volodimirom</w:t>
      </w:r>
      <w:proofErr w:type="spellEnd"/>
      <w:r w:rsidRPr="00121A2C">
        <w:rPr>
          <w:bCs/>
          <w:iCs/>
          <w:szCs w:val="24"/>
          <w:lang w:eastAsia="en-US"/>
        </w:rPr>
        <w:t xml:space="preserve"> </w:t>
      </w:r>
      <w:proofErr w:type="spellStart"/>
      <w:r w:rsidRPr="00121A2C">
        <w:rPr>
          <w:bCs/>
          <w:iCs/>
          <w:szCs w:val="24"/>
          <w:lang w:eastAsia="en-US"/>
        </w:rPr>
        <w:t>Zelenskim</w:t>
      </w:r>
      <w:proofErr w:type="spellEnd"/>
      <w:r w:rsidRPr="00121A2C">
        <w:rPr>
          <w:bCs/>
          <w:iCs/>
          <w:szCs w:val="24"/>
          <w:lang w:eastAsia="en-US"/>
        </w:rPr>
        <w:t xml:space="preserve"> nakon sastanka u Bruxellesu 17. kolovoza 2025.,</w:t>
      </w:r>
    </w:p>
    <w:p w14:paraId="50328646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bCs/>
          <w:iCs/>
          <w:szCs w:val="24"/>
          <w:lang w:eastAsia="en-US"/>
        </w:rPr>
      </w:pPr>
      <w:r w:rsidRPr="00121A2C">
        <w:rPr>
          <w:bCs/>
          <w:iCs/>
          <w:szCs w:val="24"/>
          <w:lang w:eastAsia="en-US"/>
        </w:rPr>
        <w:t>–</w:t>
      </w:r>
      <w:r w:rsidRPr="00121A2C">
        <w:rPr>
          <w:bCs/>
          <w:iCs/>
          <w:szCs w:val="24"/>
          <w:lang w:eastAsia="en-US"/>
        </w:rPr>
        <w:tab/>
        <w:t xml:space="preserve">uzimajući u obzir zajedničku izjavu čelnika Francuske, Italije, Njemačke, Ujedinjene Kraljevine, Finske, Poljske, predsjednika Europskog vijeća Antónija Coste i predsjednice Komisije Ursule von </w:t>
      </w:r>
      <w:proofErr w:type="spellStart"/>
      <w:r w:rsidRPr="00121A2C">
        <w:rPr>
          <w:bCs/>
          <w:iCs/>
          <w:szCs w:val="24"/>
          <w:lang w:eastAsia="en-US"/>
        </w:rPr>
        <w:t>der</w:t>
      </w:r>
      <w:proofErr w:type="spellEnd"/>
      <w:r w:rsidRPr="00121A2C">
        <w:rPr>
          <w:bCs/>
          <w:iCs/>
          <w:szCs w:val="24"/>
          <w:lang w:eastAsia="en-US"/>
        </w:rPr>
        <w:t xml:space="preserve"> </w:t>
      </w:r>
      <w:proofErr w:type="spellStart"/>
      <w:r w:rsidRPr="00121A2C">
        <w:rPr>
          <w:bCs/>
          <w:iCs/>
          <w:szCs w:val="24"/>
          <w:lang w:eastAsia="en-US"/>
        </w:rPr>
        <w:t>Leyen</w:t>
      </w:r>
      <w:proofErr w:type="spellEnd"/>
      <w:r w:rsidRPr="00121A2C">
        <w:rPr>
          <w:bCs/>
          <w:iCs/>
          <w:szCs w:val="24"/>
          <w:lang w:eastAsia="en-US"/>
        </w:rPr>
        <w:t xml:space="preserve"> od 16. kolovoza 2025. nakon sastanka predsjednika SAD-a Donalda Trumpa i predsjednika Ruske Federacije Vladimira Putina u </w:t>
      </w:r>
      <w:proofErr w:type="spellStart"/>
      <w:r w:rsidRPr="00121A2C">
        <w:rPr>
          <w:bCs/>
          <w:iCs/>
          <w:szCs w:val="24"/>
          <w:lang w:eastAsia="en-US"/>
        </w:rPr>
        <w:t>Anchorageu</w:t>
      </w:r>
      <w:proofErr w:type="spellEnd"/>
      <w:r w:rsidRPr="00121A2C">
        <w:rPr>
          <w:bCs/>
          <w:iCs/>
          <w:szCs w:val="24"/>
          <w:lang w:eastAsia="en-US"/>
        </w:rPr>
        <w:t xml:space="preserve"> na Aljasci 15. kolovoza 2025.,</w:t>
      </w:r>
    </w:p>
    <w:p w14:paraId="3D55FAC7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bCs/>
          <w:iCs/>
          <w:szCs w:val="24"/>
          <w:lang w:eastAsia="en-US"/>
        </w:rPr>
      </w:pPr>
      <w:r w:rsidRPr="00121A2C">
        <w:rPr>
          <w:bCs/>
          <w:iCs/>
          <w:szCs w:val="24"/>
          <w:lang w:eastAsia="en-US"/>
        </w:rPr>
        <w:t>–</w:t>
      </w:r>
      <w:r w:rsidRPr="00121A2C">
        <w:rPr>
          <w:bCs/>
          <w:iCs/>
          <w:szCs w:val="24"/>
          <w:lang w:eastAsia="en-US"/>
        </w:rPr>
        <w:tab/>
        <w:t xml:space="preserve">uzimajući u obzir ranije izjave, uključujući zajedničku izjavu čelnika Francuske, Njemačke, Poljske, Ujedinjene Kraljevine i Ukrajine nakon sastanka u Kijevu 10. svibnja 2025. i zajedničku izjavu </w:t>
      </w:r>
      <w:proofErr w:type="spellStart"/>
      <w:r w:rsidRPr="00121A2C">
        <w:rPr>
          <w:bCs/>
          <w:iCs/>
          <w:szCs w:val="24"/>
          <w:lang w:eastAsia="en-US"/>
        </w:rPr>
        <w:t>Weimara</w:t>
      </w:r>
      <w:proofErr w:type="spellEnd"/>
      <w:r w:rsidRPr="00121A2C">
        <w:rPr>
          <w:bCs/>
          <w:iCs/>
          <w:szCs w:val="24"/>
          <w:lang w:eastAsia="en-US"/>
        </w:rPr>
        <w:t>+ o Ukrajini i euroatlantskoj sigurnosti od 12. svibnja 2025.,</w:t>
      </w:r>
    </w:p>
    <w:p w14:paraId="26828BD9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bCs/>
          <w:iCs/>
          <w:szCs w:val="24"/>
        </w:rPr>
      </w:pPr>
      <w:r w:rsidRPr="00121A2C">
        <w:rPr>
          <w:bCs/>
          <w:iCs/>
          <w:szCs w:val="24"/>
          <w:lang w:eastAsia="en-US"/>
        </w:rPr>
        <w:t>–</w:t>
      </w:r>
      <w:r w:rsidRPr="00121A2C">
        <w:rPr>
          <w:bCs/>
          <w:iCs/>
          <w:szCs w:val="24"/>
          <w:lang w:eastAsia="en-US"/>
        </w:rPr>
        <w:tab/>
        <w:t>uzimajući u obzir zajedničku izjavu nekoliko zastupnika u Europskom parlamentu od 11. kolovoza 2025. o pregovorima prema pravednom miru za Ukrajinu na temelju međunarodnog prava i volje ukrajinskog naroda,</w:t>
      </w:r>
    </w:p>
    <w:p w14:paraId="793BB85B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–</w:t>
      </w:r>
      <w:r w:rsidRPr="00121A2C">
        <w:rPr>
          <w:snapToGrid w:val="0"/>
          <w:lang w:eastAsia="en-US"/>
        </w:rPr>
        <w:tab/>
        <w:t>uzimajući u obzir članak 55. Poslovnika,</w:t>
      </w:r>
    </w:p>
    <w:p w14:paraId="031C6191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–</w:t>
      </w:r>
      <w:r w:rsidRPr="00121A2C">
        <w:rPr>
          <w:snapToGrid w:val="0"/>
          <w:lang w:eastAsia="en-US"/>
        </w:rPr>
        <w:tab/>
        <w:t>uzimajući u obzir izvješće Odbora za vanjske poslove (A10-0154/2025),</w:t>
      </w:r>
    </w:p>
    <w:p w14:paraId="72D7975E" w14:textId="77777777" w:rsidR="00121A2C" w:rsidRPr="00121A2C" w:rsidRDefault="00121A2C" w:rsidP="00121A2C">
      <w:pPr>
        <w:widowControl/>
        <w:spacing w:after="240"/>
        <w:ind w:left="567" w:hanging="567"/>
        <w:rPr>
          <w:rFonts w:eastAsiaTheme="majorEastAsia"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lastRenderedPageBreak/>
        <w:t>A.</w:t>
      </w:r>
      <w:r w:rsidRPr="00121A2C">
        <w:rPr>
          <w:snapToGrid w:val="0"/>
          <w:lang w:eastAsia="en-US"/>
        </w:rPr>
        <w:tab/>
        <w:t>budući da Parlament najoštrije osuđuje nezakonitu, neopravdanu i ničim izazvanu agresiju Rusije na Ukrajinu i podupire pravo Ukrajine na suverenitet, neovisnost i teritorijalnu cjelovitost unutar njezinih međunarodno priznatih granica; budući da je Rusija napala Ukrajinu i da se najjednostavniji i najpravedniji put prema miru u Ukrajini sastoji od toga da Rusija povuče svoje snage s cijelog ukrajinskog državnog područja i plati odštetu za štetu koju je prouzrokovala tijekom svoje nezakonite ratne agresije;</w:t>
      </w:r>
    </w:p>
    <w:p w14:paraId="53D6EAFC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B.</w:t>
      </w:r>
      <w:r w:rsidRPr="00121A2C">
        <w:rPr>
          <w:szCs w:val="24"/>
        </w:rPr>
        <w:tab/>
        <w:t xml:space="preserve">budući da Rusija, uz političku, materijalnu i vojnu potporu svojih saveznika, posebno </w:t>
      </w:r>
      <w:proofErr w:type="spellStart"/>
      <w:r w:rsidRPr="00121A2C">
        <w:rPr>
          <w:szCs w:val="24"/>
        </w:rPr>
        <w:t>Bjelarusa</w:t>
      </w:r>
      <w:proofErr w:type="spellEnd"/>
      <w:r w:rsidRPr="00121A2C">
        <w:rPr>
          <w:szCs w:val="24"/>
        </w:rPr>
        <w:t xml:space="preserve">, Irana i Sjeverne Koreje, od 24. veljače 2022. vodi nezakonitu, ničim izazvanu i neopravdanu opću ratnu agresiju na Ukrajinu; međutim, budući da je ruski rat protiv Ukrajine započeo 2014. nezakonitom okupacijom i pripojenjem Krima te naknadnom okupacijom dijelova regija Donjeck i </w:t>
      </w:r>
      <w:proofErr w:type="spellStart"/>
      <w:r w:rsidRPr="00121A2C">
        <w:rPr>
          <w:szCs w:val="24"/>
        </w:rPr>
        <w:t>Luhansk</w:t>
      </w:r>
      <w:proofErr w:type="spellEnd"/>
      <w:r w:rsidRPr="00121A2C">
        <w:rPr>
          <w:szCs w:val="24"/>
        </w:rPr>
        <w:t>; budući da ta ratna agresija predstavlja očito i nedvojbeno kršenje Povelje UN-a i temeljnih načela međunarodnog prava i međunarodnog humanitarnog prava, kako je utvrđeno Ženevskim konvencijama iz 1949.;</w:t>
      </w:r>
    </w:p>
    <w:p w14:paraId="77019D6F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bCs/>
          <w:iCs/>
          <w:szCs w:val="24"/>
          <w:lang w:eastAsia="en-US"/>
        </w:rPr>
      </w:pPr>
      <w:r w:rsidRPr="00121A2C">
        <w:rPr>
          <w:bCs/>
          <w:iCs/>
          <w:szCs w:val="24"/>
          <w:lang w:eastAsia="en-US"/>
        </w:rPr>
        <w:t>C.</w:t>
      </w:r>
      <w:r w:rsidRPr="00121A2C">
        <w:rPr>
          <w:bCs/>
          <w:iCs/>
          <w:szCs w:val="24"/>
          <w:lang w:eastAsia="en-US"/>
        </w:rPr>
        <w:tab/>
        <w:t>budući da je u lipnju i srpnju 2025. došlo do drastičnog povećanja broja ruskih raketnih napada i napada izvršenih bespilotnim letjelicama usmjerenih na civilnu infrastrukturu, uključujući bolnice, škole, stambene zgrade i kulturne ustanove, što je dovelo do najvećeg broja civilnih žrtava od svibnja 2022.; budući da je, prema podacima Promatračke misije UN-a za ljudska prava u Ukrajini, u lipnju 2025. ubijeno najmanje 232 civila, a 1343 ih je ozlijeđeno, dok je u srpnju 2025. zabilježeno 286 civilnih smrtnih slučajeva, a 1388 ranjenih, što predstavlja najveći mjesečni broj civilnih žrtava od svibnja 2022.;</w:t>
      </w:r>
    </w:p>
    <w:p w14:paraId="1401AE01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rFonts w:eastAsiaTheme="majorEastAsia"/>
          <w:bCs/>
          <w:iCs/>
          <w:szCs w:val="24"/>
        </w:rPr>
      </w:pPr>
      <w:r w:rsidRPr="00121A2C">
        <w:rPr>
          <w:bCs/>
          <w:iCs/>
          <w:szCs w:val="24"/>
          <w:lang w:eastAsia="en-US"/>
        </w:rPr>
        <w:t>D.</w:t>
      </w:r>
      <w:r w:rsidRPr="00121A2C">
        <w:rPr>
          <w:bCs/>
          <w:iCs/>
          <w:szCs w:val="24"/>
          <w:lang w:eastAsia="en-US"/>
        </w:rPr>
        <w:tab/>
        <w:t xml:space="preserve">budući da Rusija provodi smaknuća i sabotažu nad istaknutim ukrajinskim javnim ličnostima, vojnicima i kritičnom infrastrukturom; budući da je </w:t>
      </w:r>
      <w:proofErr w:type="spellStart"/>
      <w:r w:rsidRPr="00121A2C">
        <w:rPr>
          <w:bCs/>
          <w:iCs/>
          <w:szCs w:val="24"/>
          <w:lang w:eastAsia="en-US"/>
        </w:rPr>
        <w:t>Andrij</w:t>
      </w:r>
      <w:proofErr w:type="spellEnd"/>
      <w:r w:rsidRPr="00121A2C">
        <w:rPr>
          <w:bCs/>
          <w:iCs/>
          <w:szCs w:val="24"/>
          <w:lang w:eastAsia="en-US"/>
        </w:rPr>
        <w:t xml:space="preserve"> </w:t>
      </w:r>
      <w:proofErr w:type="spellStart"/>
      <w:r w:rsidRPr="00121A2C">
        <w:rPr>
          <w:bCs/>
          <w:iCs/>
          <w:szCs w:val="24"/>
          <w:lang w:eastAsia="en-US"/>
        </w:rPr>
        <w:t>Parubij</w:t>
      </w:r>
      <w:proofErr w:type="spellEnd"/>
      <w:r w:rsidRPr="00121A2C">
        <w:rPr>
          <w:bCs/>
          <w:iCs/>
          <w:szCs w:val="24"/>
          <w:lang w:eastAsia="en-US"/>
        </w:rPr>
        <w:t xml:space="preserve">, bivši predsjednik </w:t>
      </w:r>
      <w:proofErr w:type="spellStart"/>
      <w:r w:rsidRPr="00121A2C">
        <w:rPr>
          <w:bCs/>
          <w:iCs/>
          <w:szCs w:val="24"/>
          <w:lang w:eastAsia="en-US"/>
        </w:rPr>
        <w:t>Verhovne</w:t>
      </w:r>
      <w:proofErr w:type="spellEnd"/>
      <w:r w:rsidRPr="00121A2C">
        <w:rPr>
          <w:bCs/>
          <w:iCs/>
          <w:szCs w:val="24"/>
          <w:lang w:eastAsia="en-US"/>
        </w:rPr>
        <w:t xml:space="preserve"> Rade i bivši tajnik Vijeća za nacionalnu sigurnost i obranu, brutalno ubijen 30. kolovoza 2025. u </w:t>
      </w:r>
      <w:proofErr w:type="spellStart"/>
      <w:r w:rsidRPr="00121A2C">
        <w:rPr>
          <w:bCs/>
          <w:iCs/>
          <w:szCs w:val="24"/>
          <w:lang w:eastAsia="en-US"/>
        </w:rPr>
        <w:t>Lavovu</w:t>
      </w:r>
      <w:proofErr w:type="spellEnd"/>
      <w:r w:rsidRPr="00121A2C">
        <w:rPr>
          <w:bCs/>
          <w:iCs/>
          <w:szCs w:val="24"/>
          <w:lang w:eastAsia="en-US"/>
        </w:rPr>
        <w:t>;</w:t>
      </w:r>
    </w:p>
    <w:p w14:paraId="1F7D0773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E.</w:t>
      </w:r>
      <w:r w:rsidRPr="00121A2C">
        <w:rPr>
          <w:snapToGrid w:val="0"/>
          <w:lang w:eastAsia="en-US"/>
        </w:rPr>
        <w:tab/>
        <w:t>budući da je dokumentirano da Rusija provodi ratne zločine i deportacije na svim ukrajinskim teritorijima koje nezakonito okupira, kao i da se u velikoj mjeri oslanja na manipulaciju informacijama, dezinformacije i širenje propagande kako bi namjerno predstavila pogrešne informacije stanovništvu i držala ga neinformiranim;</w:t>
      </w:r>
    </w:p>
    <w:p w14:paraId="1A938B44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t>F.</w:t>
      </w:r>
      <w:r w:rsidRPr="00121A2C">
        <w:rPr>
          <w:bCs/>
          <w:iCs/>
          <w:szCs w:val="24"/>
          <w:lang w:eastAsia="en-US"/>
        </w:rPr>
        <w:tab/>
        <w:t>budući da je 28. kolovoza 2025. Rusija pokrenula još jedan izuzetno brutalan napad bespilotnim letjelicama i projektilima na nekoliko zgrada u Kijevu, u kojem su ubijene najmanje 23 osobe, a ozlijeđeno njih više od 63, uključujući djecu; budući da su prostorije delegacije EU-a u Ukrajini znatno oštećene u napadu, što predstavlja teško kršenje Bečke konvencije o diplomatskim odnosima; budući da su uredi Britanskog vijeća u Kijevu također pogođeni tijekom napada, uz veliku štetu i jednu ozlijeđenu osobu;</w:t>
      </w:r>
    </w:p>
    <w:p w14:paraId="295263EE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G.</w:t>
      </w:r>
      <w:r w:rsidRPr="00121A2C">
        <w:rPr>
          <w:szCs w:val="24"/>
        </w:rPr>
        <w:tab/>
        <w:t xml:space="preserve">budući da je kao odgovor na rusku ratnu agresiju u siječnju 2023. osnovana temeljna skupina za utvrđivanje posebnog suda za zločin agresije protiv Ukrajine; budući da je Međunarodni centar za kazneni progon zločina agresije osnovan u Haagu u ožujku 2023. i dio je </w:t>
      </w:r>
      <w:proofErr w:type="spellStart"/>
      <w:r w:rsidRPr="00121A2C">
        <w:rPr>
          <w:szCs w:val="24"/>
        </w:rPr>
        <w:t>Eurojusta</w:t>
      </w:r>
      <w:proofErr w:type="spellEnd"/>
      <w:r w:rsidRPr="00121A2C">
        <w:rPr>
          <w:szCs w:val="24"/>
        </w:rPr>
        <w:t xml:space="preserve">; budući da je temeljna skupina dovršila pravni okvir za sud u ožujku 2025.; budući da je više od 40 zemalja podržalo njegovo osnivanje zajedničkom izjavom sa sastanka ministara vanjskih poslova od 9. svibnja 2025. o zaključenju rada temeljne skupine (izjava iz </w:t>
      </w:r>
      <w:proofErr w:type="spellStart"/>
      <w:r w:rsidRPr="00121A2C">
        <w:rPr>
          <w:szCs w:val="24"/>
        </w:rPr>
        <w:t>Lviva</w:t>
      </w:r>
      <w:proofErr w:type="spellEnd"/>
      <w:r w:rsidRPr="00121A2C">
        <w:rPr>
          <w:szCs w:val="24"/>
        </w:rPr>
        <w:t xml:space="preserve">); budući da su 25. lipnja 2025. </w:t>
      </w:r>
      <w:r w:rsidRPr="00121A2C">
        <w:rPr>
          <w:szCs w:val="24"/>
        </w:rPr>
        <w:lastRenderedPageBreak/>
        <w:t xml:space="preserve">ukrajinski predsjednik </w:t>
      </w:r>
      <w:proofErr w:type="spellStart"/>
      <w:r w:rsidRPr="00121A2C">
        <w:rPr>
          <w:szCs w:val="24"/>
        </w:rPr>
        <w:t>Volodimir</w:t>
      </w:r>
      <w:proofErr w:type="spellEnd"/>
      <w:r w:rsidRPr="00121A2C">
        <w:rPr>
          <w:szCs w:val="24"/>
        </w:rPr>
        <w:t xml:space="preserve"> </w:t>
      </w:r>
      <w:proofErr w:type="spellStart"/>
      <w:r w:rsidRPr="00121A2C">
        <w:rPr>
          <w:szCs w:val="24"/>
        </w:rPr>
        <w:t>Zelenskij</w:t>
      </w:r>
      <w:proofErr w:type="spellEnd"/>
      <w:r w:rsidRPr="00121A2C">
        <w:rPr>
          <w:szCs w:val="24"/>
        </w:rPr>
        <w:t xml:space="preserve"> i glavni tajnik Vijeća Europe Alain </w:t>
      </w:r>
      <w:proofErr w:type="spellStart"/>
      <w:r w:rsidRPr="00121A2C">
        <w:rPr>
          <w:szCs w:val="24"/>
        </w:rPr>
        <w:t>Berset</w:t>
      </w:r>
      <w:proofErr w:type="spellEnd"/>
      <w:r w:rsidRPr="00121A2C">
        <w:rPr>
          <w:szCs w:val="24"/>
        </w:rPr>
        <w:t xml:space="preserve"> potpisali u Strasbourgu službeni sporazum o osnivanju Posebnog suda za zločin agresije na Ukrajinu;</w:t>
      </w:r>
    </w:p>
    <w:p w14:paraId="58D06C17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rFonts w:eastAsiaTheme="majorEastAsia"/>
          <w:bCs/>
          <w:iCs/>
          <w:szCs w:val="24"/>
        </w:rPr>
      </w:pPr>
      <w:r w:rsidRPr="00121A2C">
        <w:rPr>
          <w:bCs/>
          <w:iCs/>
          <w:szCs w:val="24"/>
          <w:lang w:eastAsia="en-US"/>
        </w:rPr>
        <w:t>H.</w:t>
      </w:r>
      <w:r w:rsidRPr="00121A2C">
        <w:rPr>
          <w:bCs/>
          <w:iCs/>
          <w:szCs w:val="24"/>
          <w:lang w:eastAsia="en-US"/>
        </w:rPr>
        <w:tab/>
        <w:t xml:space="preserve">budući da su predsjednik SAD-a Donald Trump i predsjednik Ruske Federacije Vladimir Putin 15. kolovoza 2025. održali bilateralni sastanak na vrhu u </w:t>
      </w:r>
      <w:proofErr w:type="spellStart"/>
      <w:r w:rsidRPr="00121A2C">
        <w:rPr>
          <w:bCs/>
          <w:iCs/>
          <w:szCs w:val="24"/>
          <w:lang w:eastAsia="en-US"/>
        </w:rPr>
        <w:t>Anchorageu</w:t>
      </w:r>
      <w:proofErr w:type="spellEnd"/>
      <w:r w:rsidRPr="00121A2C">
        <w:rPr>
          <w:bCs/>
          <w:iCs/>
          <w:szCs w:val="24"/>
          <w:lang w:eastAsia="en-US"/>
        </w:rPr>
        <w:t xml:space="preserve"> na Aljasci; budući da su nakon tog sastanka na vrhu 18. kolovoza 2025. u Washingtonu uslijedili sastanci predsjednika Trumpa i predsjednika </w:t>
      </w:r>
      <w:proofErr w:type="spellStart"/>
      <w:r w:rsidRPr="00121A2C">
        <w:rPr>
          <w:bCs/>
          <w:iCs/>
          <w:szCs w:val="24"/>
          <w:lang w:eastAsia="en-US"/>
        </w:rPr>
        <w:t>Zelenskog</w:t>
      </w:r>
      <w:proofErr w:type="spellEnd"/>
      <w:r w:rsidRPr="00121A2C">
        <w:rPr>
          <w:bCs/>
          <w:iCs/>
          <w:szCs w:val="24"/>
          <w:lang w:eastAsia="en-US"/>
        </w:rPr>
        <w:t xml:space="preserve"> te europskih čelnika;</w:t>
      </w:r>
    </w:p>
    <w:p w14:paraId="4ECF84E6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I.</w:t>
      </w:r>
      <w:r w:rsidRPr="00121A2C">
        <w:rPr>
          <w:snapToGrid w:val="0"/>
          <w:lang w:eastAsia="en-US"/>
        </w:rPr>
        <w:tab/>
        <w:t>budući da je Ukrajina pokazala iznimnu otpornost i predanost svojem europskom putu i u tom pogledu je postigla očit napredak unatoč aktualnoj ratnoj agresiji Rusije, koja je dovela do smrti tisuća ljudi, nanijela duboke traume veteranima i njihovim obiteljima te ostavila mnoge gradove i ključnu civilnu infrastrukturu u ruševinama te dovela do toga da ruske snage kontinuirano okupiraju dijelova njezina teritorija;</w:t>
      </w:r>
    </w:p>
    <w:p w14:paraId="0A2A3D88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J.</w:t>
      </w:r>
      <w:r w:rsidRPr="00121A2C">
        <w:rPr>
          <w:snapToGrid w:val="0"/>
          <w:lang w:eastAsia="en-US"/>
        </w:rPr>
        <w:tab/>
        <w:t>budući da zbog ruske invazije više od 4 milijuna Ukrajinaca trenutačno živi u državama članicama EU-a u okviru mehanizma privremene zaštite i ima pravo na boravak, pristup tržištu rada, stanovanje, zdravstvenu skrb, socijalnu skrb i obrazovanje za svoju djecu;</w:t>
      </w:r>
    </w:p>
    <w:p w14:paraId="118732F2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K.</w:t>
      </w:r>
      <w:r w:rsidRPr="00121A2C">
        <w:rPr>
          <w:snapToGrid w:val="0"/>
          <w:lang w:eastAsia="en-US"/>
        </w:rPr>
        <w:tab/>
        <w:t xml:space="preserve">budući da proces pristupanja Ukrajine EU-u predstavlja važan doprinos i put prema miru i blagostanju za Ukrajinu, strateški odgovor na rusku agresiju </w:t>
      </w:r>
      <w:r w:rsidRPr="00121A2C">
        <w:rPr>
          <w:bCs/>
          <w:iCs/>
          <w:szCs w:val="24"/>
          <w:lang w:eastAsia="en-US"/>
        </w:rPr>
        <w:t>i pouzdano jamstvo sigurnosti za Ukrajinu</w:t>
      </w:r>
      <w:r w:rsidRPr="00121A2C">
        <w:rPr>
          <w:snapToGrid w:val="0"/>
          <w:lang w:eastAsia="en-US"/>
        </w:rPr>
        <w:t xml:space="preserve"> čime se jača geopolitička otpornost EU-a;</w:t>
      </w:r>
    </w:p>
    <w:p w14:paraId="0ABA2BA9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L.</w:t>
      </w:r>
      <w:r w:rsidRPr="00121A2C">
        <w:rPr>
          <w:snapToGrid w:val="0"/>
          <w:lang w:eastAsia="en-US"/>
        </w:rPr>
        <w:tab/>
        <w:t>budući da su zakonodavne reforme koje je Ukrajina započela odraz njezine predanosti usklađivanju s pravnom stečevinom EU-a;</w:t>
      </w:r>
    </w:p>
    <w:p w14:paraId="23299949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M.</w:t>
      </w:r>
      <w:r w:rsidRPr="00121A2C">
        <w:rPr>
          <w:snapToGrid w:val="0"/>
          <w:lang w:eastAsia="en-US"/>
        </w:rPr>
        <w:tab/>
        <w:t>budući da GRECO i dalje priznaje snažnu predanost Ukrajine radu na suzbijanju korupcije u iznimno teškim vremenima za tu zemlju; budući da je GRECO posebno prepoznao napredak Ukrajine u sprečavanju korupcije među parlamentarnim zastupnicima, sucima i tužiteljima; budući da, unatoč napretku, i dalje postoje poteškoće u područjima kao što su neovisnost pravosuđa i sustavna korupcija, što je problem koji se mora riješiti kroz veću odgovornost vlade, dodatno jačanje institucionalnih kapaciteta i međunarodni nadzor;</w:t>
      </w:r>
    </w:p>
    <w:p w14:paraId="0DEA436A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N.</w:t>
      </w:r>
      <w:r w:rsidRPr="00121A2C">
        <w:rPr>
          <w:snapToGrid w:val="0"/>
          <w:lang w:eastAsia="en-US"/>
        </w:rPr>
        <w:tab/>
        <w:t>budući da je OECD napomenuo da je Ukrajina u proteklom desetljeću znatno napredovala u reformi svojeg okvira za borbu protiv korupcije povećanjem transparentnosti, odgovornosti i integriteta s pomoću otvorenih podataka, digitalizacije i jačanja neovisnosti tijela za borbu protiv korupcije;</w:t>
      </w:r>
    </w:p>
    <w:p w14:paraId="6F28EE54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t>O.</w:t>
      </w:r>
      <w:r w:rsidRPr="00121A2C">
        <w:rPr>
          <w:bCs/>
          <w:iCs/>
          <w:szCs w:val="24"/>
          <w:lang w:eastAsia="en-US"/>
        </w:rPr>
        <w:tab/>
        <w:t xml:space="preserve">budući da su sredinom srpnja 2025. ukrajinske vlasti pokušale ugroziti neovisnost nacionalnog antikorupcijskog ureda Ukrajine i specijaliziranog ureda tužitelja za borbu protiv korupcije donošenjem zakona br. 12414 kojim su glavnom državnom odvjetniku dodijeljene široke ovlasti za uplitanje u njihove istrage; budući da je </w:t>
      </w:r>
      <w:proofErr w:type="spellStart"/>
      <w:r w:rsidRPr="00121A2C">
        <w:rPr>
          <w:bCs/>
          <w:iCs/>
          <w:szCs w:val="24"/>
          <w:lang w:eastAsia="en-US"/>
        </w:rPr>
        <w:t>Verhovna</w:t>
      </w:r>
      <w:proofErr w:type="spellEnd"/>
      <w:r w:rsidRPr="00121A2C">
        <w:rPr>
          <w:bCs/>
          <w:iCs/>
          <w:szCs w:val="24"/>
          <w:lang w:eastAsia="en-US"/>
        </w:rPr>
        <w:t xml:space="preserve"> Rada 31. kolovoza 2025., zbog velikog unutarnjeg i vanjskog pritiska, donijela zakon br. 13533 kako bi se ponovno uspostavio status quo </w:t>
      </w:r>
      <w:proofErr w:type="spellStart"/>
      <w:r w:rsidRPr="00121A2C">
        <w:rPr>
          <w:bCs/>
          <w:iCs/>
          <w:szCs w:val="24"/>
          <w:lang w:eastAsia="en-US"/>
        </w:rPr>
        <w:t>ante</w:t>
      </w:r>
      <w:proofErr w:type="spellEnd"/>
      <w:r w:rsidRPr="00121A2C">
        <w:rPr>
          <w:bCs/>
          <w:iCs/>
          <w:szCs w:val="24"/>
          <w:lang w:eastAsia="en-US"/>
        </w:rPr>
        <w:t>, a time i potpuna neovisnost navedenih tijela;</w:t>
      </w:r>
    </w:p>
    <w:p w14:paraId="104C0EE5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P.</w:t>
      </w:r>
      <w:r w:rsidRPr="00121A2C">
        <w:rPr>
          <w:snapToGrid w:val="0"/>
          <w:lang w:eastAsia="en-US"/>
        </w:rPr>
        <w:tab/>
        <w:t>budući da su, iako je Ukrajina ostvarila 35 od 100 bodova i zauzela 105. mjesto od 180 zemalja prema indeksu percepcije korupcije organizacije Transparency International za 2024. te iako je postojala snažna predanost naporima u borbi protiv korupcije, i dalje potrebne stvarne reforme za provedbu tih namjera;</w:t>
      </w:r>
      <w:r w:rsidRPr="00121A2C">
        <w:rPr>
          <w:b/>
          <w:bCs/>
          <w:snapToGrid w:val="0"/>
          <w:lang w:eastAsia="en-US"/>
        </w:rPr>
        <w:t xml:space="preserve"> </w:t>
      </w:r>
      <w:r w:rsidRPr="00121A2C">
        <w:rPr>
          <w:snapToGrid w:val="0"/>
          <w:lang w:eastAsia="en-US"/>
        </w:rPr>
        <w:t xml:space="preserve">budući da su sveobuhvatna reforma </w:t>
      </w:r>
      <w:r w:rsidRPr="00121A2C">
        <w:rPr>
          <w:snapToGrid w:val="0"/>
          <w:lang w:eastAsia="en-US"/>
        </w:rPr>
        <w:lastRenderedPageBreak/>
        <w:t>javne uprave, borba protiv korupcije, promicanje temeljnih prava i učinkovito funkcioniranje demokratskih institucija temeljni uvjeti za pristupanje EU-u;</w:t>
      </w:r>
    </w:p>
    <w:p w14:paraId="50E41CC4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Q.</w:t>
      </w:r>
      <w:r w:rsidRPr="00121A2C">
        <w:rPr>
          <w:snapToGrid w:val="0"/>
          <w:lang w:eastAsia="en-US"/>
        </w:rPr>
        <w:tab/>
        <w:t>budući da je Ukrajina ostvarila napredak u regionalnoj suradnji i socioekonomskim reformama kako bi uskladila svoje politike sa standardima EU-a;</w:t>
      </w:r>
    </w:p>
    <w:p w14:paraId="5A30602C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b/>
          <w:bCs/>
          <w:szCs w:val="24"/>
        </w:rPr>
      </w:pPr>
      <w:r w:rsidRPr="00121A2C">
        <w:rPr>
          <w:szCs w:val="24"/>
        </w:rPr>
        <w:t>R.</w:t>
      </w:r>
      <w:r w:rsidRPr="00121A2C">
        <w:rPr>
          <w:szCs w:val="24"/>
        </w:rPr>
        <w:tab/>
        <w:t>budući da su demokratske institucije Ukrajine pokazale prilagodljivost pokazujući da je Ukrajina, čak i u kontekstu aktualne ruske ratne agresije i izvanrednog stanja, i dalje institucionalno, demokratski i gospodarski održiva država; budući da su izbori zabranjeni zakonom i nepraktični dok god je Ukrajina i dalje u ratu i pod izvanrednim stanjem; budući da Parlament pozdravlja naznake da pripreme za izbore mogu započeti nakon završetka izvanrednog stanja;</w:t>
      </w:r>
    </w:p>
    <w:p w14:paraId="0CE65114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szCs w:val="24"/>
        </w:rPr>
      </w:pPr>
      <w:r w:rsidRPr="00121A2C">
        <w:rPr>
          <w:szCs w:val="24"/>
        </w:rPr>
        <w:t>S.</w:t>
      </w:r>
      <w:r w:rsidRPr="00121A2C">
        <w:rPr>
          <w:szCs w:val="24"/>
        </w:rPr>
        <w:tab/>
        <w:t>budući da je postignut napredak u pogledu reforme javne uprave, ali su i dalje potrebni daljnja izgradnja kapaciteta, donošenje politika utemeljenih na dokazima i bolje upravljanje ljudskim resursima;</w:t>
      </w:r>
    </w:p>
    <w:p w14:paraId="7AC11E9D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T.</w:t>
      </w:r>
      <w:r w:rsidRPr="00121A2C">
        <w:rPr>
          <w:snapToGrid w:val="0"/>
          <w:lang w:eastAsia="en-US"/>
        </w:rPr>
        <w:tab/>
        <w:t>budući da je pravosuđe nastavilo obavljati ključne funkcije, uključujući sigurnosnu provjeru sudaca i provedbu antikorupcijskih mjera, ali je potrebno ojačati standarde integriteta i transparentnosti, a međunarodni partneri bi trebali provoditi kontinuirani nadzor;</w:t>
      </w:r>
    </w:p>
    <w:p w14:paraId="5DC06FA2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U.</w:t>
      </w:r>
      <w:r w:rsidRPr="00121A2C">
        <w:rPr>
          <w:snapToGrid w:val="0"/>
          <w:lang w:eastAsia="en-US"/>
        </w:rPr>
        <w:tab/>
        <w:t>budući da je za jačanje neovisnosti pravosuđa bilo korisno imati pomoć međunarodnih stručnjaka u povjerenstvima za odabir sudaca, što je također doprinijelo izgradnji povjerenja javnosti u pravosudni sustav;</w:t>
      </w:r>
    </w:p>
    <w:p w14:paraId="3A878AC5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V.</w:t>
      </w:r>
      <w:r w:rsidRPr="00121A2C">
        <w:rPr>
          <w:snapToGrid w:val="0"/>
          <w:lang w:eastAsia="en-US"/>
        </w:rPr>
        <w:tab/>
        <w:t>budući da je sudjelovanje međunarodnih stručnjaka u odabiru Visokog povjerenstva za kvalifikacije sudaca završilo 1. lipnja 2025.;</w:t>
      </w:r>
    </w:p>
    <w:p w14:paraId="7CE37723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W.</w:t>
      </w:r>
      <w:r w:rsidRPr="00121A2C">
        <w:rPr>
          <w:snapToGrid w:val="0"/>
          <w:lang w:eastAsia="en-US"/>
        </w:rPr>
        <w:tab/>
        <w:t>budući da je Ukrajina, unatoč tome što Rusija stalno uništava energetska postrojenja, pokazala predanost zelenom planu donošenjem zakonodavstva o energiji iz obnovljivih izvora i usklađivanjem s ciljevima europskog zelenog plana;</w:t>
      </w:r>
    </w:p>
    <w:p w14:paraId="3D5E762C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rFonts w:eastAsiaTheme="majorEastAsia"/>
          <w:iCs/>
          <w:szCs w:val="24"/>
        </w:rPr>
      </w:pPr>
      <w:r w:rsidRPr="00121A2C">
        <w:rPr>
          <w:szCs w:val="24"/>
        </w:rPr>
        <w:t>X.</w:t>
      </w:r>
      <w:r w:rsidRPr="00121A2C">
        <w:rPr>
          <w:szCs w:val="24"/>
        </w:rPr>
        <w:tab/>
        <w:t>budući da je šteta u okolišu koju je prouzročila Rusija dovela do razornih posljedica za ukrajinske prirodne resurse, kritične ekosustave te zdravlje, sredstva za život i sigurnost ljudi; budući da je zeleni oporavak usmjeren na otklanjanje te štete i usmjeravanje Ukrajine na novi put ekološke i socijalne održivosti usklađen sa zakonima o okolišu u pravnoj stečevini EU-a; budući da je Ukrajina 1. siječnja 2025. prestala biti tranzitna zemlja za ruski plin;</w:t>
      </w:r>
    </w:p>
    <w:p w14:paraId="6BE84495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Y.</w:t>
      </w:r>
      <w:r w:rsidRPr="00121A2C">
        <w:rPr>
          <w:snapToGrid w:val="0"/>
          <w:lang w:eastAsia="en-US"/>
        </w:rPr>
        <w:tab/>
        <w:t>budući da su strani ulagači i multinacionalne korporacije znatno proširili svoju kontrolu nad ukrajinskim prirodnim resursima, uključujući poljoprivredno zemljište, minerale i kritičnu infrastrukturu; budući da bi takav razvoj događaja mogao ugroziti nacionalnu suverenost, sigurnost opskrbe hranom i gospodarsko samoodređenje;</w:t>
      </w:r>
    </w:p>
    <w:p w14:paraId="489BF6B9" w14:textId="77777777" w:rsidR="00121A2C" w:rsidRPr="00121A2C" w:rsidRDefault="00121A2C" w:rsidP="00121A2C">
      <w:pPr>
        <w:widowControl/>
        <w:spacing w:before="100" w:beforeAutospacing="1" w:after="100" w:afterAutospacing="1"/>
        <w:ind w:left="567" w:hanging="567"/>
        <w:rPr>
          <w:rFonts w:eastAsiaTheme="majorEastAsia"/>
          <w:iCs/>
          <w:szCs w:val="24"/>
        </w:rPr>
      </w:pPr>
      <w:r w:rsidRPr="00121A2C">
        <w:rPr>
          <w:szCs w:val="24"/>
        </w:rPr>
        <w:t>Z.</w:t>
      </w:r>
      <w:r w:rsidRPr="00121A2C">
        <w:rPr>
          <w:szCs w:val="24"/>
        </w:rPr>
        <w:tab/>
        <w:t>budući da je 2024. kupnja ruskih fosilnih goriva u EU-u iznosila 21,9 milijardi EUR, što je iznos koji prelazi svotu od 18,7 milijardi EUR financijske pomoći pružene Ukrajini te iste godine; budući da je od početka potpune invazije EU potrošio više od 200 milijardi EUR na ruska fosilna goriva, čime je doprinio financiranju ruske ratne blagajne; budući da je Komisija najavila okončanje uvoza ruskog plina do 2027.; budući da bi EU, ako nastavi uvoziti rusku energiju po stopi iz 2024., platio Rusiji dodatnih 57,4 milijardi EUR prije kraja 2027. godine;</w:t>
      </w:r>
    </w:p>
    <w:p w14:paraId="2254F4F2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lastRenderedPageBreak/>
        <w:t>AA.</w:t>
      </w:r>
      <w:r w:rsidRPr="00121A2C">
        <w:rPr>
          <w:snapToGrid w:val="0"/>
          <w:lang w:eastAsia="en-US"/>
        </w:rPr>
        <w:tab/>
        <w:t>budući da je civilno društvo i dalje stup otpornosti i demokracije u Ukrajini;</w:t>
      </w:r>
      <w:r w:rsidRPr="00121A2C">
        <w:rPr>
          <w:b/>
          <w:bCs/>
          <w:snapToGrid w:val="0"/>
          <w:lang w:eastAsia="en-US"/>
        </w:rPr>
        <w:t xml:space="preserve"> </w:t>
      </w:r>
      <w:r w:rsidRPr="00121A2C">
        <w:rPr>
          <w:snapToGrid w:val="0"/>
          <w:lang w:eastAsia="en-US"/>
        </w:rPr>
        <w:t>budući da, unatoč ograničenjima uvedenima zbog proglašenja izvanrednog stanja, nevladine organizacije relativno neometano nastavljaju s radom, iako su zabilježeni slučajevi pritiska na aktiviste koji izazivaju zabrinutost i iziskuju djelovanje vlade;</w:t>
      </w:r>
      <w:r w:rsidRPr="00121A2C">
        <w:rPr>
          <w:b/>
          <w:bCs/>
          <w:snapToGrid w:val="0"/>
          <w:lang w:eastAsia="en-US"/>
        </w:rPr>
        <w:t xml:space="preserve"> </w:t>
      </w:r>
      <w:r w:rsidRPr="00121A2C">
        <w:rPr>
          <w:snapToGrid w:val="0"/>
          <w:lang w:eastAsia="en-US"/>
        </w:rPr>
        <w:t>budući da su nedavni nagli rezovi u financiranju sredstvima SAD-a imali razorne posljedice za ukrajinsko civilno društvo;</w:t>
      </w:r>
    </w:p>
    <w:p w14:paraId="3045A44F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AB.</w:t>
      </w:r>
      <w:r w:rsidRPr="00121A2C">
        <w:rPr>
          <w:snapToGrid w:val="0"/>
          <w:lang w:eastAsia="en-US"/>
        </w:rPr>
        <w:tab/>
        <w:t>budući da su sloboda izražavanja i neovisnost medija izložene pritiscima, posebno tijekom ratnog stanja; budući da su potrebne mjere kako bi se ponovno uspostavio pluralizam, zaštitili novinari te stvorilo financijski poticajno okruženje;</w:t>
      </w:r>
      <w:r w:rsidRPr="00121A2C">
        <w:rPr>
          <w:b/>
          <w:bCs/>
          <w:snapToGrid w:val="0"/>
          <w:lang w:eastAsia="en-US"/>
        </w:rPr>
        <w:t xml:space="preserve"> </w:t>
      </w:r>
      <w:r w:rsidRPr="00121A2C">
        <w:rPr>
          <w:snapToGrid w:val="0"/>
          <w:lang w:eastAsia="en-US"/>
        </w:rPr>
        <w:t>budući da je razumljivo da su tijekom izvanrednog stanja potrebna određena ograničenja;</w:t>
      </w:r>
    </w:p>
    <w:p w14:paraId="7ABD2D9B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t>AC.</w:t>
      </w:r>
      <w:r w:rsidRPr="00121A2C">
        <w:rPr>
          <w:bCs/>
          <w:iCs/>
          <w:szCs w:val="24"/>
          <w:lang w:eastAsia="en-US"/>
        </w:rPr>
        <w:tab/>
        <w:t xml:space="preserve">budući da je Europska konfederacija sindikata (ETUC) izrazila ozbiljnu zabrinutost zbog pogoršanja radničkih prava u Ukrajini, uključujući kršenja sindikalnih sloboda i socijalnog dijaloga; budući da su sloboda udruživanja, kolektivno pregovaranje i pravo na štrajk zaštićeni konvencijama Međunarodne organizacije rada kojih je Ukrajina stranka te su ključni elementi pravne stečevine EU-a i </w:t>
      </w:r>
      <w:proofErr w:type="spellStart"/>
      <w:r w:rsidRPr="00121A2C">
        <w:rPr>
          <w:bCs/>
          <w:iCs/>
          <w:szCs w:val="24"/>
          <w:lang w:eastAsia="en-US"/>
        </w:rPr>
        <w:t>kopenhaških</w:t>
      </w:r>
      <w:proofErr w:type="spellEnd"/>
      <w:r w:rsidRPr="00121A2C">
        <w:rPr>
          <w:bCs/>
          <w:iCs/>
          <w:szCs w:val="24"/>
          <w:lang w:eastAsia="en-US"/>
        </w:rPr>
        <w:t xml:space="preserve"> kriterija;</w:t>
      </w:r>
    </w:p>
    <w:p w14:paraId="468B9B61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AD.</w:t>
      </w:r>
      <w:r w:rsidRPr="00121A2C">
        <w:rPr>
          <w:snapToGrid w:val="0"/>
          <w:lang w:eastAsia="en-US"/>
        </w:rPr>
        <w:tab/>
        <w:t>budući da postoji konsenzus javnosti i institucija koji uvelike podupire proces integracije Ukrajine u EU, što je odraz snažne društvene predanosti članstvu u EU-u unatoč trenutačnim poteškoćama;</w:t>
      </w:r>
    </w:p>
    <w:p w14:paraId="74D4ACAE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AE.</w:t>
      </w:r>
      <w:r w:rsidRPr="00121A2C">
        <w:rPr>
          <w:snapToGrid w:val="0"/>
          <w:lang w:eastAsia="en-US"/>
        </w:rPr>
        <w:tab/>
        <w:t>budući da pristupanje EU-u ima zasebnu sigurnosnu dimenziju i snažan simbolički značaj za tu zemlju i njezino stanovništvo u kontekstu borbe Ukrajine za svoju egzistenciju protiv aktualne ruske agresije;</w:t>
      </w:r>
      <w:r w:rsidRPr="00121A2C">
        <w:rPr>
          <w:b/>
          <w:bCs/>
          <w:snapToGrid w:val="0"/>
          <w:lang w:eastAsia="en-US"/>
        </w:rPr>
        <w:t xml:space="preserve"> </w:t>
      </w:r>
      <w:r w:rsidRPr="00121A2C">
        <w:rPr>
          <w:snapToGrid w:val="0"/>
          <w:lang w:eastAsia="en-US"/>
        </w:rPr>
        <w:t>budući da nepokolebljiva potpora EU-a suverenitetu, teritorijalnoj cjelovitosti i neovisnosti Ukrajine ne ovisi o brzini europske integracije te zemlje;</w:t>
      </w:r>
    </w:p>
    <w:p w14:paraId="1DF18440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AF.</w:t>
      </w:r>
      <w:r w:rsidRPr="00121A2C">
        <w:rPr>
          <w:snapToGrid w:val="0"/>
          <w:lang w:eastAsia="en-US"/>
        </w:rPr>
        <w:tab/>
        <w:t>budući da je članstvo u EU-u i dalje iznimno važan pokretač demokratskog razvoja Ukrajine i da će to biti jedan od ključnih čimbenika u postizanju buduće sigurnosti, stabilnosti i neovisnosti te zemlje;</w:t>
      </w:r>
      <w:r w:rsidRPr="00121A2C">
        <w:rPr>
          <w:b/>
          <w:bCs/>
          <w:snapToGrid w:val="0"/>
          <w:lang w:eastAsia="en-US"/>
        </w:rPr>
        <w:t xml:space="preserve"> </w:t>
      </w:r>
      <w:r w:rsidRPr="00121A2C">
        <w:rPr>
          <w:snapToGrid w:val="0"/>
          <w:lang w:eastAsia="en-US"/>
        </w:rPr>
        <w:t>budući da je članstvo Ukrajine u EU-u strateško ulaganje u mir, sigurnost, demokraciju i blagostanje za cijeli kontinent jer će ojačati Uniju doprinosom njezinoj geopolitičkoj otpornosti, jačanjem njezina gospodarskog potencijala i jačanjem njezine predanosti zajedničkim vrijednostima demokracije, vladavine prava i slobode;</w:t>
      </w:r>
    </w:p>
    <w:p w14:paraId="556B5A99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AG.</w:t>
      </w:r>
      <w:r w:rsidRPr="00121A2C">
        <w:rPr>
          <w:snapToGrid w:val="0"/>
          <w:lang w:eastAsia="en-US"/>
        </w:rPr>
        <w:tab/>
        <w:t>budući da je pristupanje i dalje proces koji se temelji na zaslugama i da se napredak u provedbi reformi mora temeljito i pažljivo ocijeniti, što je među ostalim i u interesu Ukrajine;</w:t>
      </w:r>
    </w:p>
    <w:p w14:paraId="127F8723" w14:textId="77777777" w:rsidR="00121A2C" w:rsidRPr="00121A2C" w:rsidRDefault="00121A2C" w:rsidP="00121A2C">
      <w:pPr>
        <w:widowControl/>
        <w:spacing w:before="100" w:beforeAutospacing="1" w:after="100" w:afterAutospacing="1"/>
        <w:rPr>
          <w:rFonts w:eastAsiaTheme="majorEastAsia"/>
          <w:bCs/>
          <w:szCs w:val="24"/>
        </w:rPr>
      </w:pPr>
      <w:r w:rsidRPr="00121A2C">
        <w:rPr>
          <w:b/>
          <w:bCs/>
          <w:i/>
          <w:iCs/>
          <w:szCs w:val="24"/>
        </w:rPr>
        <w:t>Ruska ratna agresija kao kontekst za pripreme Ukrajine za pristupanje EU-u</w:t>
      </w:r>
    </w:p>
    <w:p w14:paraId="416FFE3D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1.</w:t>
      </w:r>
      <w:r w:rsidRPr="00121A2C">
        <w:rPr>
          <w:snapToGrid w:val="0"/>
          <w:lang w:eastAsia="en-US"/>
        </w:rPr>
        <w:tab/>
        <w:t>najoštrije osuđuje aktualni agresivni rat Ruske Federacije protiv Ukrajine i neselektivne napade Rusije na civile i civilnu infrastrukturu; ponovno izražava nepokolebljivu solidarnost s hrabrim ukrajinskim narodom, koji od 2014. životima plaća obranu Ukrajine te njezina suvereniteta i teritorijalne cjelovitosti, kao i zaštitu Europe i naših zajedničkih demokratskih vrijednosti; izražava najdublju sućut obiteljima poginulih heroja i nedužnih civilnih žrtava ruske agresije, uključujući više od 600 ubijene djece;</w:t>
      </w:r>
    </w:p>
    <w:p w14:paraId="007950AB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zCs w:val="24"/>
          <w:lang w:eastAsia="en-US"/>
        </w:rPr>
      </w:pPr>
      <w:r w:rsidRPr="00121A2C">
        <w:rPr>
          <w:bCs/>
          <w:iCs/>
          <w:szCs w:val="24"/>
          <w:lang w:eastAsia="en-US"/>
        </w:rPr>
        <w:t>2.</w:t>
      </w:r>
      <w:r w:rsidRPr="00121A2C">
        <w:rPr>
          <w:bCs/>
          <w:iCs/>
          <w:szCs w:val="24"/>
          <w:lang w:eastAsia="en-US"/>
        </w:rPr>
        <w:tab/>
        <w:t xml:space="preserve">oštro osuđuje ubojstva istaknutih ukrajinskih javnih ličnosti i vojnika u organizaciji Rusije te njezinu sabotažu kritične infrastrukture Ukrajine; izražava zgražanje i ogorčenost zbog okrutnog ubojstva Andrija </w:t>
      </w:r>
      <w:proofErr w:type="spellStart"/>
      <w:r w:rsidRPr="00121A2C">
        <w:rPr>
          <w:bCs/>
          <w:iCs/>
          <w:szCs w:val="24"/>
          <w:lang w:eastAsia="en-US"/>
        </w:rPr>
        <w:t>Parubija</w:t>
      </w:r>
      <w:proofErr w:type="spellEnd"/>
      <w:r w:rsidRPr="00121A2C">
        <w:rPr>
          <w:bCs/>
          <w:iCs/>
          <w:szCs w:val="24"/>
          <w:lang w:eastAsia="en-US"/>
        </w:rPr>
        <w:t xml:space="preserve">, bivšeg predsjednika </w:t>
      </w:r>
      <w:proofErr w:type="spellStart"/>
      <w:r w:rsidRPr="00121A2C">
        <w:rPr>
          <w:bCs/>
          <w:iCs/>
          <w:szCs w:val="24"/>
          <w:lang w:eastAsia="en-US"/>
        </w:rPr>
        <w:t>Verhovne</w:t>
      </w:r>
      <w:proofErr w:type="spellEnd"/>
      <w:r w:rsidRPr="00121A2C">
        <w:rPr>
          <w:bCs/>
          <w:iCs/>
          <w:szCs w:val="24"/>
          <w:lang w:eastAsia="en-US"/>
        </w:rPr>
        <w:t xml:space="preserve"> </w:t>
      </w:r>
      <w:r w:rsidRPr="00121A2C">
        <w:rPr>
          <w:bCs/>
          <w:iCs/>
          <w:szCs w:val="24"/>
          <w:lang w:eastAsia="en-US"/>
        </w:rPr>
        <w:lastRenderedPageBreak/>
        <w:t xml:space="preserve">Rade i bivšeg tajnika Vijeća za nacionalnu sigurnost i obranu, koji je bio izuzetno predan europskim težnjama Ukrajine, do kojeg je došlo 30. kolovoza 2025. u </w:t>
      </w:r>
      <w:proofErr w:type="spellStart"/>
      <w:r w:rsidRPr="00121A2C">
        <w:rPr>
          <w:bCs/>
          <w:iCs/>
          <w:szCs w:val="24"/>
          <w:lang w:eastAsia="en-US"/>
        </w:rPr>
        <w:t>Lavovu</w:t>
      </w:r>
      <w:proofErr w:type="spellEnd"/>
      <w:r w:rsidRPr="00121A2C">
        <w:rPr>
          <w:bCs/>
          <w:iCs/>
          <w:szCs w:val="24"/>
          <w:lang w:eastAsia="en-US"/>
        </w:rPr>
        <w:t>;</w:t>
      </w:r>
    </w:p>
    <w:p w14:paraId="49184FD1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t>3.</w:t>
      </w:r>
      <w:r w:rsidRPr="00121A2C">
        <w:rPr>
          <w:bCs/>
          <w:iCs/>
          <w:szCs w:val="24"/>
          <w:lang w:eastAsia="en-US"/>
        </w:rPr>
        <w:tab/>
        <w:t>izražava ogorčenost zbog pojačanih ruskih napada bespilotnim letjelicama i projektilima na civilne ciljeve, uključujući napad na Kijev 28. kolovoza 2025., kada su izravno ciljani delegacija EU-a u Ukrajini i British Council; naglašava da nedavni napad, kao i svi drugi napadi usmjereni na civilnu infrastrukturu, predstavljaju ratni zločin i još jednom pokazuju da Rusija očito ne poštuje ljudski život, međunarodno pravo, napore SAD-a prema miru i temeljna načela kojima se uređuje zaštita civila;</w:t>
      </w:r>
    </w:p>
    <w:p w14:paraId="44BAD866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4.</w:t>
      </w:r>
      <w:r w:rsidRPr="00121A2C">
        <w:rPr>
          <w:snapToGrid w:val="0"/>
          <w:lang w:eastAsia="en-US"/>
        </w:rPr>
        <w:tab/>
        <w:t>potvrđuje svoju nepokolebljivu predanost neovisnosti, suverenitetu i teritorijalnoj cjelovitosti Ukrajine unutar njezinih međunarodno priznatih granica; ponavlja svoju politiku nepriznavanja privremeno okupiranih područja Ukrajine od strane Rusije, uključujući Krim; odlučno naglašava neotuđivo pravo Ukrajine na samoobranu u skladu s člankom 51. Povelje UN-a, što podrazumijeva pravo napada na vojne ciljeve na ruskom tlu; ponovno potvrđuje predanost EU-a pravednom i trajnom miru u Ukrajini pod uvjetima koji su prihvatljivi Ukrajini i njezinu narodu, osiguravajući očuvanje njezina suvereniteta i teritorijalne cjelovitosti te kazneni progon osoba odgovornih za ratne zločine, kao i isplatu odštete; poziva EU i njegove države članice da aktivno rade na održavanju i postizanju najšire moguće međunarodne potpore Ukrajini i pronalasku mirnog rješenja rata koje se mora temeljiti na potpunom poštovanju međunarodnog prava i suvereniteta i teritorijalne cjelovitosti Ukrajine te odgovornosti za ratne zločine i zločin agresije, kao i na ruskim plaćanjima za golemu štetu prouzročenu u Ukrajini; naglašava da se bilo kojim mirnim rješenjem mora poštovati volja ukrajinskog naroda i da ga ne smije nametati drugi međunarodni akter te da se njime ne smije nagraditi agresija ili ugroziti buduća sigurnost Ukrajine; smatra da su neiskren pristup pregovorima i neozbiljni prijedlozi ruskih čelnika tijekom proteklih mjeseci dodatni dokazi da Rusija namjerava produljiti svoj rat na cijelom ukrajinskom teritoriju sve dok to može i smije; naglašava da takvim mirovnim pregovorima mora prethoditi bezuvjetni prekid vatre; poziva na kontinuiranu potporu EU-a ukrajinskim i međunarodnim naporima za jačanje dokumentiranja i istrage ratnih zločina koje su počinile ruske snage;</w:t>
      </w:r>
    </w:p>
    <w:p w14:paraId="4F0C8D55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5.</w:t>
      </w:r>
      <w:r w:rsidRPr="00121A2C">
        <w:tab/>
        <w:t xml:space="preserve">izražava duboku zabrinutost zbog promjene stajališta Sjedinjenih Američkih Država o ruskoj ratnoj agresiji, uključujući izravnu suradnju s Rusijom bez vršenja značajnog pritiska, javno odricanje od većeg utjecaja, odbijanje dodatnih sankcija i raspravu o njihovu ukidanju te pokušaj da se Ukrajinu prisili na teritorijalne ustupke i odricanje od njezina legitimnog prava na samoobranu; naglašava da, s obzirom na te događaje, EU i njegove države članice moraju ostati glavni strateški saveznici Ukrajine, pri čemu bi trebali ojačati svoju vodeću ulogu u podupiranju ukrajinske borbe za suverenitet, mir i pravdu; </w:t>
      </w:r>
      <w:r w:rsidRPr="00121A2C">
        <w:rPr>
          <w:bCs/>
          <w:iCs/>
          <w:szCs w:val="24"/>
          <w:lang w:eastAsia="en-US"/>
        </w:rPr>
        <w:t xml:space="preserve">potvrđuje da sigurnost Ukrajine predstavlja ključan element sigurnosti EU-a; </w:t>
      </w:r>
      <w:r w:rsidRPr="00121A2C">
        <w:t>napominje da je potpora EU-a Ukrajini sada premašila potporu Sjedinjenih Američkih Država i ističe ključnu ulogu EU-a u održavanju otpornosti i oporavka Ukrajine;</w:t>
      </w:r>
    </w:p>
    <w:p w14:paraId="2F96CC46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6.</w:t>
      </w:r>
      <w:r w:rsidRPr="00121A2C">
        <w:rPr>
          <w:snapToGrid w:val="0"/>
          <w:lang w:eastAsia="en-US"/>
        </w:rPr>
        <w:tab/>
        <w:t xml:space="preserve">naglašava da EU i njegove države članice moraju znatno povećati djelotvornost i ubrzati pružanje vojne, materijalne i financijske pomoći kako bi podržali pravo Ukrajine na samoobranu; ustraje u tome da EU i njegove države članice, u suradnji s partnerima i saveznicima, moraju doprinijeti čvrstim sigurnosnim jamstvima za Ukrajinu kako bi se spriječila daljnja ruska agresija i Ukrajini omogućilo da se u potpunosti usredotoči na provedbu potrebnih reformi na putu prema pristupanju EU-u; naglašava važnost trajnog jačanja sigurnosti istočnog krila EU-a i NATO-a kao odgovora na prijetnje iz Rusije; </w:t>
      </w:r>
      <w:r w:rsidRPr="00121A2C">
        <w:rPr>
          <w:snapToGrid w:val="0"/>
          <w:lang w:eastAsia="en-US"/>
        </w:rPr>
        <w:lastRenderedPageBreak/>
        <w:t>poziva na razvoj vojne i logističke infrastrukture u zemljama koje graniče s Ukrajinom; priznaje suvereno pravo Ukrajine da odabere svoje vojne saveze;</w:t>
      </w:r>
    </w:p>
    <w:p w14:paraId="47275D77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t>7.</w:t>
      </w:r>
      <w:r w:rsidRPr="00121A2C">
        <w:rPr>
          <w:bCs/>
          <w:iCs/>
          <w:szCs w:val="24"/>
          <w:lang w:eastAsia="en-US"/>
        </w:rPr>
        <w:tab/>
        <w:t xml:space="preserve">prima na znanje nedavni sastanak predsjednika SAD-a Donalda Trumpa i Vladimira Putina te naglašava da je to u oštroj suprotnosti s ozbiljnim intenziviranjem ruskih napada na Ukrajinu, što još jednom dokazuje da Rusija uopće nije za mir, već za podčinjavanje Ukrajine; ističe da Vladimir Putin neiskreno surađuje u mirovnim naporima SAD-a kako bi se dobilo vrijeme za nastavak ruske ratne agresije; poziva predsjednika Trumpa da djeluje u skladu sa svojom najavom da će Sjedinjene Američke Države donijeti daljnje odlučne gospodarske sankcije protiv Rusije i zemalja koje opskrbljuju njezin ratni stroj; naglašava da se o trajnom i pravednom miru u Ukrajini ne može pregovarati bez potpunog sudjelovanja ukrajinskog vodstva i potpore njezina naroda, kao i bez sudjelovanja Europske unije; s odobrenjem primjećuje da je 18. kolovoza 2025. održan sastanak predsjednika Trumpa i predsjednika </w:t>
      </w:r>
      <w:proofErr w:type="spellStart"/>
      <w:r w:rsidRPr="00121A2C">
        <w:rPr>
          <w:bCs/>
          <w:iCs/>
          <w:szCs w:val="24"/>
          <w:lang w:eastAsia="en-US"/>
        </w:rPr>
        <w:t>Zelenskog</w:t>
      </w:r>
      <w:proofErr w:type="spellEnd"/>
      <w:r w:rsidRPr="00121A2C">
        <w:rPr>
          <w:bCs/>
          <w:iCs/>
          <w:szCs w:val="24"/>
          <w:lang w:eastAsia="en-US"/>
        </w:rPr>
        <w:t xml:space="preserve"> te niza europskih čelnika; ponovno potvrđuje svoju čvrstu predanost pružanju sigurnosnih jamstava i poduzimanju svih potrebnih koraka za jačanje ukrajinskih oružanih snaga i obrambene industrije; odbacuje sve ruske tvrdnje da je jamac budućih sigurnosnih dogovora za Ukrajinu i sve pokušaje uvjetovanja brojčanog i operativnog suvereniteta ukrajinskih oružanih snaga;</w:t>
      </w:r>
    </w:p>
    <w:p w14:paraId="4C39755F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8.</w:t>
      </w:r>
      <w:r w:rsidRPr="00121A2C">
        <w:rPr>
          <w:snapToGrid w:val="0"/>
          <w:lang w:eastAsia="en-US"/>
        </w:rPr>
        <w:tab/>
        <w:t>podsjeća na to da je Europa već pomogla Ukrajini pružanjem 50 milijardi EUR vojne pomoći, no ističe da je potrebna dodatna pomoć te da takva potpora sada uvelike ovisi o samoj Europi; potiče države članice da Ukrajini osiguraju više oružja i streljiva prije zaključenja bilo kakvih pregovora te da znatno ojačaju razmjenu obavještajnih podataka s Ukrajinom; poziva države članice, međunarodne partnere i saveznike NATO-a da ukinu sva ograničenja upotrebe zapadnih oružanih sustava isporučenih Ukrajini protiv vojnih ciljeva na ruskom teritoriju; pozdravlja napore Ukrajine da ojača svoju domaću obrambenu industrijsku bazu, uključujući proizvodnju bespilotnih letjelica i drugih ključnih tehnologija; ustraje na iznimnoj važnosti suradnje s Ukrajinom i njezine integracije u obrambene inicijative EU-a, uključujući integraciju ukrajinske obrambene industrije u europsku obrambenu tehnološku i industrijsku bazu kako bi se ojačala strateška autonomija EU-a; potiče razvoj zajedničkih projekata proizvodnje oružja s partnerima iz EU-a i NATO-a; poziva Komisiju i države članice da podrže te inicijative u okviru europske obrambene industrijske strategije i relevantnih instrumenata kako bi se ojačali dugoročni kapaciteti Ukrajine za samoobranu; ističe hitnost odgovarajućeg financiranja Instrumenta za potporu Ukrajini u okviru programa europske obrambene industrije, kojem još nisu dodijeljena nikakva sredstva;</w:t>
      </w:r>
    </w:p>
    <w:p w14:paraId="5358A0DE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9.</w:t>
      </w:r>
      <w:r w:rsidRPr="00121A2C">
        <w:rPr>
          <w:snapToGrid w:val="0"/>
          <w:lang w:eastAsia="en-US"/>
        </w:rPr>
        <w:tab/>
        <w:t>ponavlja svoj poziv državama članicama EU-a da slijede primjere Danske i Nizozemske kako bi sklopile partnerstvo s ukrajinskom obrambenom industrijom i poduprle svoje proizvodne kapacitete na najučinkovitiji način;</w:t>
      </w:r>
    </w:p>
    <w:p w14:paraId="0A2038F2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10.</w:t>
      </w:r>
      <w:r w:rsidRPr="00121A2C">
        <w:tab/>
        <w:t xml:space="preserve">pozdravlja postignuća misije EU-a za vojnu pomoć za potporu Ukrajini (EUMAM), koja pruža osposobljavanje ukrajinskom vojnom osoblju; podržava odluku Vijeća od 8. studenoga 2024. o produljenju mandata misije za dvije godine; poziva na to da se financijski, logistički i ljudski resursi misije EUMAM prošire i prilagode promjenjivim potrebama ukrajinskih oružanih snaga za vojnom obukom, kao i dugoročnim naporima u pogledu reformi u skladu sa zajedničkim sigurnosnim obvezama EU-a i Ukrajine; naglašava da bi EUMAM također trebao djelovati kao platforma za razmjenu najboljih praksi, osiguravajući da europske snage imaju koristi od iskustva ukrajinskih oružanih snaga na bojištu; </w:t>
      </w:r>
    </w:p>
    <w:p w14:paraId="11355CA8" w14:textId="77777777" w:rsidR="00121A2C" w:rsidRPr="00121A2C" w:rsidRDefault="00121A2C" w:rsidP="00121A2C">
      <w:pPr>
        <w:widowControl/>
        <w:spacing w:after="240"/>
        <w:ind w:left="567" w:hanging="567"/>
        <w:rPr>
          <w:b/>
          <w:bCs/>
          <w:i/>
          <w:iCs/>
        </w:rPr>
      </w:pPr>
      <w:r w:rsidRPr="00121A2C">
        <w:lastRenderedPageBreak/>
        <w:t>11.</w:t>
      </w:r>
      <w:r w:rsidRPr="00121A2C">
        <w:tab/>
        <w:t xml:space="preserve">najoštrije osuđuje nasilna djelovanja Rusije i sudjelovanje </w:t>
      </w:r>
      <w:proofErr w:type="spellStart"/>
      <w:r w:rsidRPr="00121A2C">
        <w:t>Bjelarusa</w:t>
      </w:r>
      <w:proofErr w:type="spellEnd"/>
      <w:r w:rsidRPr="00121A2C">
        <w:t xml:space="preserve"> u zlostavljanju ukrajinske djece, uključujući ubojstva, prisilni transfer, deportaciju i nezakonito posvojenje te brisanje ukrajinskog identiteta prisilnim </w:t>
      </w:r>
      <w:proofErr w:type="spellStart"/>
      <w:r w:rsidRPr="00121A2C">
        <w:t>rusificiranjem</w:t>
      </w:r>
      <w:proofErr w:type="spellEnd"/>
      <w:r w:rsidRPr="00121A2C">
        <w:t>; poziva EU da blisko surađuje s ukrajinskim vlastima, međunarodnim organizacijama i nevladinim organizacijama te da im pruži potporu u dokumentiranju sve nestale i deportirane djece, osiguravanju njihova sigurnog povratka i reintegracije te pružanju potrebne pravne, psihološke i socijalne potpore;</w:t>
      </w:r>
    </w:p>
    <w:p w14:paraId="47304A1C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12.</w:t>
      </w:r>
      <w:r w:rsidRPr="00121A2C">
        <w:tab/>
        <w:t>osuđuje nehumano postupanje Rusije prema ukrajinskim ratnim zarobljenicima, uključujući mučenje i pogubljenja, kojim se teško krše Ženevske konvencije, dok ruski ratni zarobljenici u Ukrajini uživaju sva prava koja su im dodijeljena međunarodnim pravom, uključujući posjete i pomoć međunarodnih organizacija kao što je Međunarodni odbor Crvenog križa (ICRC); pozdravlja dosad najveću razmjenu zatvorenika, koja je održana u svibnju 2025., te poziva EU, njegove države članice i međunarodnu zajednicu da olakšaju daljnje razmjene i primijene potreban pritisak kako bi se osigurao njihov nastavak; žali zbog toga što je Rusija nezakonito zatvorila ukrajinske civile, koji se drže u izolaciji i pod nehumanim uvjetima, što uključuje mučenje i izvansudska pogubljenja; poziva na povećani međunarodni pritisak kako bi se osiguralo oslobađanje svih pritvorenih Ukrajinaca; poziva Međunarodni odbor Crvenog križa da ustraje u tome da ruske vlasti međunarodnim predstavnicima Međunarodnog odbora Crvenog križa omoguće neometan pristup svim lokacijama na kojima se nalaze ukrajinski ratni zarobljenici;</w:t>
      </w:r>
    </w:p>
    <w:p w14:paraId="2297ED0A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13.</w:t>
      </w:r>
      <w:r w:rsidRPr="00121A2C">
        <w:rPr>
          <w:snapToGrid w:val="0"/>
          <w:lang w:eastAsia="en-US"/>
        </w:rPr>
        <w:tab/>
        <w:t xml:space="preserve">naglašava važnost sveobuhvatnih mehanizama odgovornosti i pravosuđa; pozdravlja to što je Ukrajina ratificirala Rimski statut Međunarodnog kaznenog suda i odgovarajuće izmjene Kaznenog zakona; pozdravlja zajedničku izjavu ministara vanjskih poslova temeljne skupine (Izjava iz </w:t>
      </w:r>
      <w:proofErr w:type="spellStart"/>
      <w:r w:rsidRPr="00121A2C">
        <w:rPr>
          <w:snapToGrid w:val="0"/>
          <w:lang w:eastAsia="en-US"/>
        </w:rPr>
        <w:t>Lviva</w:t>
      </w:r>
      <w:proofErr w:type="spellEnd"/>
      <w:r w:rsidRPr="00121A2C">
        <w:rPr>
          <w:snapToGrid w:val="0"/>
          <w:lang w:eastAsia="en-US"/>
        </w:rPr>
        <w:t>) od 9. svibnja 2025. o osnivanju Posebnog suda za zločin agresije protiv Ukrajine; ističe da je kazneni progon zločina agresije ključan za poštovanje međunarodnog poretka utemeljenog na pravilima i sprečavanje nekažnjavanja; poziva institucije EU-a i države članice da nastave podupirati osnivanje i funkcioniranje Posebnog suda u okviru Vijeća Europe; potiče sve strane da zajamče da ukrajinske organizacije civilnog društva i žrtve rata mogu imati značajnu ulogu u radu tog suda; uvjeren je da je pravedan i trajan mir moguć samo ako se ukrajinska djeca i drugi civili koji su prisilno deportirani ili pritvoreni te ratni zarobljenici puste na slobodu i ponovno ujedine sa svojim obiteljima te ako se odgovorne osobe privedu pravdi;</w:t>
      </w:r>
    </w:p>
    <w:p w14:paraId="396D5C72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zCs w:val="24"/>
        </w:rPr>
      </w:pPr>
      <w:r w:rsidRPr="00121A2C">
        <w:rPr>
          <w:bCs/>
          <w:iCs/>
          <w:szCs w:val="24"/>
        </w:rPr>
        <w:t>14.</w:t>
      </w:r>
      <w:r w:rsidRPr="00121A2C">
        <w:rPr>
          <w:bCs/>
          <w:iCs/>
          <w:szCs w:val="24"/>
        </w:rPr>
        <w:tab/>
        <w:t xml:space="preserve">pozdravlja presudu Europskog suda za ljudska prava od 9. srpnja 2025. u predmetu </w:t>
      </w:r>
      <w:r w:rsidRPr="00121A2C">
        <w:rPr>
          <w:bCs/>
          <w:i/>
          <w:szCs w:val="24"/>
        </w:rPr>
        <w:t>Ukrajina i Nizozemska protiv Rusije</w:t>
      </w:r>
      <w:r w:rsidRPr="00121A2C">
        <w:rPr>
          <w:bCs/>
          <w:iCs/>
          <w:szCs w:val="24"/>
        </w:rPr>
        <w:t xml:space="preserve"> kojom se Rusija smatra odgovornom za raširena i očita kršenja ljudskih prava u Ukrajini, uključujući obaranje leta MH17, mučenje, silovanje kao ratno oružje, izvansudska pogubljenja, nezakonita i proizvoljna pritvaranja i organizirana odvođenja djece u Rusiju gdje su posvajana;</w:t>
      </w:r>
    </w:p>
    <w:p w14:paraId="338043A7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15.</w:t>
      </w:r>
      <w:r w:rsidRPr="00121A2C">
        <w:tab/>
        <w:t xml:space="preserve">naglašava da su sankcije, uz sprečavanje i suzbijanje zaobilaženja sankcija, i dalje ključni instrumenti za potkopavanje sposobnosti Rusije da nastavi s ratnom agresijom i neutraliziranje prijetnje europskoj sigurnosti; poziva na proširenje sankcija usmjerenih na rusko gospodarstvo, među ostalim u metalurškom, nuklearnom, kemijskom, energetskom i financijskom sektoru; pozdravlja donošenje 18. paketa sankcija protiv Ruske Federacije i poziva EU i njegove države članice da donesu dodatne pakete sankcija, posebno usmjerene na borbu protiv zaobilaženja postojećih mjera; naglašava da su stroga provedba i izvršenje sankcija ključni kako bi se ruskom ratnom stroju uskratili resursi i ojačala otpornost Ukrajine; poziva Komisiju i države članice da rade </w:t>
      </w:r>
      <w:r w:rsidRPr="00121A2C">
        <w:lastRenderedPageBreak/>
        <w:t>na osiguravanju kontinuiranog sudjelovanja SAD-a u provedbi sankcija protiv Rusije kako bi se održao pritisak na rusko gospodarstvo i državni proračun; smatra da se sankcije moraju produljiti i nastaviti sve dok Rusija ne okonča svoj agresivni rat protiv Ukrajine i plati ratnu odštetu;</w:t>
      </w:r>
    </w:p>
    <w:p w14:paraId="5AB02705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16.</w:t>
      </w:r>
      <w:r w:rsidRPr="00121A2C">
        <w:tab/>
        <w:t>poziva na ubrzano postupno ukidanje ruskih ugljikovodičnih proizvoda u EU-u kako bi se konačno postigla potpuna zabrana; ponavlja da je okončanje energetske ovisnosti EU-a o ruskim ugljikovodicima ključno za energetsku sigurnost Europe; pozdravlja učinkovitu provedbu potpunog embarga EU-a na ruski ugljen, čime je okončana ovisnost EU-a o ruskom ugljenu; podsjeća na embargo EU-a na rusku naftu, ali žali zbog toga što su mađarska i slovačka vlada odlučile ostati ovisne o njoj i potiče ih da brzo okončaju to štetno oslanjanje uz, prema potrebi, posebne mjere potpore; poziva Vijeće da sankcionira sva plovila koja djeluju u ruskoj floti u sjeni i da stupi u kontakt s državama zastave kako bi se ta plovila uklonila s popisa iz njihovih registra brodova, zbog čega im osiguravajuća društva više ne bi mogla pružiti pokriće osiguranjem; potiče na povećanje napora kako bi se spriječilo zaobilaženje postojećih sankcija protiv ruske nafte; potiče koaliciju EU-a i skupine G7 da smanje gornju granicu cijena nafte kako bi se dodatno smanjio ruski financijski kapacitet za vođenje rata; pozdravlja plan Re-Power EU koji je nedavno najavila Komisija; međutim, potiče Komisiju da, kad god je to moguće, postavi ranije rokove i da po potrebi poduzme privremene mjere kao što su snižavanje gornje granice cijena nafte i uvođenje gornje granice cijena ukapljenog prirodnog plina i uvozne kvote; snažno odbacuje pozive na nastavak projekata kao što su Sjeverni tok 1 i 2; duboko žali zbog toga što više od tri godine nakon početka potpune invazije Vijeće nije donijelo odluku o potpunom embargu na ruski plin; poziva na brzo donošenje takve mjere;</w:t>
      </w:r>
    </w:p>
    <w:p w14:paraId="32D5E45A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17.</w:t>
      </w:r>
      <w:r w:rsidRPr="00121A2C">
        <w:tab/>
        <w:t xml:space="preserve">žali zbog ometajućeg ponašanja vlada unutar EU-a koje su prijetile vetom ili potkopavanjem restriktivnih mjera protiv Rusije; podržava namjeru kriminalizacije kršenja i zaobilaženja sankcija u Ukrajini, kako je predloženo u hitnom nacrtu zakona br. 12406; naglašava da je provedba takvog zakonodavstva ključna za uklanjanje rupa u zakonu kojima se omogućuje povlačenje sankcionirane imovine tijekom faze blokiranja i za privođenje pravdi pokretača ruske ratne agresije; potiče Ukrajinu da donese taj nacrt zakona u skladu s relevantnim najboljim praksama EU-a; </w:t>
      </w:r>
    </w:p>
    <w:p w14:paraId="52A61BFF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18.</w:t>
      </w:r>
      <w:r w:rsidRPr="00121A2C">
        <w:rPr>
          <w:snapToGrid w:val="0"/>
          <w:lang w:eastAsia="en-US"/>
        </w:rPr>
        <w:tab/>
        <w:t>potiče Komisiju i države članice da zaplijene imobiliziranu rusku imovinu i stave je na raspolaganje za obranu, obnovu i odštetu za žrtve u Ukrajini, u skladu s međunarodnim pravom i načelom odgovornosti države; naglašava da je iznimno važno osigurati zamrzavanje ruske državne imovine unutar EU-a kako bi se to postiglo;</w:t>
      </w:r>
    </w:p>
    <w:p w14:paraId="498CF488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19.</w:t>
      </w:r>
      <w:r w:rsidRPr="00121A2C">
        <w:tab/>
        <w:t>poziva na snažno vodstvo Vijeća i Komisije kako bi se pronašlo održivo rješenje u pogledu mehanizma EU-a za privremenu zaštitu za više od 4 milijuna Ukrajinaca, koji je produljen do ožujka 2026.; naglašava da je potrebno osigurati jednako postupanje i spriječiti fragmentaciju diljem EU-a; ističe važnost poštovanja prava Ukrajinaca koji se ne mogu vratiti i žele ostati u EU-u, uz istodobno pružanje potpore onima koji se odluče vratiti i ponovno izgraditi svoje živote u Ukrajini;</w:t>
      </w:r>
    </w:p>
    <w:p w14:paraId="3F8DD8A7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20.</w:t>
      </w:r>
      <w:r w:rsidRPr="00121A2C">
        <w:rPr>
          <w:snapToGrid w:val="0"/>
          <w:lang w:eastAsia="en-US"/>
        </w:rPr>
        <w:tab/>
        <w:t xml:space="preserve">potiče Ukrajinu i države članice da blisko surađuju u cilju maksimalnog povećanja potencijalnog gospodarskog sudjelovanja ukrajinskog izbjegličkog stanovništva i stanovništva dijaspore kako bi se osigurala otpornost i </w:t>
      </w:r>
      <w:proofErr w:type="spellStart"/>
      <w:r w:rsidRPr="00121A2C">
        <w:rPr>
          <w:snapToGrid w:val="0"/>
          <w:lang w:eastAsia="en-US"/>
        </w:rPr>
        <w:t>uključivost</w:t>
      </w:r>
      <w:proofErr w:type="spellEnd"/>
      <w:r w:rsidRPr="00121A2C">
        <w:rPr>
          <w:snapToGrid w:val="0"/>
          <w:lang w:eastAsia="en-US"/>
        </w:rPr>
        <w:t xml:space="preserve"> aktualnog i budućeg gospodarskog oporavka i obnove Ukrajine;</w:t>
      </w:r>
    </w:p>
    <w:p w14:paraId="3FBD50F1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lastRenderedPageBreak/>
        <w:t>21.</w:t>
      </w:r>
      <w:r w:rsidRPr="00121A2C">
        <w:rPr>
          <w:bCs/>
          <w:iCs/>
          <w:szCs w:val="24"/>
          <w:lang w:eastAsia="en-US"/>
        </w:rPr>
        <w:tab/>
        <w:t>poziva političke snage u Ukrajini da ostanu ujedinjene i da se i dalje vode snažnim političkim jedinstvom i kohezijom jer je to već ojačalo otpornost Ukrajine s obzirom na trenutačnu egzistencijalnu prijetnju slobodi i neovisnosti te zemlje; poziva sve političke aktere u Ukrajini, posebno one koji su trenutačno na vlasti, da iskoriste svoje ratne ovlasti kako bi potaknuli političko jedinstvo te dosljedno i uključivo oblikovanje politika;</w:t>
      </w:r>
    </w:p>
    <w:p w14:paraId="5CD6F1F5" w14:textId="77777777" w:rsidR="00121A2C" w:rsidRPr="00121A2C" w:rsidRDefault="00121A2C" w:rsidP="00121A2C">
      <w:pPr>
        <w:spacing w:before="360" w:after="240"/>
        <w:rPr>
          <w:snapToGrid w:val="0"/>
          <w:lang w:eastAsia="en-US"/>
        </w:rPr>
      </w:pPr>
      <w:r w:rsidRPr="00121A2C">
        <w:rPr>
          <w:b/>
          <w:i/>
          <w:snapToGrid w:val="0"/>
          <w:lang w:eastAsia="en-US"/>
        </w:rPr>
        <w:t>Predanost pristupanju EU-u</w:t>
      </w:r>
    </w:p>
    <w:p w14:paraId="3D0D3DFD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22.</w:t>
      </w:r>
      <w:r w:rsidRPr="00121A2C">
        <w:rPr>
          <w:snapToGrid w:val="0"/>
          <w:lang w:eastAsia="en-US"/>
        </w:rPr>
        <w:tab/>
        <w:t>snažno pozdravlja nepokolebljivu predanost Ukrajine ispunjavanju zahtjeva članstva u EU-u, uključujući usklađenost s pravnom stečevinom EU-a, unatoč brutalnoj i nemilosrdnoj ruskoj ratnoj agresiji i njezinoj nedavno obnovljenoj eskalaciji; potiče Ukrajinu da nastavi predano raditi i provoditi reforme; ističe snažan zamah u provedbi reformi u Ukrajini i pozdravlja sve veću stopu usklađenosti Ukrajine sa zajedničkom vanjskom i sigurnosnom politikom EU-a, koja je 2024. iznosila 95 %; napominje da više od 70 % Ukrajinaca podupire reformama u okviru procesa pristupanja EU-u, što naglašava važnost kontinuiranog utjecaja EU-a, strukturirane uvjetovanosti i javne komunikacije tijekom tog razdoblja;</w:t>
      </w:r>
    </w:p>
    <w:p w14:paraId="400FE1A9" w14:textId="77777777" w:rsidR="00121A2C" w:rsidRPr="00121A2C" w:rsidRDefault="00121A2C" w:rsidP="00121A2C">
      <w:pPr>
        <w:spacing w:before="360" w:after="240"/>
        <w:rPr>
          <w:b/>
          <w:i/>
          <w:snapToGrid w:val="0"/>
          <w:lang w:eastAsia="en-US"/>
        </w:rPr>
      </w:pPr>
      <w:r w:rsidRPr="00121A2C">
        <w:rPr>
          <w:b/>
          <w:i/>
          <w:snapToGrid w:val="0"/>
          <w:lang w:eastAsia="en-US"/>
        </w:rPr>
        <w:t>Demokracija, vladavina prava i borba protiv korupcije</w:t>
      </w:r>
    </w:p>
    <w:p w14:paraId="3C50E690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23.</w:t>
      </w:r>
      <w:r w:rsidRPr="00121A2C">
        <w:rPr>
          <w:snapToGrid w:val="0"/>
          <w:lang w:eastAsia="en-US"/>
        </w:rPr>
        <w:tab/>
        <w:t>pohvaljuje izvanredne napore koje Ukrajina ulaže u jačanje demokratskih institucija tijekom rata; potiče Ukrajinu i njezinu vladu da nastave s reformama; podsjeća da se, u skladu s općepriznatim demokratskim načelima i ukrajinskim Ustavom, izbori ne mogu održati tijekom rata i izvanrednog stanja; ističe da je za demokratske izbore potrebno dovoljno vremena za pripremu i pristup informacijama kako bi se ispunili međunarodni standardi; poziva ukrajinske vlasti da se suzdrže od nepravodobnih i politički motiviranih sudskih postupaka i sankcija protiv oporbenih predstavnika te da poštuju parlamentarni pluralizam i potiču konstruktivan dijalog među političkim frakcijama u Vrhovnoj Radi;</w:t>
      </w:r>
    </w:p>
    <w:p w14:paraId="06A9F7CF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24.</w:t>
      </w:r>
      <w:r w:rsidRPr="00121A2C">
        <w:rPr>
          <w:snapToGrid w:val="0"/>
          <w:lang w:eastAsia="en-US"/>
        </w:rPr>
        <w:tab/>
        <w:t>ponavlja preporuku da se u kontekstu pristupanja EU-u ukinu sva ograničenja u vezi s mandatom i političkim putovanjima u inozemstvo za članove Vrhovne Rade; naglašava važnost poštovanja i jačanja institucijske uloge Vrhovne Rade te podržava tekuće napore u pogledu reformi za jačanje njezinih zakonodavnih kapaciteta, nadzora izvršne vlasti i odgovornosti prema javnosti;</w:t>
      </w:r>
    </w:p>
    <w:p w14:paraId="41947D57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25.</w:t>
      </w:r>
      <w:r w:rsidRPr="00121A2C">
        <w:rPr>
          <w:snapToGrid w:val="0"/>
          <w:lang w:eastAsia="en-US"/>
        </w:rPr>
        <w:tab/>
        <w:t xml:space="preserve">pozdravlja donošenje Zakona o izradi zakonodavstva, koji je Komisija ocijenila temeljnim korakom prema </w:t>
      </w:r>
      <w:proofErr w:type="spellStart"/>
      <w:r w:rsidRPr="00121A2C">
        <w:rPr>
          <w:snapToGrid w:val="0"/>
          <w:lang w:eastAsia="en-US"/>
        </w:rPr>
        <w:t>strukturiranijem</w:t>
      </w:r>
      <w:proofErr w:type="spellEnd"/>
      <w:r w:rsidRPr="00121A2C">
        <w:rPr>
          <w:snapToGrid w:val="0"/>
          <w:lang w:eastAsia="en-US"/>
        </w:rPr>
        <w:t xml:space="preserve"> i učinkovitijem zakonodavnom postupku u Ukrajini nakon mogućeg ukidanja izvanrednog stanja i napora ukrajinskog Središnjeg izbornog povjerenstva u ažuriranju nacionalnog registra birača; </w:t>
      </w:r>
    </w:p>
    <w:p w14:paraId="789954D5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26.</w:t>
      </w:r>
      <w:r w:rsidRPr="00121A2C">
        <w:tab/>
        <w:t xml:space="preserve">pozdravlja činjenicu da je Ukrajina u suradnji s Komisijom razvila tri plana reformi u koje su ugrađeni napori za borbu protiv korupcije i koji obuhvaćaju vladavinu prava, reformu javne uprave i funkcioniranje demokratskih institucija; napominje da će ti planovi, nakon što ih Komisija odobri, poslužiti kao ključna referentna vrijednost za praćenje napretka Ukrajine u reformama; pozdravlja uključivanje djelovanja za borbu protiv korupcije kao sastavnog elementa svih triju planova; naglašava važnost uključivanja reformi u šire društvene i političke transformacije kako bi se osigurala njihova dugoročna trajnost, učinkovita provedba i neovisno funkcioniranje javnih institucija; naglašava važnost njegovanja konstruktivne političke kulture i poticanja </w:t>
      </w:r>
      <w:r w:rsidRPr="00121A2C">
        <w:lastRenderedPageBreak/>
        <w:t xml:space="preserve">suradnje među političkim strankama u Ukrajini koja se temelji na povjerenju; pozitivno ocjenjuje aktivno sudjelovanje ukrajinskih parlamentarnih zastupnika u dijalogu „Jean </w:t>
      </w:r>
      <w:proofErr w:type="spellStart"/>
      <w:r w:rsidRPr="00121A2C">
        <w:t>Monnet</w:t>
      </w:r>
      <w:proofErr w:type="spellEnd"/>
      <w:r w:rsidRPr="00121A2C">
        <w:t>” i potiče primjenu najboljih europskih praksi za promicanje međustranačke suradnje u suočavanju sa zajedničkim izazovima na putu prema članstvu u EU-u;</w:t>
      </w:r>
    </w:p>
    <w:p w14:paraId="2D58749A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27.</w:t>
      </w:r>
      <w:r w:rsidRPr="00121A2C">
        <w:rPr>
          <w:snapToGrid w:val="0"/>
          <w:lang w:eastAsia="en-US"/>
        </w:rPr>
        <w:tab/>
        <w:t>pozdravlja napredak u reformi pravosuđa tijekom izvještajnog razdoblja i potiče Ukrajinu da dodatno poveća transparentnost u svojim zakonodavnim postupcima i da dodijeli povećane financijske, ljudske i tehničke resurse za rješavanje izazova koji ometaju razvoj pravosuđa, povećanje neovisnosti pravosuđa i jačanje borbe protiv korupcije, čime bi se osigurala usklađenost sa standardima EU-a i istodobno izbjegle površne mjere koje bi mogle ometati pristupanje EU-u;</w:t>
      </w:r>
    </w:p>
    <w:p w14:paraId="357E1049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 xml:space="preserve">28. </w:t>
      </w:r>
      <w:r w:rsidRPr="00121A2C">
        <w:tab/>
        <w:t>napominje da je, unatoč poboljšanom zakonodavnom okviru, pravosuđe i dalje jedan od sektora izloženijih korupciji i političkom uplitanju, o čemu svjedoče opetovani slučajevi korupcije velikih razmjera i neprimjerenog utjecaja u radu sudova i pravosudnih institucija, uključujući Vrhovni sud Ukrajine i Visoko povjerenstvo za kvalifikacije sudaca; sa zabrinutošću prima na znanje kontinuiranu paralizu Vrhovnog suda i poziva na brzo imenovanje preostalih sudaca i popunjavanje slobodnih radnih mjesta u Visokom pravosudnom vijeću; nadalje, poziva Vrhovnu Radu da donese zakon o Ustavnom sudu u skladu s mišljenjima Venecijanske komisije te, osim toga, poziva Ukrajinu da donese akcijski plan i provede unutarnje reforme kako bi se spriječilo neopravdano uplitanje u pravosuđe i ojačala pravosudna etika; naglašava posebnu važnost zaštite institucionalne neovisnosti Visokog povjerenstva za kvalifikacije sudaca, i u svjetlu obveza preuzetih u okviru međunarodnih sporazuma, među ostalim i s Međunarodnim monetarnim fondom; naglašava potrebu za jačanjem borbe protiv korupcije i interesnih skupina u pravosuđu, što je neophodno za izgradnju povjerenja javnosti i postizanje napretka u postupku pristupanja Ukrajine; ističe važnost transparentnih postupaka odabira koji se temelje na zaslugama za pravosudna upravljačka tijela i upravljačke položaje, uključujući sudjelovanje neovisnih nacionalnih i međunarodnih stručnjaka; naglašava potrebu za depolitiziranim imenovanjima sudaca, zaštitnim mjerama za funkcionalni integritet, transparentnošću, integritetom, odgovornošću i pojačanim međunarodnim praćenjem kako bi se spriječila selektivna pravda i potaknulo povjerenje javnosti u pravosuđe;</w:t>
      </w:r>
    </w:p>
    <w:p w14:paraId="4043A047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 xml:space="preserve">29. </w:t>
      </w:r>
      <w:r w:rsidRPr="00121A2C">
        <w:tab/>
        <w:t>sa zabrinutošću primjećuje kritičan manjak sudaca, prekomjerno opterećenje predmetima na većini sudova, znatne nedostatke u financiranju i nejednaku raspodjelu pravosudnog rada, što ugrožava kvalitetu i pravodobnost postupaka i otežava pristup građana pravosuđu; naglašava potrebu za rješavanjem tih pitanja, među ostalim upotrebom mehanizama mirenja i filtriranja postupaka kako bi se smanjio pritisak na pravosuđe; napominje da je organizacija Transparency International u svojem indeksu percepcije korupcije za 2024. stavila Ukrajinu na 105. mjesto od 180 zemalja, s 35 od 100 bodova, što naglašava razmjere aktualnih izazova u upravljanju borbom protiv korupcije; naglašava da su poboljšanje pravosudnog obrazovanja i dovršetak digitalizacije ukrajinskih sudova ključni za širu reformu pravosuđa u Ukrajini;</w:t>
      </w:r>
    </w:p>
    <w:p w14:paraId="7D68A2E0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30.</w:t>
      </w:r>
      <w:r w:rsidRPr="00121A2C">
        <w:rPr>
          <w:snapToGrid w:val="0"/>
          <w:lang w:eastAsia="en-US"/>
        </w:rPr>
        <w:tab/>
        <w:t xml:space="preserve">pozdravlja imenovanje novog voditelja Nacionalne agencije za sprečavanje korupcije (NACP) i početak neovisnih revizija kako bi se ocijenila učinkovitost Nacionalnog ureda za borbu protiv korupcije Ukrajine (NABU) u borbi protiv korupcije; pozdravlja stupanje na snagu izmijenjenog Kaznenog zakona i Zakona o kaznenom postupku, za koje se očekuje da će povećati učinkovitost provedbe borbe protiv korupcije, posebno poboljšanjem okvira za postizanje nagodbi; prepoznaje povećanje godišnjih presuda Visokog antikorupcijskog suda (HACC) i porast optužnica koje su podnijeli NABU i </w:t>
      </w:r>
      <w:r w:rsidRPr="00121A2C">
        <w:rPr>
          <w:snapToGrid w:val="0"/>
          <w:lang w:eastAsia="en-US"/>
        </w:rPr>
        <w:lastRenderedPageBreak/>
        <w:t>Specijalizirani ured tužitelja za borbu protiv korupcije (SAPO), što odražava stalan napredak u aktivnostima tužiteljstva; pozdravlja ponovnu uspostavu izjava o imovinskim karticama i javnog pristupa, jačanje propisa o sukobu interesa i poboljšanje neovisnosti Specijaliziranog državnog odvjetništva za borbu protiv korupcije; pohvaljuje donošenje akcijskog plana za provedbu strategije povrata imovine za razdoblje 2024. – 2025. i povezanih mjera; poziva na hitnu reformu Agencije za povrat i upravljanje imovinom i podržava brzo donošenje nacrta zakona br. 12374-d kako bi se poboljšalo njezino funkcioniranje; pozdravlja povećanje broja osoblja u specijaliziranom uredu tužitelja za zaštitu okoliša pri Uredu glavnog državnog odvjetnika i poziva na daljnji razvoj antikorupcijskih politika u upravljanju prirodnim resursima;</w:t>
      </w:r>
    </w:p>
    <w:p w14:paraId="323D5879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31.</w:t>
      </w:r>
      <w:r w:rsidRPr="00121A2C">
        <w:tab/>
        <w:t>prima na znanje stalan manjak sudaca Visokog antikorupcijskog suda i naglašava hitnost pokretanja novog transparentnog natječaja za popunjavanje slobodnih radnih mjesta, čime bi se osiguralo da taj sud ima dovoljno osoblja i prostora za učinkovito funkcioniranje; ističe da je potrebno bez odgode popuniti slobodno radno mjesto glavnog državnog odvjetnika i naglašava važnost jačanja institucionalne neovisnosti Ureda, uz istodobno osiguravanje odgovarajućih provjera njegovih ovlasti;</w:t>
      </w:r>
    </w:p>
    <w:p w14:paraId="7677DF6A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zCs w:val="24"/>
          <w:lang w:eastAsia="en-US"/>
        </w:rPr>
      </w:pPr>
      <w:r w:rsidRPr="00121A2C">
        <w:rPr>
          <w:snapToGrid w:val="0"/>
          <w:lang w:eastAsia="en-US"/>
        </w:rPr>
        <w:t>32.</w:t>
      </w:r>
      <w:r w:rsidRPr="00121A2C">
        <w:rPr>
          <w:snapToGrid w:val="0"/>
          <w:lang w:eastAsia="en-US"/>
        </w:rPr>
        <w:tab/>
        <w:t xml:space="preserve">potiče Ukrajinu da zaštiti neovisnost i učinkovitost institucija za borbu protiv korupcije, uključujući SAPO i NABU, osiguravanjem transparentnih postupaka imenovanja, zaštitom tih tijela od političkog uplitanja i jačanjem njihove institucionalne autonomije; naglašava važnost davanja veće neovisnosti SAPO-u od Ureda glavnog tužitelja i opremanja NABU-a sredstvima za pravodoban pristup forenzičkom stručnom znanju i autonomnim kapacitetima za prisluškivanje radi provedbe učinkovitih istraga; pohvaljuje Ukrajinu zbog povećanja broja osoblja SAPO-a i naglašava potrebu da se taj rast uskladi s odgovarajućim financijskim i tehničkim resursima kako bi se osigurao operativni kapacitet; </w:t>
      </w:r>
      <w:r w:rsidRPr="00121A2C">
        <w:rPr>
          <w:bCs/>
          <w:iCs/>
          <w:szCs w:val="24"/>
          <w:lang w:eastAsia="en-US"/>
        </w:rPr>
        <w:t>potiče Ukrajinu da razmotri strukturnu reformu Državnog istražnog ureda kako bi se povećala njegova neovisnost i učinkovitost te spriječile zlouporabe u poslijeratnim političkim događajima u zemlji, posebno u izbornim kampanjama;</w:t>
      </w:r>
    </w:p>
    <w:p w14:paraId="6FC2CDF5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bCs/>
          <w:iCs/>
          <w:szCs w:val="24"/>
          <w:lang w:eastAsia="en-US"/>
        </w:rPr>
        <w:t>33.</w:t>
      </w:r>
      <w:r w:rsidRPr="00121A2C">
        <w:rPr>
          <w:bCs/>
          <w:iCs/>
          <w:szCs w:val="24"/>
          <w:lang w:eastAsia="en-US"/>
        </w:rPr>
        <w:tab/>
        <w:t>izražava zabrinutost zbog neuspjelog pokušaja ukrajinskih vlasti da potkopaju neovisnost institucija za borbu protiv korupcije; pozdravlja snažno protivljenje civilnog društva tim neprihvatljivim pokušajima, koje je prisililo vlasti da odustanu os svojih planova; smatra da je taj potez vlasti opasan pokušaj potkopavanja postignuća istinske borbe protiv korupcije; naglašava da bi taj korak, da je bio uspješan, samo koristio neprijateljima Ukrajine; naglašava da bi to trebalo poslužiti kao jasan podsjetnik svima u Ukrajini koji se, zbog uskogrudnih interesa, ne libe ugroziti budućnosti zemlje; ponavlja da borba protiv korupcije zahtijeva dugoročnu predanost i sveobuhvatne napore za uspostavu dobrog upravljanja s funkcionalnim sustavom provjere i ravnoteže; podržava stajalište Komisije da su te institucije ključne za ukrajinski program reformi i da moraju djelovati neovisno u borbi protiv korupcije i održavanju povjerenja javnosti;</w:t>
      </w:r>
    </w:p>
    <w:p w14:paraId="1F6411F0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34.</w:t>
      </w:r>
      <w:r w:rsidRPr="00121A2C">
        <w:rPr>
          <w:snapToGrid w:val="0"/>
          <w:lang w:eastAsia="en-US"/>
        </w:rPr>
        <w:tab/>
        <w:t xml:space="preserve">pozdravlja donošenje Zakona o lobiranju kao dijela programa za </w:t>
      </w:r>
      <w:proofErr w:type="spellStart"/>
      <w:r w:rsidRPr="00121A2C">
        <w:rPr>
          <w:snapToGrid w:val="0"/>
          <w:lang w:eastAsia="en-US"/>
        </w:rPr>
        <w:t>deoligarhizaciju</w:t>
      </w:r>
      <w:proofErr w:type="spellEnd"/>
      <w:r w:rsidRPr="00121A2C">
        <w:rPr>
          <w:snapToGrid w:val="0"/>
          <w:lang w:eastAsia="en-US"/>
        </w:rPr>
        <w:t xml:space="preserve">; naglašava potrebu za obnovljenom i sveobuhvatnom strategijom za borbu protiv oligarhijskog utjecaja, osiguravajući sudjelovanje nacionalnih dionika, međunarodnih stručnjaka i organizacija civilnog društva; potiče ukrajinske vlasti da nastave raditi na reformi upravljanja poduzećima u državnom vlasništvu u skladu sa smjernicama OECD-a kako bi se smanjio potencijal za pokroviteljstvo i spriječila korupcija, među ostalim objavljivanjem svih podataka o stvarnom vlasništvu poduzeća u državnom </w:t>
      </w:r>
      <w:r w:rsidRPr="00121A2C">
        <w:rPr>
          <w:snapToGrid w:val="0"/>
          <w:lang w:eastAsia="en-US"/>
        </w:rPr>
        <w:lastRenderedPageBreak/>
        <w:t>vlasništvu i osiguravanjem da sva velika poduzeća u državnom vlasništvu imaju neovisne, rodno uravnotežene odbore;</w:t>
      </w:r>
    </w:p>
    <w:p w14:paraId="5D10E73F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 xml:space="preserve">35. </w:t>
      </w:r>
      <w:r w:rsidRPr="00121A2C">
        <w:rPr>
          <w:snapToGrid w:val="0"/>
          <w:lang w:eastAsia="en-US"/>
        </w:rPr>
        <w:tab/>
        <w:t>naglašava važnost daljnje reforme financijske kontrole, uključujući poboljšanje praćenja uspješnosti Državne službe za reviziju i pravilnu provedbu reforme Računovodstvene komore kako bi se zaštitila nacionalna potrošnja;</w:t>
      </w:r>
    </w:p>
    <w:p w14:paraId="6C844B87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36.</w:t>
      </w:r>
      <w:r w:rsidRPr="00121A2C">
        <w:rPr>
          <w:snapToGrid w:val="0"/>
          <w:lang w:eastAsia="en-US"/>
        </w:rPr>
        <w:tab/>
        <w:t>prima na znanje nalaze dopune Drugom izvješću o sukladnosti koje je Skupina država protiv korupcije Vijeća Europe usvojila 22. studenoga 2024., u kojima stoji da je Ukrajina na zadovoljavajući način provela ili na zadovoljavajući način postupila s 18 preporuka od njih 31 iz tog izvješća; potiče Ukrajinu da u potpunosti provede preostale preporuke, posebno uvođenjem sustava za nasumičnu dodjelu predmeta tužiteljima, pojašnjavanjem definicija disciplinskih prekršaja i proširenjem raspona disciplinskih sankcija kako bi se osigurala proporcionalnost i učinkovitost, uzimajući u obzir posebne okolnosti Ukrajine;</w:t>
      </w:r>
    </w:p>
    <w:p w14:paraId="2A526C9C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37.</w:t>
      </w:r>
      <w:r w:rsidRPr="00121A2C">
        <w:rPr>
          <w:snapToGrid w:val="0"/>
          <w:lang w:eastAsia="en-US"/>
        </w:rPr>
        <w:tab/>
        <w:t>potiče Ukrajinu da prednost da jačanju vladavine prava, reformi pravosuđa i borbi protiv korupcije te poziva EU i države članice da pojačaju potporu tim naporima jer je napredak u tim područjima ključan ne samo za članstvo u EU-u, već i za uspješnu obnovu i gospodarsko povjerenje; preporučuje donošenje snažnog zakona o zaštiti zviždača u skladu s pravnom stečevinom EU-a; napominje da trenutačni okvir politike Ukrajine za borbu protiv korupcije istječe 2025. i ističe potrebu za obnovljenim državnim programom za borbu protiv korupcije koji odražava doprinos civilnog društva i postavlja ambiciozne ciljeve, mjerljive kriterije i jasne rokove;</w:t>
      </w:r>
    </w:p>
    <w:p w14:paraId="371D6C2C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38.</w:t>
      </w:r>
      <w:r w:rsidRPr="00121A2C">
        <w:rPr>
          <w:snapToGrid w:val="0"/>
          <w:lang w:eastAsia="en-US"/>
        </w:rPr>
        <w:tab/>
        <w:t>poziva Komisiju da Ukrajinu uključi u paket instrumenata EU-a za vladavinu prava kako bi se ojačala provedba demokratskih reformi prije pristupanja; potiče jačanje kapaciteta tijela kaznenog progona za financijske istrage razvojem metodoloških smjernica i pojašnjavanjem odgovornosti, uključujući bolje odgovore na kaznene programe kao što je upotreba nesvjesnih posrednika u pranju novcem (engl. „</w:t>
      </w:r>
      <w:proofErr w:type="spellStart"/>
      <w:r w:rsidRPr="00121A2C">
        <w:rPr>
          <w:snapToGrid w:val="0"/>
          <w:lang w:eastAsia="en-US"/>
        </w:rPr>
        <w:t>money</w:t>
      </w:r>
      <w:proofErr w:type="spellEnd"/>
      <w:r w:rsidRPr="00121A2C">
        <w:rPr>
          <w:snapToGrid w:val="0"/>
          <w:lang w:eastAsia="en-US"/>
        </w:rPr>
        <w:t xml:space="preserve"> </w:t>
      </w:r>
      <w:proofErr w:type="spellStart"/>
      <w:r w:rsidRPr="00121A2C">
        <w:rPr>
          <w:snapToGrid w:val="0"/>
          <w:lang w:eastAsia="en-US"/>
        </w:rPr>
        <w:t>mules</w:t>
      </w:r>
      <w:proofErr w:type="spellEnd"/>
      <w:r w:rsidRPr="00121A2C">
        <w:rPr>
          <w:snapToGrid w:val="0"/>
          <w:lang w:eastAsia="en-US"/>
        </w:rPr>
        <w:t>”);</w:t>
      </w:r>
    </w:p>
    <w:p w14:paraId="7ECBA31B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39.</w:t>
      </w:r>
      <w:r w:rsidRPr="00121A2C">
        <w:tab/>
        <w:t>napominje da ruska ratna agresija stvara golem pritisak na ukrajinski pravosudni sustav, među ostalim zbog velikog broja slučajeva „kolaboracije”; u tom pogledu poziva na pažljivu primjenu zakonodavstva o „kolaboraciji”, zaštitu temeljnih prava i pravednost pravosuđa te potiče jedinstven tužiteljski pristup koji se temelji na pravnoj jasnoći i faktografskoj rigoroznosti, što je ključno za reintegraciju oslobođenih područja; u tom pogledu potiče ukrajinske vlasti da daju prednost kaznenom progonu na temelju njihove težine i važnosti za državnu sigurnost, u skladu s Četvrtom ženevskom konvencijom; poziva na veću transparentnost i javni pristup podacima o takvim kaznenim progonima;</w:t>
      </w:r>
    </w:p>
    <w:p w14:paraId="653D3BD1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40.</w:t>
      </w:r>
      <w:r w:rsidRPr="00121A2C">
        <w:tab/>
        <w:t xml:space="preserve">potiče Ukrajinu da regulira virtualnu imovinu donošenjem sveobuhvatnog zakonodavstva, imenovanjem nadzornog tijela, provođenjem procjena rizika i podupiranjem otkrivanja financijskih kaznenih djela koja uključuju virtualnu imovinu; u tom pogledu pozdravlja činjenicu da je Vrhovna Rada nedavno donijela nacrt zakona br. 11290 i poziva na donošenje nacrta zakona br. 12207 kojim se, među ostalim, uvode europski programi </w:t>
      </w:r>
      <w:proofErr w:type="spellStart"/>
      <w:r w:rsidRPr="00121A2C">
        <w:t>kibersigurnosne</w:t>
      </w:r>
      <w:proofErr w:type="spellEnd"/>
      <w:r w:rsidRPr="00121A2C">
        <w:t xml:space="preserve"> certifikacije i nastoji uskladiti ukrajinsko zakonodavstvo sa standardima EU-a; </w:t>
      </w:r>
    </w:p>
    <w:p w14:paraId="792CA840" w14:textId="77777777" w:rsidR="00121A2C" w:rsidRPr="00121A2C" w:rsidRDefault="00121A2C" w:rsidP="00121A2C">
      <w:pPr>
        <w:spacing w:before="360" w:after="240"/>
        <w:rPr>
          <w:snapToGrid w:val="0"/>
          <w:lang w:eastAsia="en-US"/>
        </w:rPr>
      </w:pPr>
      <w:r w:rsidRPr="00121A2C">
        <w:rPr>
          <w:b/>
          <w:i/>
          <w:snapToGrid w:val="0"/>
          <w:lang w:eastAsia="en-US"/>
        </w:rPr>
        <w:t>Temeljne slobode i ljudska prava</w:t>
      </w:r>
    </w:p>
    <w:p w14:paraId="413F8B99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lastRenderedPageBreak/>
        <w:t>41.</w:t>
      </w:r>
      <w:r w:rsidRPr="00121A2C">
        <w:rPr>
          <w:snapToGrid w:val="0"/>
          <w:lang w:eastAsia="en-US"/>
        </w:rPr>
        <w:tab/>
        <w:t>pohvaljuje predanost Ukrajine poštovanju temeljnih prava u tom kontekstu unatoč aktualnoj ratnoj agresiji Rusije; ističe ključnu ulogu civilnog društva u procesima reforme i pristupanja EU-u; naglašava potrebu za održavanjem sigurnog, poticajnog i participativnog okruženja za organizacije civilnog društva, uključujući borce za ljudska prava i aktiviste; poziva na hitno ažuriranje nacionalne strategije za ljudska prava i na sveobuhvatan plan provedbe; potiče smislen civilni dijalog u svim područjima javnog i političkog života te potiče kontinuirano političko jedinstvo oko europskog puta Ukrajine; potiče usklađivanje zakonodavstva kojim se definira mandat ukrajinskog pučkog pravobranitelja s pravnom stečevinom EU-a;</w:t>
      </w:r>
    </w:p>
    <w:p w14:paraId="3DDB393C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42.</w:t>
      </w:r>
      <w:r w:rsidRPr="00121A2C">
        <w:rPr>
          <w:snapToGrid w:val="0"/>
          <w:lang w:eastAsia="en-US"/>
        </w:rPr>
        <w:tab/>
        <w:t>prepoznaje izazove u održavanju pluralističkih medija u ratnim uvjetima, uključujući kolaps tržišta, sigurnosna ograničenja i nedostatak ljudskih resursa;</w:t>
      </w:r>
      <w:r w:rsidRPr="00121A2C">
        <w:rPr>
          <w:szCs w:val="24"/>
          <w:lang w:eastAsia="en-US"/>
        </w:rPr>
        <w:t xml:space="preserve"> </w:t>
      </w:r>
      <w:r w:rsidRPr="00121A2C">
        <w:rPr>
          <w:bCs/>
          <w:iCs/>
          <w:szCs w:val="24"/>
          <w:lang w:eastAsia="en-US"/>
        </w:rPr>
        <w:t>smatra da su dinamičan informacijski prostor Ukrajine i sloboda medija jedna od ključnih prednosti te zemlje u odupiranju ruskoj invaziji i njezinoj propagandi; poziva na ponovnu uspostavu punog emitiranja diljem zemlje za pružatelje medijskih usluga u skladu s temeljnim političkim načelima, odlučno odbijajući daljnje nazadovanje u političku cenzuru, uz primjenu ograničenja u vrijeme rata zato što su potrebna;</w:t>
      </w:r>
    </w:p>
    <w:p w14:paraId="1E2F85AC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43.</w:t>
      </w:r>
      <w:r w:rsidRPr="00121A2C">
        <w:rPr>
          <w:snapToGrid w:val="0"/>
          <w:lang w:eastAsia="en-US"/>
        </w:rPr>
        <w:tab/>
        <w:t>pohvaljuje hrabrost rada ukrajinskih boraca za ljudska prava i novinara koji dokumentiraju kršenja ljudskih prava u privremeno okupiranim regijama; prepoznaje strateški položaj Ukrajine na braniku informacijskog rata i pozdravlja njezin angažman u europskim inicijativama kao što su štit demokracije i zajedničke sigurnosne obveze za suzbijanje inozemne manipulacije informacijama i upletanja (FIMI); potvrđuje da je Ukrajina ključni partner EU-a u borbi protiv inozemnog upletanja i manipuliranja informacijama te potiče EU i njegove države članice da pojačaju borbu protiv ruskih dezinformacija i hibridnih prijetnji; poziva na promicanje digitalne pismenosti, provedbu Akta o digitalnim uslugama na platformama društvenih medija i jačanje vlastite strateške komunikacije EU-a kako bi se suzbilo rusko uplitanje i jasno obznanila značajna potpora EU-a Ukrajini;</w:t>
      </w:r>
    </w:p>
    <w:p w14:paraId="2027C6EB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44.</w:t>
      </w:r>
      <w:r w:rsidRPr="00121A2C">
        <w:rPr>
          <w:snapToGrid w:val="0"/>
          <w:lang w:eastAsia="en-US"/>
        </w:rPr>
        <w:tab/>
        <w:t>pozdravlja zakonodavne inicijative za promicanje ravnopravnosti LGBTQI+ osoba i drugih marginaliziranih skupina, posebno nacrte zakona 5488 (zločini iz mržnje), 12252 (civilna partnerstva) i 9103 (registrirana partnerstva); poziva na brzo donošenje tih zakona kako bi se osigurala usklađenost sa standardima Europskog suda za ljudska prava; poziva na donošenje novog zakona o suzbijanju diskriminacije koji obuhvaća seksualnu orijentaciju, rodni identitet i invaliditet te na daljnje jačanje ukrajinskog pravnog okvira za borbu protiv diskriminacije;</w:t>
      </w:r>
    </w:p>
    <w:p w14:paraId="3106D806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45.</w:t>
      </w:r>
      <w:r w:rsidRPr="00121A2C">
        <w:rPr>
          <w:snapToGrid w:val="0"/>
          <w:lang w:eastAsia="en-US"/>
        </w:rPr>
        <w:tab/>
        <w:t>pozdravlja izmjene Zakona o nacionalnim manjinama iz srpnja 2024. kojima se uvode dvojezični načini obrazovanja i potiče brzu provedbu tih reformi odgovarajućim financiranjem i osposobljavanjem nastavnika; pozdravlja osnivanje Vijeća nacionalnih manjina i donošenje Akcijskog plana za zaštitu prava nacionalnih manjina do 2027., čiji je cilj usklađivanje zakonodavstva s europskim standardima; poziva na strukturirani i sadržajni dijalog s manjinskim zajednicama te na potpunu provedbu preporuka Venecijanske komisije;</w:t>
      </w:r>
    </w:p>
    <w:p w14:paraId="6E9A2FED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46.</w:t>
      </w:r>
      <w:r w:rsidRPr="00121A2C">
        <w:rPr>
          <w:snapToGrid w:val="0"/>
          <w:lang w:eastAsia="en-US"/>
        </w:rPr>
        <w:tab/>
        <w:t>pohvaljuje sposobnost Ukrajine da osigura kontinuitet i reformu obrazovanja, posebno s pomoću digitalnih alata, programa koje podupire EU i otpornog razvoja javne infrastrukture; potiče Komisiju da proširi potporu ukrajinskim studentima i institucijama u okviru programa Erasmus+, Obzor Europa i EU4Youth;</w:t>
      </w:r>
    </w:p>
    <w:p w14:paraId="2C2D7775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lastRenderedPageBreak/>
        <w:t>47.</w:t>
      </w:r>
      <w:r w:rsidRPr="00121A2C">
        <w:tab/>
        <w:t xml:space="preserve">pozdravlja ratifikaciju </w:t>
      </w:r>
      <w:proofErr w:type="spellStart"/>
      <w:r w:rsidRPr="00121A2C">
        <w:t>Istanbulske</w:t>
      </w:r>
      <w:proofErr w:type="spellEnd"/>
      <w:r w:rsidRPr="00121A2C">
        <w:t xml:space="preserve"> konvencije u Ukrajini i uspostavu centara za potporu žrtvama; potiče Ukrajinu da osigura kontinuirano financiranje za sprečavanje rodno uvjetovanog nasilja i potporu žrtvama, posebno s obzirom na povećane rizike tijekom rata; potiče Ukrajinu da poboljša Zakon o načelima sprečavanja i suzbijanja diskriminacije u Ukrajini i Kazneni zakon Ukrajine o zločinima iz mržnje u skladu s međunarodnim standardima te da uvede potrebne zakonodavne promjene za provedbu </w:t>
      </w:r>
      <w:proofErr w:type="spellStart"/>
      <w:r w:rsidRPr="00121A2C">
        <w:t>Istanbulske</w:t>
      </w:r>
      <w:proofErr w:type="spellEnd"/>
      <w:r w:rsidRPr="00121A2C">
        <w:t xml:space="preserve"> konvencije;</w:t>
      </w:r>
    </w:p>
    <w:p w14:paraId="674C8DC1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48.</w:t>
      </w:r>
      <w:r w:rsidRPr="00121A2C">
        <w:rPr>
          <w:snapToGrid w:val="0"/>
          <w:lang w:eastAsia="en-US"/>
        </w:rPr>
        <w:tab/>
        <w:t>prepoznaje povećani rizik od trgovine ljudima, posebno za žene i djecu, u sukobima i nakon sukoba; poziva ukrajinske vlasti da uz potporu EU-a ojačaju mehanizme otkrivanja i da surađuju s civilnim društvom kako bi se osigurala zaštita i rehabilitacija žrtava u skladu s Direktivom EU-a o suzbijanju trgovanja ljudima</w:t>
      </w:r>
      <w:r w:rsidRPr="00121A2C">
        <w:rPr>
          <w:snapToGrid w:val="0"/>
          <w:vertAlign w:val="superscript"/>
          <w:lang w:eastAsia="en-US"/>
        </w:rPr>
        <w:footnoteReference w:id="3"/>
      </w:r>
      <w:r w:rsidRPr="00121A2C">
        <w:rPr>
          <w:snapToGrid w:val="0"/>
          <w:lang w:eastAsia="en-US"/>
        </w:rPr>
        <w:t>;</w:t>
      </w:r>
    </w:p>
    <w:p w14:paraId="7EE72589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49.</w:t>
      </w:r>
      <w:r w:rsidRPr="00121A2C">
        <w:rPr>
          <w:snapToGrid w:val="0"/>
          <w:lang w:eastAsia="en-US"/>
        </w:rPr>
        <w:tab/>
        <w:t>podržava pojačanu pomoć EU-a Ukrajini u području fizičke rehabilitacije i protetičke skrbi, posebno za ranjene vojnike, žrtve mina i amputirane osobe; naglašava važnost razvoja nacionalnog sustava protetike i rehabilitacije uz potporu EU-a i država članica; potiče partnerstva s europskim zdravstvenim institucijama kako bi se poboljšali kapaciteti, osposobljavanje i pristup modernoj opremi;</w:t>
      </w:r>
    </w:p>
    <w:p w14:paraId="049805B7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50.</w:t>
      </w:r>
      <w:r w:rsidRPr="00121A2C">
        <w:tab/>
        <w:t>prima na znanje donošenje zakona kojim će se pravoslavnim župama iz Ukrajine omogućiti da se odvoje od jurisdikcije Moskovskog patrijarhata i da slobodno odluče o svojoj novoj hijerarhiji; osuđuje to što ruske snage nezakonito prisvajaju i uklanjaju predmete kulturne baštine s privremeno okupiranih ukrajinskih teritorija; poziva na poštovanje vjerske i kulturne baštine u privremeno okupiranim područjima, uključujući 485 već uništenih mjesta, mjesta bogoslužja i svetih mjesta; ističe odgovornost svih strana da zaštite kulturnu baštinu u skladu s međunarodnim konvencijama;</w:t>
      </w:r>
    </w:p>
    <w:p w14:paraId="571FE438" w14:textId="77777777" w:rsidR="00121A2C" w:rsidRPr="00121A2C" w:rsidRDefault="00121A2C" w:rsidP="00121A2C">
      <w:pPr>
        <w:ind w:left="567" w:hanging="567"/>
        <w:rPr>
          <w:bCs/>
          <w:iCs/>
        </w:rPr>
      </w:pPr>
      <w:r w:rsidRPr="00121A2C">
        <w:t>51.</w:t>
      </w:r>
      <w:r w:rsidRPr="00121A2C">
        <w:tab/>
        <w:t>poziva Ukrajinu da nastavi s usklađivanjem radnih standarda, posebno u pogledu slobode okupljanja i socijalnog dijaloga, te potiče Ukrajinu da nastavi usklađivati svoje nacionalno radno i socijalno zakonodavstvo sa standardima EU-a, posebno u područjima zapošljavanja, socijalne politike i jednakih mogućnosti; poziva Komisiju da pruži dodatnu potporu kako bi se ostvario taj napredak; naglašava potrebu za opsežnim savjetovanjima sa sindikatima i civilnim društvom te preporučuje da se u obzir uzme stručno znanje Međunarodne organizacije rada o tom pitanju;</w:t>
      </w:r>
    </w:p>
    <w:p w14:paraId="7D830EA8" w14:textId="77777777" w:rsidR="00121A2C" w:rsidRPr="00121A2C" w:rsidRDefault="00121A2C" w:rsidP="00121A2C">
      <w:pPr>
        <w:spacing w:before="360" w:after="240"/>
        <w:rPr>
          <w:snapToGrid w:val="0"/>
          <w:lang w:eastAsia="en-US"/>
        </w:rPr>
      </w:pPr>
      <w:r w:rsidRPr="00121A2C">
        <w:rPr>
          <w:b/>
          <w:i/>
          <w:snapToGrid w:val="0"/>
          <w:lang w:eastAsia="en-US"/>
        </w:rPr>
        <w:t>Regionalna suradnja i dobrosusjedski odnosi</w:t>
      </w:r>
    </w:p>
    <w:p w14:paraId="27D64CD4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52.</w:t>
      </w:r>
      <w:r w:rsidRPr="00121A2C">
        <w:tab/>
        <w:t>pozdravlja aktivno sudjelovanje Ukrajine u regionalnim inicijativama, kao što su njezino vodstvo u Forumu civilnog društva Istočnog partnerstva i koordinacija prekograničnih projekata s državama članicama EU-a;</w:t>
      </w:r>
    </w:p>
    <w:p w14:paraId="634E15FD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53.</w:t>
      </w:r>
      <w:r w:rsidRPr="00121A2C">
        <w:tab/>
        <w:t>pozdravlja nedavnu zajedničku komunikaciju Komisije i Visokog predstavnika Unije za vanjske poslove i sigurnosnu politiku naslovljenu „Strateški pristup Europske unije crnomorskoj regiji”</w:t>
      </w:r>
      <w:r w:rsidRPr="00121A2C">
        <w:rPr>
          <w:bCs/>
          <w:iCs/>
          <w:vertAlign w:val="superscript"/>
        </w:rPr>
        <w:footnoteReference w:id="4"/>
      </w:r>
      <w:r w:rsidRPr="00121A2C">
        <w:t xml:space="preserve">, a posebno mogućnosti da Ukrajina smisleno doprinese u tom okviru; potiče kontinuirano aktivno sudjelovanje Ukrajine u Istočnom partnerstvu i </w:t>
      </w:r>
      <w:r w:rsidRPr="00121A2C">
        <w:lastRenderedPageBreak/>
        <w:t xml:space="preserve">Parlamentarnoj skupštini </w:t>
      </w:r>
      <w:proofErr w:type="spellStart"/>
      <w:r w:rsidRPr="00121A2C">
        <w:t>Euronest</w:t>
      </w:r>
      <w:proofErr w:type="spellEnd"/>
      <w:r w:rsidRPr="00121A2C">
        <w:t xml:space="preserve"> kao „voditelja integracije” koji promiče europske vrijednosti i reforme diljem regije;</w:t>
      </w:r>
    </w:p>
    <w:p w14:paraId="45AE74DC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54.</w:t>
      </w:r>
      <w:r w:rsidRPr="00121A2C">
        <w:rPr>
          <w:snapToGrid w:val="0"/>
          <w:lang w:eastAsia="en-US"/>
        </w:rPr>
        <w:tab/>
        <w:t xml:space="preserve">pozdravlja i potiče sve napore Ukrajine i država članica EU-a da riješe neriješene aspekte povijesnih bilateralnih i regionalnih odnosa, na primjer </w:t>
      </w:r>
      <w:proofErr w:type="spellStart"/>
      <w:r w:rsidRPr="00121A2C">
        <w:rPr>
          <w:snapToGrid w:val="0"/>
          <w:lang w:eastAsia="en-US"/>
        </w:rPr>
        <w:t>Volinski</w:t>
      </w:r>
      <w:proofErr w:type="spellEnd"/>
      <w:r w:rsidRPr="00121A2C">
        <w:rPr>
          <w:snapToGrid w:val="0"/>
          <w:lang w:eastAsia="en-US"/>
        </w:rPr>
        <w:t xml:space="preserve"> pokolj, u duhu istinskog i iskrenog pomirenja te uz poštovanje vrijednosti EU-a kao što su ljudsko dostojanstvo, dobrosusjedski odnosi i kritička ocjena povijesnih događaja; vjeruje da će se, uz dobru volju svih uključenih strana, strpljivom procesu pomirenja pristupiti konstruktivno s ciljem međusobnog razumijevanja; u tom kontekstu pozdravlja tekuće pregovore između poljskih i ukrajinskih vlasti koji su omogućili da se u travnju 2025. nastave iskopavati grobnice poljskih građana na ukrajinskom državnom području; nada se da će se taj proces nastaviti s jasnim ciljem da se osigura dostojanstven pokop žrtava i odavanje počasti;</w:t>
      </w:r>
    </w:p>
    <w:p w14:paraId="50C5EF9E" w14:textId="77777777" w:rsidR="00121A2C" w:rsidRPr="00121A2C" w:rsidRDefault="00121A2C" w:rsidP="00121A2C">
      <w:pPr>
        <w:ind w:left="567" w:hanging="567"/>
      </w:pPr>
      <w:r w:rsidRPr="00121A2C">
        <w:t xml:space="preserve">55. </w:t>
      </w:r>
      <w:r w:rsidRPr="00121A2C">
        <w:tab/>
        <w:t xml:space="preserve">duboko je zabrinut zbog nedavno otkrivenih aktivnosti prikupljanja obavještajnih podataka od strane mađarskih sigurnosnih agencija u jugozapadnoj ukrajinskoj regiji </w:t>
      </w:r>
      <w:proofErr w:type="spellStart"/>
      <w:r w:rsidRPr="00121A2C">
        <w:t>Zakarpatiji</w:t>
      </w:r>
      <w:proofErr w:type="spellEnd"/>
      <w:r w:rsidRPr="00121A2C">
        <w:t xml:space="preserve">; izražava žaljenje zbog sustavnih politika mađarske vlade usmjerenih na podrivanje napora Ukrajine u samoobrani i iskorištavanje pitanja povezanih s mađarskom manjinom u Ukrajini za političku korist, čime se ometa napredak Ukrajine prema integraciji u EU; </w:t>
      </w:r>
    </w:p>
    <w:p w14:paraId="5486561E" w14:textId="77777777" w:rsidR="00121A2C" w:rsidRPr="00121A2C" w:rsidRDefault="00121A2C" w:rsidP="00121A2C">
      <w:pPr>
        <w:spacing w:before="360" w:after="240"/>
        <w:rPr>
          <w:snapToGrid w:val="0"/>
          <w:lang w:eastAsia="en-US"/>
        </w:rPr>
      </w:pPr>
      <w:r w:rsidRPr="00121A2C">
        <w:rPr>
          <w:b/>
          <w:i/>
          <w:snapToGrid w:val="0"/>
          <w:lang w:eastAsia="en-US"/>
        </w:rPr>
        <w:t>Socioekonomske reforme</w:t>
      </w:r>
    </w:p>
    <w:p w14:paraId="40A28EF2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56.</w:t>
      </w:r>
      <w:r w:rsidRPr="00121A2C">
        <w:rPr>
          <w:snapToGrid w:val="0"/>
          <w:lang w:eastAsia="en-US"/>
        </w:rPr>
        <w:tab/>
        <w:t>pozdravlja činjenicu da je Ukrajina provela prioritetni akcijski plan za razdoblje 2023. – 2024. i da je donijela zakonodavstvo potrebno za reformu Ureda za ekonomsku sigurnost Ukrajine, čime mu se omogućuje učinkovita borba protiv utaje poreza i gospodarskih kaznenih djela;</w:t>
      </w:r>
    </w:p>
    <w:p w14:paraId="3752AFC8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57.</w:t>
      </w:r>
      <w:r w:rsidRPr="00121A2C">
        <w:rPr>
          <w:snapToGrid w:val="0"/>
          <w:lang w:eastAsia="en-US"/>
        </w:rPr>
        <w:tab/>
        <w:t>podsjeća na donošenje Zakona o lokalnoj javnoj službi 2023. i potiče ukrajinsku vladu da usvoji sustavan pristup predstojećim reformama javne uprave uspostavom jasne vizije i strukturirane provedbene strategije; naglašava potrebu za izgradnjom institucionalnih i administrativnih kapaciteta potrebnih za osiguravanje dugoročnog uspjeha i učinka reformi povezanih s pristupanjem, ne samo u zakonodavstvu, već i u praksi; pozdravlja činjenicu da je Vrhovna Rada nedavno donijela nacrt zakona br. 8222 kojim se standardizira sustav plaća za državne službenike, s ciljem poboljšanja učinkovitosti upravljanja i njegova usklađivanja s europskim standardima za upravljanje javnim uslugama;</w:t>
      </w:r>
    </w:p>
    <w:p w14:paraId="7A2E6BA3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58.</w:t>
      </w:r>
      <w:r w:rsidRPr="00121A2C">
        <w:rPr>
          <w:snapToGrid w:val="0"/>
          <w:lang w:eastAsia="en-US"/>
        </w:rPr>
        <w:tab/>
        <w:t>potiče Ukrajinu da ostvari napredak u pogledu odobrenja izmjena zakona o lokalnoj državnoj upravi, uključujući nacrt zakona br. 4298 u cilju usklađivanja reformi lokalnog upravljanja sa standardima EU-a; poziva na uspostavu uravnoteženog pravnog okvira za administrativni nadzor kojim se poštuju načelo proporcionalnosti i Europska povelja o lokalnoj samoupravi, uz istodobnu zaštitu nadležnosti, ovlasti i samoupravnih funkcija lokalnih vlasti; ponavlja svoj poziv na formalno uvođenje pravne osobnosti za lokalne i regionalne javne vlasti;</w:t>
      </w:r>
    </w:p>
    <w:p w14:paraId="61E44034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59.</w:t>
      </w:r>
      <w:r w:rsidRPr="00121A2C">
        <w:rPr>
          <w:snapToGrid w:val="0"/>
          <w:lang w:eastAsia="en-US"/>
        </w:rPr>
        <w:tab/>
        <w:t xml:space="preserve">poziva na kontinuirani napredak u reformi decentralizacije i jačanju samoupravljanja na lokalnoj razini; pozdravlja pokretanje treće faze potpore EU-a i država članica programu U-LEAD koji je usmjeren na jačanje lokalne samouprave i poticanje otpornog oporavka na lokalnoj i regionalnoj razini; naglašava da je važno osigurati da se sve buduće ustavne ili institucionalne reforme, uključujući izborne reforme i reforme </w:t>
      </w:r>
      <w:r w:rsidRPr="00121A2C">
        <w:rPr>
          <w:snapToGrid w:val="0"/>
          <w:lang w:eastAsia="en-US"/>
        </w:rPr>
        <w:lastRenderedPageBreak/>
        <w:t>decentralizacije, provode transparentno, uključivo i u skladu s preporukama Venecijanske komisije;</w:t>
      </w:r>
    </w:p>
    <w:p w14:paraId="0C7FEBA0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60.</w:t>
      </w:r>
      <w:r w:rsidRPr="00121A2C">
        <w:rPr>
          <w:snapToGrid w:val="0"/>
          <w:lang w:eastAsia="en-US"/>
        </w:rPr>
        <w:tab/>
        <w:t>pozdravlja činjenicu da je Ukrajina ostvarila ključne etape i poziva je da nastavi ostvarivati napredak u provedbi Ukrajinskog plana, u skladu s Uredbom (EU) 2024/792, uz istodobno poštovanje vrijednosti i standarda na kojima se temelji; naglašava potrebu da Komisija zadrži uvjetovanost, posebno u pogledu trećeg stupa Instrumenta, kako bi se osigurala održivost i odgovornost u procesu reformi; ističe da je snažan zamah u provedbi reformi potaknut širokim društvenim konsenzusom i uvjetovanošću Instrumenta za Ukrajinu;</w:t>
      </w:r>
    </w:p>
    <w:p w14:paraId="227F1FB6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61.</w:t>
      </w:r>
      <w:r w:rsidRPr="00121A2C">
        <w:tab/>
        <w:t xml:space="preserve">pozdravlja kontinuiranu potporu organizacijama civilnog društva kroz okvir za civilno društvo Instrumenta za Ukrajinu i potiče Ukrajinu da osigura da se zahtjevima za financijsko izvješćivanje neopravdano ne ograničavaju aktivnosti organizacija civilnog društva; naglašava važnost smislene suradnje s civilnim društvom i lokalnim vlastima kako bi se osigurali učinkovita provedba i kvalitetne reforme u okviru Ukrajinskog plana; potiče ukrajinska pravosudna tijela da ojačaju postojeće mehanizme, među ostalim pravosudnim djelovanjem, za zaštitu aktivista civilnog društva; potiče Ukrajinu da osigura da zahtjevi za financijsko izvještavanje i regulacija stvarnog vlasništva nad pravnim subjektima ne utječu neopravdano na funkcioniranje i neovisnost organizacija civilnog društva; pozdravlja kontinuiranu potporu organizacijama civilnog društva u okviru dijela Instrumenta za Ukrajinu namijenjenog civilnom društvu; </w:t>
      </w:r>
    </w:p>
    <w:p w14:paraId="01F040A5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62.</w:t>
      </w:r>
      <w:r w:rsidRPr="00121A2C">
        <w:tab/>
        <w:t>naglašava da obnova Ukrajine mora biti usko povezana s njezinim reformama u okviru pristupanja EU-u i vođena načelima socijalne pravednosti, održivosti, transparentnosti i lokalne odgovornosti; nadalje, naglašava da obnova Ukrajine mora biti ukorijenjena u čvrstoj vladavini prava, transparentnom upravljanju i demokratskoj uključenosti; naglašava da reforma pravosuđa, borba protiv korupcije i poboljšanja javne uprave nisu samo uvjeti za pristupanje EU-u nego i ključni za privlačenje ulaganja i obnovu povjerenja među ukrajinskim partnerima i građanima; poziva na uključivanje rodno osjetljivih pristupa u sve napore za obnovu, uključujući veću zastupljenost žena i manjina u postupcima donošenja odluka; poziva ukrajinsku vladu da osigura transparentnost u provedbi instrumenta „</w:t>
      </w:r>
      <w:proofErr w:type="spellStart"/>
      <w:r w:rsidRPr="00121A2C">
        <w:t>RebuildUkraine</w:t>
      </w:r>
      <w:proofErr w:type="spellEnd"/>
      <w:r w:rsidRPr="00121A2C">
        <w:t xml:space="preserve">”, uz savjetovanje i sudjelovanje civilnog društva i ugroženih skupina u društvu, posebno u pogledu poštovanja temeljnih prava i vladavine prava, kao i </w:t>
      </w:r>
      <w:proofErr w:type="spellStart"/>
      <w:r w:rsidRPr="00121A2C">
        <w:t>nediskriminirajuće</w:t>
      </w:r>
      <w:proofErr w:type="spellEnd"/>
      <w:r w:rsidRPr="00121A2C">
        <w:t xml:space="preserve"> raspodjele i upotrebe sredstava EU-a;</w:t>
      </w:r>
    </w:p>
    <w:p w14:paraId="78EC9DE7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63.</w:t>
      </w:r>
      <w:r w:rsidRPr="00121A2C">
        <w:tab/>
        <w:t xml:space="preserve">ističe ključnu ulogu Instrumenta EU-a za Ukrajinu i programa zajmova iz ubrzanja izvanrednih prihoda, kojima se 2025. zajedno osigurava više od 30 milijardi EUR za potporu ukrajinskim javnim uslugama, makrofinancijskoj stabilnosti i programu reformi; poziva na kontinuiranu i pojačanu financijsku potporu Ukrajini 2026. i 2027., među ostalim putem novog paketa makrofinancijske pomoći kako bi se nadoknadio očekivani proračunski manjak Ukrajine od 39 milijardi EUR; usto napominje da je financijska i gospodarska otpornost Ukrajine i dalje temeljni preduvjet za održavanje njezinih obrambenih kapaciteta i procesa reformi; stoga poziva na razmatranje rješenja za ublažavanje tereta vanjskog duga Ukrajine; </w:t>
      </w:r>
    </w:p>
    <w:p w14:paraId="2872AE51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64.</w:t>
      </w:r>
      <w:r w:rsidRPr="00121A2C">
        <w:tab/>
        <w:t xml:space="preserve">prima na znanje sporazum o gospodarskom partnerstvu SAD-a i Ukrajine u pogledu kritičnih minerala i prepoznaje da je taj sporazum potvrdio dugoročnu potporu SAD-a sigurnosti i obnovi Ukrajine te prima na znanje namjeru, izraženu u sporazumu, da se zaštiti proces pristupanja Ukrajine EU-u i povezane obveze te da se osigura usklađenost s obvezama Ukrajine prema međunarodnim financijskim institucijama ili drugim </w:t>
      </w:r>
      <w:r w:rsidRPr="00121A2C">
        <w:lastRenderedPageBreak/>
        <w:t>službenim vjerovnicima; poziva Komisiju da pozove obje strane da dodatno razjasne kako će se provoditi odredbe namijenjene zaštiti puta Ukrajine prema integraciji u EU te da redovito izvješćuju o njihovoj usklađenosti s pravom Unije; smatra da je ključno da se eksploatacijom minerala u okviru tog sporazuma u potpunosti poštuju visoki socijalni i ekološki standardi te da se usklađenost osigura snažnim mehanizmima kontrole; nadalje, očekuje od Ukrajine da u svoj nacionalni pravni okvir u potpunosti uključi relevantno zakonodavstvo EU-a o okolišu, uključujući Okvirnu direktivu o vodama</w:t>
      </w:r>
      <w:r w:rsidRPr="00121A2C">
        <w:rPr>
          <w:bCs/>
          <w:iCs/>
          <w:vertAlign w:val="superscript"/>
        </w:rPr>
        <w:footnoteReference w:id="5"/>
      </w:r>
      <w:r w:rsidRPr="00121A2C">
        <w:t xml:space="preserve"> i Direktivu o gospodarenju otpadom od industrija vađenja minerala</w:t>
      </w:r>
      <w:r w:rsidRPr="00121A2C">
        <w:rPr>
          <w:bCs/>
          <w:iCs/>
          <w:vertAlign w:val="superscript"/>
        </w:rPr>
        <w:footnoteReference w:id="6"/>
      </w:r>
      <w:r w:rsidRPr="00121A2C">
        <w:t>;</w:t>
      </w:r>
    </w:p>
    <w:p w14:paraId="52962C85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65.</w:t>
      </w:r>
      <w:r w:rsidRPr="00121A2C">
        <w:rPr>
          <w:snapToGrid w:val="0"/>
          <w:lang w:eastAsia="en-US"/>
        </w:rPr>
        <w:tab/>
        <w:t>podsjeća da se u okviru proširenja EU-a mora osigurati da pristupanje ne dovede do iskorištavanja prirodnih resursa zemalja kandidatkinja niti do doprinosa socijalnoj nejednakosti i uništavanju okoliša;</w:t>
      </w:r>
    </w:p>
    <w:p w14:paraId="6636D503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66.</w:t>
      </w:r>
      <w:r w:rsidRPr="00121A2C">
        <w:tab/>
        <w:t>pozdravlja napredak Ukrajine u djelomičnom donošenju zakonodavstva o dobrobiti životinja, iako sa znatnim kašnjenjima u pogledu obveza preuzetih u okviru Sporazuma o detaljnom i sveobuhvatnom području slobodne trgovine; potiče Ukrajinu da ostvari daljnji napredak u donošenju Uredbe Vijeća (EZ) br. 1/2005</w:t>
      </w:r>
      <w:r w:rsidRPr="00121A2C">
        <w:rPr>
          <w:bCs/>
          <w:iCs/>
          <w:vertAlign w:val="superscript"/>
        </w:rPr>
        <w:footnoteReference w:id="7"/>
      </w:r>
      <w:r w:rsidRPr="00121A2C">
        <w:t xml:space="preserve"> o zaštiti životinja tijekom prijevoza, uzimajući u obzir aktualnu reviziju tog zakonodavstva unutar EU-a, što je ključno za ispunjavanje proizvodnih standarda EU-a i olakšavanje povećanog izvoza proizvoda životinjskog podrijetla u EU; poziva EU i njegove države članice da Ukrajini pruže financijsku i tehničku pomoć u tom pogledu;</w:t>
      </w:r>
    </w:p>
    <w:p w14:paraId="6096C71A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67.</w:t>
      </w:r>
      <w:r w:rsidRPr="00121A2C">
        <w:tab/>
        <w:t xml:space="preserve">ističe otpornost i važnost poljoprivrednog sektora (19 % BDP-a, 53 % izvoza robe), ali naglašava potrebu za diversifikacijom lanaca vrijednosti i koristima brzog donošenja </w:t>
      </w:r>
      <w:proofErr w:type="spellStart"/>
      <w:r w:rsidRPr="00121A2C">
        <w:t>fitosanitarnih</w:t>
      </w:r>
      <w:proofErr w:type="spellEnd"/>
      <w:r w:rsidRPr="00121A2C">
        <w:t xml:space="preserve"> standarda EU-a; naglašava važnost mjera zaštite okoliša u osiguravanju zelenog oporavka Ukrajine; poziva Komisiju da dodatno podupre Ukrajinu u provedbi postupaka procjene utjecaja na okoliš, posebno u šumarskom i poljoprivrednom sektoru, te postupaka strateške procjene utjecaja na okoliš; nadalje, poziva Komisiju da dodatno podupre Ukrajinu u izgradnji administrativnih kapaciteta za potpunu provedbu pravne stečevine EU-a u području okoliša, uključujući sudjelovanje javnosti u donošenju odluka, te u usklađivanju njezina zakonodavstva s Direktivom o obnovljivoj energiji</w:t>
      </w:r>
      <w:r w:rsidRPr="00121A2C">
        <w:rPr>
          <w:bCs/>
          <w:iCs/>
          <w:vertAlign w:val="superscript"/>
        </w:rPr>
        <w:footnoteReference w:id="8"/>
      </w:r>
      <w:r w:rsidRPr="00121A2C">
        <w:t>, posebno s kriterijima održivosti za bioenergiju;</w:t>
      </w:r>
    </w:p>
    <w:p w14:paraId="136129AF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68.</w:t>
      </w:r>
      <w:r w:rsidRPr="00121A2C">
        <w:rPr>
          <w:snapToGrid w:val="0"/>
          <w:lang w:eastAsia="en-US"/>
        </w:rPr>
        <w:tab/>
        <w:t xml:space="preserve">poziva Vrhovnu Radu i ukrajinsku vladu da izmijene Zakon br. 12089, kojim se omogućuje legalizacija vlasništva nad zemljištem koje je nezakonito povučeno iz države, uključujući šume i vodna tijela, privatnim osobama, što nije u skladu s pravnom </w:t>
      </w:r>
      <w:r w:rsidRPr="00121A2C">
        <w:rPr>
          <w:snapToGrid w:val="0"/>
          <w:lang w:eastAsia="en-US"/>
        </w:rPr>
        <w:lastRenderedPageBreak/>
        <w:t>stečevinom EU-a jer Zakon u svojem sadašnjem obliku uključuje pravne nesigurnosti koje će onemogućiti vraćanje takvog zemljišta državi;</w:t>
      </w:r>
    </w:p>
    <w:p w14:paraId="1188CE02" w14:textId="77777777" w:rsidR="00121A2C" w:rsidRPr="00121A2C" w:rsidRDefault="00121A2C" w:rsidP="00121A2C">
      <w:pPr>
        <w:spacing w:before="360" w:after="240"/>
        <w:rPr>
          <w:snapToGrid w:val="0"/>
          <w:lang w:eastAsia="en-US"/>
        </w:rPr>
      </w:pPr>
      <w:r w:rsidRPr="00121A2C">
        <w:rPr>
          <w:b/>
          <w:i/>
          <w:snapToGrid w:val="0"/>
          <w:lang w:eastAsia="en-US"/>
        </w:rPr>
        <w:t xml:space="preserve">Energija, okoliš, održivi razvoj i </w:t>
      </w:r>
      <w:proofErr w:type="spellStart"/>
      <w:r w:rsidRPr="00121A2C">
        <w:rPr>
          <w:b/>
          <w:i/>
          <w:snapToGrid w:val="0"/>
          <w:lang w:eastAsia="en-US"/>
        </w:rPr>
        <w:t>povezivost</w:t>
      </w:r>
      <w:proofErr w:type="spellEnd"/>
    </w:p>
    <w:p w14:paraId="4853D561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69.</w:t>
      </w:r>
      <w:r w:rsidRPr="00121A2C">
        <w:tab/>
        <w:t>pozdravlja znatan napredak u pogledu reformi energetskog sektora i usklađivanja Ukrajine s ciljevima europskog zelenog plana i potiče Ukrajinu da ne nazaduje u tom pogledu; naglašava potrebu za daljnjim jačanjem energetske sigurnosti Ukrajine produbljivanjem njezine integracije u energetsko tržište EU-a, među ostalim sinkronizacijom ukrajinske elektroenergetske mreže s kontinentalnom Europom i pojačanom suradnjom u području skladištenja plina i opskrbe plinom, kao i ubrzavanjem uvođenja obnovljivih izvora energije i mjera energetske učinkovitosti; naglašava da je jačanje otpornosti kritične energetske infrastrukture i dalje ključno za gospodarsku stabilnost i stratešku autonomiju Ukrajine;</w:t>
      </w:r>
    </w:p>
    <w:p w14:paraId="532DBBFC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70.</w:t>
      </w:r>
      <w:r w:rsidRPr="00121A2C">
        <w:tab/>
        <w:t xml:space="preserve">naglašava da Ukrajina ima znatan potencijal kao dobavljač energije i energetski intenzivnih proizvoda ostatku Europe; stoga potiče Ukrajinu da nastavi razvijati energetsku povezanost sa susjednim državama članicama i regionalnim partnerima kao što je Republika </w:t>
      </w:r>
      <w:proofErr w:type="spellStart"/>
      <w:r w:rsidRPr="00121A2C">
        <w:t>Moldova</w:t>
      </w:r>
      <w:proofErr w:type="spellEnd"/>
      <w:r w:rsidRPr="00121A2C">
        <w:t xml:space="preserve"> u cilju daljnje integracije u energetsko tržište EU-a; uviđa da su u ruskoj ratnoj agresiji ciljane i uništene relevantne mreže i postrojenja; stoga poziva Ukrajinu da obnovu iskoristi za bolju ponovnu izgradnju, koristeći se klimatski najprihvatljivijim tehnologijama i procesima, gdje god je to moguće, ulažući u obnovljive izvore energije i energetsku učinkovitost te minimizirajući utjecaj na okoliš u cijelom proizvodnom lancu; pozdravlja kontinuirani angažman Komisije u tom području kako bi se poduprla reforma ukrajinskog energetskog sektora, uključujući obnovu i zelenu tranziciju; poziva na unapređenje provedbe postojećih obveza u okviru Ukrajinskog plana i paketa Energetske zajednice, uključujući razdvajanje regionalnih poduzeća za distribuciju energije;</w:t>
      </w:r>
    </w:p>
    <w:p w14:paraId="1C9192E8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71.</w:t>
      </w:r>
      <w:r w:rsidRPr="00121A2C">
        <w:tab/>
        <w:t>potiče Ukrajinu da istraži najisplativija i najpouzdanija rješenja za energetski sektor Ukrajine nakon ruskih napada na njezinu energetsku infrastrukturu, primjerice zamjenom, u mjeri u kojoj je to moguće s obzirom na rat koji je u tijeku, njezinih elektrana na fosilna goriva decentraliziranim i održivim energetskim tehnologijama; poziva Komisiju i ukrajinske vlasti da strateški iskoriste sredstva u okviru Instrumenta za Ukrajinu kako bi dale prednost ulaganjima u obnovljive izvore energije, koji su ključni za osiguravanje dugoročne energetske sigurnosti, okolišne održivosti i gospodarske otpornosti u Ukrajini i ostatku kontinenta;</w:t>
      </w:r>
    </w:p>
    <w:p w14:paraId="17BD9863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72.</w:t>
      </w:r>
      <w:r w:rsidRPr="00121A2C">
        <w:tab/>
        <w:t xml:space="preserve">izražava ozbiljnu zabrinutost zbog štetnog utjecaja Rusije u Međunarodnoj agenciji za atomsku energiju (IAEA), unatoč opetovanim kršenjima temeljnih načela IAEA-e o nuklearnoj sigurnosti i </w:t>
      </w:r>
      <w:proofErr w:type="spellStart"/>
      <w:r w:rsidRPr="00121A2C">
        <w:t>neupletanju</w:t>
      </w:r>
      <w:proofErr w:type="spellEnd"/>
      <w:r w:rsidRPr="00121A2C">
        <w:t>; poziva EU i njegove države članice da se zalažu za veći nadzor uloge Rusije u IAEA-i i da istraže reforme kojima se osigurava da agresorske države ne mogu ugroziti neutralnost i vjerodostojnost međunarodnog nuklearnog nadzora;</w:t>
      </w:r>
    </w:p>
    <w:p w14:paraId="5F8BDA17" w14:textId="77777777" w:rsidR="00121A2C" w:rsidRPr="00121A2C" w:rsidRDefault="00121A2C" w:rsidP="00121A2C">
      <w:pPr>
        <w:widowControl/>
        <w:spacing w:after="240"/>
        <w:ind w:left="567" w:hanging="567"/>
        <w:rPr>
          <w:b/>
          <w:bCs/>
          <w:i/>
          <w:iCs/>
        </w:rPr>
      </w:pPr>
      <w:r w:rsidRPr="00121A2C">
        <w:t>73.</w:t>
      </w:r>
      <w:r w:rsidRPr="00121A2C">
        <w:tab/>
        <w:t xml:space="preserve">ističe da ruska ratna agresija predstavlja ekocid koji je prouzročio ozbiljnu i dugotrajnu štetu ukrajinskom okolišu, uključujući uništavanje ekosustava, onečišćenje vode i tla te ciljanje industrijske i energetske infrastrukture; smatra da je njihovo međunarodno priznanje kao ratnih zločina ključno za osiguravanje potpune pravne odgovornosti Rusije i posljedične naknade Ukrajini te poziva EU da podupre sveobuhvatnu strategiju oporavka okoliša u okviru obnove Ukrajine; poziva EU i njegove države članice da pruže punu potporu svim inicijativama kojima se dokumentira uništavanje okoliša </w:t>
      </w:r>
      <w:r w:rsidRPr="00121A2C">
        <w:lastRenderedPageBreak/>
        <w:t>uzrokovano ruskim ratom te da podupru napore u pogledu odgovornosti i naknade u stranim jurisdikcijama;</w:t>
      </w:r>
    </w:p>
    <w:p w14:paraId="133A932D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74.</w:t>
      </w:r>
      <w:r w:rsidRPr="00121A2C">
        <w:rPr>
          <w:snapToGrid w:val="0"/>
          <w:lang w:eastAsia="en-US"/>
        </w:rPr>
        <w:tab/>
        <w:t xml:space="preserve">pohvaljuje Ukrajinu zbog donošenja nacionalnog energetskog i klimatskog plana, kojim se koordiniraju i planiraju energetske i klimatske politike do 2030., s posebnim ciljevima, uključujući znatno smanjenje emisija stakleničkih plinova i povećani udio energije iz obnovljivih izvora; podržava kontinuirano djelovanje Fonda za energetsku učinkovitost i novoosnovanog Fonda za </w:t>
      </w:r>
      <w:proofErr w:type="spellStart"/>
      <w:r w:rsidRPr="00121A2C">
        <w:rPr>
          <w:snapToGrid w:val="0"/>
          <w:lang w:eastAsia="en-US"/>
        </w:rPr>
        <w:t>dekarbonizaciju</w:t>
      </w:r>
      <w:proofErr w:type="spellEnd"/>
      <w:r w:rsidRPr="00121A2C">
        <w:rPr>
          <w:snapToGrid w:val="0"/>
          <w:lang w:eastAsia="en-US"/>
        </w:rPr>
        <w:t>; poziva na to da EU i države članice osiguraju financijsku održivost tih instrumenata, posebno u kontekstu obnove i integracije obnovljivih izvora energije u stanovanje; potiče Ukrajinu da u energetske reforme uključi načelo pravedne tranzicije kako bi se ublažio socijalni učinak i poduprle ranjive skupine;</w:t>
      </w:r>
    </w:p>
    <w:p w14:paraId="492CF1A0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75.</w:t>
      </w:r>
      <w:r w:rsidRPr="00121A2C">
        <w:rPr>
          <w:snapToGrid w:val="0"/>
          <w:lang w:eastAsia="en-US"/>
        </w:rPr>
        <w:tab/>
        <w:t xml:space="preserve">potiče Komisiju i države članice da uključe nuklearnu sigurnost kao središnju komponentu ukrajinske strategije oporavka i integracije u EU, osiguravajući usklađenost s pravnom stečevinom EU-a o nuklearnoj energiji i zaštiti od zračenja u okviru </w:t>
      </w:r>
      <w:proofErr w:type="spellStart"/>
      <w:r w:rsidRPr="00121A2C">
        <w:rPr>
          <w:snapToGrid w:val="0"/>
          <w:lang w:eastAsia="en-US"/>
        </w:rPr>
        <w:t>Euratoma</w:t>
      </w:r>
      <w:proofErr w:type="spellEnd"/>
      <w:r w:rsidRPr="00121A2C">
        <w:rPr>
          <w:snapToGrid w:val="0"/>
          <w:lang w:eastAsia="en-US"/>
        </w:rPr>
        <w:t xml:space="preserve">; podržava jačanje ukrajinskih kapaciteta za nuklearnu sigurnost i odgovor na hitne radiološke situacije kao središnje komponente ukrajinske strategije oporavka i integracije u EU, među ostalim putem tehničke i financijske pomoći EU-a i međunarodnih partnera; poziva na uspostavu inicijative pod vodstvom EU-a za jačanje nuklearne sigurnosti, zaštitu kritične infrastrukture i sprečavanje radioloških incidenata koji proizlaze iz ruske agresije; izražava ozbiljnu zabrinutost zbog pokušaja Ruske Federacije da </w:t>
      </w:r>
      <w:r w:rsidRPr="00121A2C">
        <w:rPr>
          <w:i/>
          <w:iCs/>
          <w:snapToGrid w:val="0"/>
          <w:lang w:eastAsia="en-US"/>
        </w:rPr>
        <w:t>de facto</w:t>
      </w:r>
      <w:r w:rsidRPr="00121A2C">
        <w:rPr>
          <w:snapToGrid w:val="0"/>
          <w:lang w:eastAsia="en-US"/>
        </w:rPr>
        <w:t xml:space="preserve"> pripoji ukrajinsku kritičnu infrastrukturu, uključujući vjerodostojna javna izvješća o tome da namjerava odvojiti nuklearnu elektranu </w:t>
      </w:r>
      <w:proofErr w:type="spellStart"/>
      <w:r w:rsidRPr="00121A2C">
        <w:rPr>
          <w:snapToGrid w:val="0"/>
          <w:lang w:eastAsia="en-US"/>
        </w:rPr>
        <w:t>Zaporižja</w:t>
      </w:r>
      <w:proofErr w:type="spellEnd"/>
      <w:r w:rsidRPr="00121A2C">
        <w:rPr>
          <w:snapToGrid w:val="0"/>
          <w:lang w:eastAsia="en-US"/>
        </w:rPr>
        <w:t xml:space="preserve"> od ukrajinske elektroenergetske mreže i prisilno je integrirati u ruski energetski sustav, čime bi se prekršili suverenitet Ukrajine i međunarodno pravo te bi to predstavljalo znatan rizik za nuklearnu sigurnost; poziva na trenutačno i bezuvjetno povlačenje sveg ruskog vojnog osoblja i opreme s prostora nuklearne elektrane </w:t>
      </w:r>
      <w:proofErr w:type="spellStart"/>
      <w:r w:rsidRPr="00121A2C">
        <w:rPr>
          <w:snapToGrid w:val="0"/>
          <w:lang w:eastAsia="en-US"/>
        </w:rPr>
        <w:t>Zaporižja</w:t>
      </w:r>
      <w:proofErr w:type="spellEnd"/>
      <w:r w:rsidRPr="00121A2C">
        <w:rPr>
          <w:snapToGrid w:val="0"/>
          <w:lang w:eastAsia="en-US"/>
        </w:rPr>
        <w:t xml:space="preserve"> i svih drugih nuklearnih lokacija u Ukrajini te poziva IAEA-u da se javno i nedvosmisleno usprotivi svim takvim planovima; naglašava da integritet i otpornost ukrajinske nuklearne infrastrukture nisu samo nacionalno pitanje, već i zajednička europska odgovornost; poziva na koordinirano planiranje djelovanja u nepredvidivim situacijama i povećanu prekograničnu suradnju među državama članicama EU-a kako bi se odgovorilo na potencijalne nuklearne prijetnje koje proizlaze iz ruskog djelovanja u Ukrajini;</w:t>
      </w:r>
    </w:p>
    <w:p w14:paraId="5C3E5D84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76.</w:t>
      </w:r>
      <w:r w:rsidRPr="00121A2C">
        <w:tab/>
        <w:t xml:space="preserve">potiče Ukrajinu da se učinkovito bori protiv nezakonite sječe, kao što je nezakonita sječa u primarnim karpatskim šumama, u skladu s održivim upravljanjem šumama i standardima zaštite okoliša; poziva EU da doprinese sprečavanju nezakonite sječe u vezi s nezakonitim projektom skijališta </w:t>
      </w:r>
      <w:proofErr w:type="spellStart"/>
      <w:r w:rsidRPr="00121A2C">
        <w:t>Svidovec</w:t>
      </w:r>
      <w:proofErr w:type="spellEnd"/>
      <w:r w:rsidRPr="00121A2C">
        <w:t xml:space="preserve">; potiče Ukrajinu da ulaže u sigurnu i održivu turističku infrastrukturu s ekološkog aspekta i u pogledu okoliša; </w:t>
      </w:r>
    </w:p>
    <w:p w14:paraId="5F967B5A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77.</w:t>
      </w:r>
      <w:r w:rsidRPr="00121A2C">
        <w:tab/>
        <w:t xml:space="preserve">poziva Komisiju da pomogne Ukrajini u održavanju napretka prema visokom stupnju dostatnosti njezine Smaragdne mreže u pogledu područja od posebnog interesa za očuvanje; </w:t>
      </w:r>
    </w:p>
    <w:p w14:paraId="2B0702D7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t>78.</w:t>
      </w:r>
      <w:r w:rsidRPr="00121A2C">
        <w:rPr>
          <w:snapToGrid w:val="0"/>
          <w:lang w:eastAsia="en-US"/>
        </w:rPr>
        <w:tab/>
        <w:t>pozdravlja činjenicu da je 2024. izvoz u EU činio 63 % ukupnog izvoza, što je povećanje u odnosu na 42 % 2021., a to je odraz uspješnog preusmjeravanja trgovine;</w:t>
      </w:r>
    </w:p>
    <w:p w14:paraId="4704AF19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79.</w:t>
      </w:r>
      <w:r w:rsidRPr="00121A2C">
        <w:tab/>
        <w:t xml:space="preserve">napominje stratešku važnost razvoja i proširenja željezničkih koridora koji povezuju Ukrajinu s EU-om putem transeuropske prometne mreže (TEN-T), koja služi i u civilne i u vojne logističke svrhe kao dio šire strategije za infrastrukturu s dvojnom namjenom; </w:t>
      </w:r>
      <w:r w:rsidRPr="00121A2C">
        <w:lastRenderedPageBreak/>
        <w:t xml:space="preserve">potiče stalne napore za usklađivanje digitalnih i prometnih standarda Ukrajine sa standardima EU-a, čime bi se olakšala trgovina, mobilnost i sigurna komunikacija; naglašava da će bolja </w:t>
      </w:r>
      <w:proofErr w:type="spellStart"/>
      <w:r w:rsidRPr="00121A2C">
        <w:t>povezivost</w:t>
      </w:r>
      <w:proofErr w:type="spellEnd"/>
      <w:r w:rsidRPr="00121A2C">
        <w:t xml:space="preserve"> poduprijeti gospodarski oporavak i integraciju Ukrajine;</w:t>
      </w:r>
    </w:p>
    <w:p w14:paraId="19BE2661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80.</w:t>
      </w:r>
      <w:r w:rsidRPr="00121A2C">
        <w:tab/>
        <w:t xml:space="preserve">poziva Komisiju i države članice da dodijele sva potrebna sredstva za poboljšanje planirane prometne povezanosti i otpornosti u Ukrajini do 2050., uključujući daljnje ažuriranje karata mreže TEN-T; pozdravlja uspješan razvoj i provedbu koridora solidarnosti, koji su Ukrajini omogućili da zaobiđe rusku crnomorsku blokadu i izvozi raznoliku robu na globalna tržišta preko susjednih država članica EU-a i </w:t>
      </w:r>
      <w:proofErr w:type="spellStart"/>
      <w:r w:rsidRPr="00121A2C">
        <w:t>Moldove</w:t>
      </w:r>
      <w:proofErr w:type="spellEnd"/>
      <w:r w:rsidRPr="00121A2C">
        <w:t xml:space="preserve">; pohvaljuje činjenicu da je Ukrajina, unatoč ratnim zločinima i znatnom padu proizvodnje žitarica, imala ključnu ulogu u sprečavanju globalne krize opskrbe hranom jer je u okviru humanitarnog programa za hranu „Žitarice iz Ukrajine”, koji je 2022. pokrenuo predsjednik </w:t>
      </w:r>
      <w:proofErr w:type="spellStart"/>
      <w:r w:rsidRPr="00121A2C">
        <w:t>Zelenskij</w:t>
      </w:r>
      <w:proofErr w:type="spellEnd"/>
      <w:r w:rsidRPr="00121A2C">
        <w:t>, zemljama u najgorim krizama povezanima s hranom, dobavljeno više od 170 000 tona pšenice, prije svega afričkim zemljama; napominje da je velika većina ukrajinskog izvoza žitarica namijenjena zemljama u razvoju;</w:t>
      </w:r>
    </w:p>
    <w:p w14:paraId="2ED317FA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81.</w:t>
      </w:r>
      <w:r w:rsidRPr="00121A2C">
        <w:tab/>
        <w:t xml:space="preserve">prima na znanje napredak integracije Ukrajine u inicijative EU-a u području prometa i digitalne </w:t>
      </w:r>
      <w:proofErr w:type="spellStart"/>
      <w:r w:rsidRPr="00121A2C">
        <w:t>povezivosti</w:t>
      </w:r>
      <w:proofErr w:type="spellEnd"/>
      <w:r w:rsidRPr="00121A2C">
        <w:t xml:space="preserve"> te ističe važnost usklađivanja s pravnom stečevinom EU-a u tim područjima; posebno pozdravlja korake poduzete kako bi se Ukrajina uključila u područje slobodnog roaminga EU-a i ukinule naknade za mobilni roaming između Ukrajine i EU-a za građane i poduzeća;</w:t>
      </w:r>
    </w:p>
    <w:p w14:paraId="734BA942" w14:textId="77777777" w:rsidR="00121A2C" w:rsidRPr="00121A2C" w:rsidRDefault="00121A2C" w:rsidP="00121A2C">
      <w:pPr>
        <w:spacing w:after="240"/>
        <w:ind w:left="567" w:hanging="567"/>
      </w:pPr>
      <w:r w:rsidRPr="00121A2C">
        <w:t>82.</w:t>
      </w:r>
      <w:r w:rsidRPr="00121A2C">
        <w:tab/>
        <w:t xml:space="preserve">naglašava važnost jačanja </w:t>
      </w:r>
      <w:proofErr w:type="spellStart"/>
      <w:r w:rsidRPr="00121A2C">
        <w:t>povezivosti</w:t>
      </w:r>
      <w:proofErr w:type="spellEnd"/>
      <w:r w:rsidRPr="00121A2C">
        <w:t xml:space="preserve">, interoperabilnosti i kapaciteta digitalnih i informatičkih sustava između EU-a i Ukrajine u skladu sa Sporazumom o pridruživanju; poziva na kontinuirane napore za usklađivanje digitalnih politika, proširenje suradnje u području kibernetičke sigurnosti i osiguravanje otporne i sigurne digitalne infrastrukture; u tom pogledu pozdravlja sklapanje radnog dogovora u prosincu 2023. između Agencije Europske unije za </w:t>
      </w:r>
      <w:proofErr w:type="spellStart"/>
      <w:r w:rsidRPr="00121A2C">
        <w:t>kibersigurnost</w:t>
      </w:r>
      <w:proofErr w:type="spellEnd"/>
      <w:r w:rsidRPr="00121A2C">
        <w:t xml:space="preserve"> i ukrajinskih tijela nadležnih za kibernetičku sigurnost;</w:t>
      </w:r>
    </w:p>
    <w:p w14:paraId="38A94835" w14:textId="77777777" w:rsidR="00121A2C" w:rsidRPr="00121A2C" w:rsidRDefault="00121A2C" w:rsidP="00121A2C">
      <w:pPr>
        <w:spacing w:before="360" w:after="240"/>
        <w:ind w:left="567" w:hanging="567"/>
        <w:rPr>
          <w:b/>
          <w:bCs/>
          <w:i/>
          <w:iCs/>
        </w:rPr>
      </w:pPr>
      <w:r w:rsidRPr="00121A2C">
        <w:rPr>
          <w:b/>
          <w:i/>
        </w:rPr>
        <w:t>O pregovorima o pristupanju</w:t>
      </w:r>
    </w:p>
    <w:p w14:paraId="5143DD37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83.</w:t>
      </w:r>
      <w:r w:rsidRPr="00121A2C">
        <w:tab/>
        <w:t>podsjeća na odluku Europskog vijeća od 14. i 15. prosinca 2023. o otvaranju pristupnih pregovora s Ukrajinom, što je povijesna prekretnica na putu Ukrajine prema članstvu u EU-u; pohvaljuje brzo sazivanje prve međuvladine konferencije o pristupanju između EU-a i Ukrajine 25. lipnja 2024., na kojoj je službeno pokrenut pregovarački proces i pozdravlja procjenu povjerenika Kosa da bi sve provjere mogle biti dovršene do jeseni 2025.;</w:t>
      </w:r>
    </w:p>
    <w:p w14:paraId="338A5728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  <w:snapToGrid w:val="0"/>
          <w:lang w:eastAsia="en-US"/>
        </w:rPr>
      </w:pPr>
      <w:r w:rsidRPr="00121A2C">
        <w:rPr>
          <w:snapToGrid w:val="0"/>
          <w:lang w:eastAsia="en-US"/>
        </w:rPr>
        <w:t>84.</w:t>
      </w:r>
      <w:r w:rsidRPr="00121A2C">
        <w:rPr>
          <w:snapToGrid w:val="0"/>
          <w:lang w:eastAsia="en-US"/>
        </w:rPr>
        <w:tab/>
        <w:t>prepoznaje znatne reforme i predanost Ukrajine te stoga preporučuje Komisiji da brzo otvori skupine pregovaračkih poglavlja s Ukrajinom kako bi se što brže napredovalo u pogledu zahtjeva te zemlje za članstvo u EU-u, uz uvjet kontinuiranog usvajanja pravne stečevine EU-a i dovršetak reformi koje je poduzela; ističe da bi pristupni pregovori trebali slijediti jasan i transparentan put, vođen objektivnim i mjerljivim kriterijima; naglašava da oni moraju uključivati temeljite reforme u svim temeljnim područjima i funkcioniranje stabilnih institucija koje podržavaju demokraciju, vladavinu prava, ljudska prava, a posebno poštovanje i zaštitu manjina; ističe preporuke Komisije za sljedeću godinu;</w:t>
      </w:r>
    </w:p>
    <w:p w14:paraId="5D3E5AA4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85.</w:t>
      </w:r>
      <w:r w:rsidRPr="00121A2C">
        <w:tab/>
        <w:t xml:space="preserve">poziva mađarsku vladu i države članice da djeluju u dobroj vjeri pri rješavanju svih pitanja sličnih onima povezanima s ukrajinskim zakonom o nacionalnim manjinama te </w:t>
      </w:r>
      <w:r w:rsidRPr="00121A2C">
        <w:lastRenderedPageBreak/>
        <w:t xml:space="preserve">da se suzdrže od upotrebe takvih pitanja kao razloga za blokiranje pristupanja Ukrajine EU-u; stoga poziva mađarsku vladu da više ne blokira početak prvih skupina pregovora i da Ukrajini i njezinoj susjednoj </w:t>
      </w:r>
      <w:proofErr w:type="spellStart"/>
      <w:r w:rsidRPr="00121A2C">
        <w:t>Moldovi</w:t>
      </w:r>
      <w:proofErr w:type="spellEnd"/>
      <w:r w:rsidRPr="00121A2C">
        <w:t xml:space="preserve"> omogući da nastave zajednički napredovati na putu prema članstvu u EU-u;</w:t>
      </w:r>
    </w:p>
    <w:p w14:paraId="3C283FDD" w14:textId="77777777" w:rsidR="00121A2C" w:rsidRPr="00121A2C" w:rsidRDefault="00121A2C" w:rsidP="00121A2C">
      <w:pPr>
        <w:widowControl/>
        <w:tabs>
          <w:tab w:val="left" w:pos="1560"/>
        </w:tabs>
        <w:spacing w:after="240"/>
        <w:ind w:left="567" w:hanging="567"/>
        <w:rPr>
          <w:b/>
          <w:bCs/>
          <w:i/>
          <w:iCs/>
        </w:rPr>
      </w:pPr>
      <w:r w:rsidRPr="00121A2C">
        <w:t>86.</w:t>
      </w:r>
      <w:r w:rsidRPr="00121A2C">
        <w:tab/>
        <w:t xml:space="preserve">podsjeća da se proces proširenja ne smije </w:t>
      </w:r>
      <w:proofErr w:type="spellStart"/>
      <w:r w:rsidRPr="00121A2C">
        <w:t>instrumentalizirati</w:t>
      </w:r>
      <w:proofErr w:type="spellEnd"/>
      <w:r w:rsidRPr="00121A2C">
        <w:t xml:space="preserve"> za rješavanje bilateralnih sporova ili odgađanje pristupa koji se temelji na zaslugama te da bi takva pitanja trebalo riješiti neovisno o pristupnom putu i konstruktivnim dijalogom i istinskom suradnjom; podsjeća da bi prekomjerna kašnjenja na putu prema punopravnom članstvu u EU-u mogla ugroziti i javnu potporu i političku odlučnost u toj zemlji kandidatkinji;</w:t>
      </w:r>
    </w:p>
    <w:p w14:paraId="6F26C58B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87.</w:t>
      </w:r>
      <w:r w:rsidRPr="00121A2C">
        <w:tab/>
        <w:t xml:space="preserve">poziva, u okviru priprema za pregovore, na kontinuiranu potporu EU-a, posebno u obliku stručne pomoći kako bi se uklonili svi administrativni nedostaci koji proizlaze iz aktualne agresije na Ukrajinu; nadalje, potiče EU da pruži tehničku pomoć kako bi se Ukrajini pomoglo da učinkovito ispuni sve zahtjeve za pristupanje; žali zbog odluke vlade SAD-a da povuče sredstva iz Agencije za međunarodni razvoj (USAID), što je već izravno utjecalo na potporu Ukrajini za ključne procese reformi, uključujući one povezane s vladavinom prava, borbom protiv korupcije, upravljanjem javnim financijama, gospodarskim razvojem, energetskom sigurnošću i pružanjem humanitarne pomoći; pozdravlja napore Komisije i međunarodnih partnera u rješavanju najhitnijih nedostataka koji su nastali zbog tog povlačenja sredstava; </w:t>
      </w:r>
    </w:p>
    <w:p w14:paraId="3D75518B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88.</w:t>
      </w:r>
      <w:r w:rsidRPr="00121A2C">
        <w:tab/>
        <w:t>naglašava, prije pristupanja Ukrajine EU-u, potrebu za povećanom potporom EU-a kako bi se ubrzala integracija Ukrajine ciljanim programima financijske i tehničke pomoći te naglašava da bi i Ukrajina i EU imali koristi od postupne integracije te zemlje u politike i programe EU-a, uz službene pristupne pregovore;</w:t>
      </w:r>
    </w:p>
    <w:p w14:paraId="58C618A3" w14:textId="77777777" w:rsidR="00121A2C" w:rsidRPr="00121A2C" w:rsidRDefault="00121A2C" w:rsidP="00121A2C">
      <w:pPr>
        <w:widowControl/>
        <w:spacing w:after="240"/>
        <w:ind w:left="567" w:hanging="567"/>
        <w:rPr>
          <w:bCs/>
          <w:iCs/>
        </w:rPr>
      </w:pPr>
      <w:r w:rsidRPr="00121A2C">
        <w:t>89.</w:t>
      </w:r>
      <w:r w:rsidRPr="00121A2C">
        <w:tab/>
        <w:t>napominje da složenost integracije Ukrajine u EU zbog njezine veličine i aktualnog rata predstavlja izazove u ključnim područjima kao što je poljoprivreda te zahtijeva znatne institucionalne i financijske reforme unutar EU-a kako bi se osigurao kapacitet za apsorpciju Ukrajine; stoga poziva EU i njegove države članice da proaktivno rješavaju te izazove, građanima EU-a jasno priopće prednosti integracije Ukrajine, pronađu održiva i pravedna rješenja za osjetljive sektore i provedu potrebne unutarnje reforme usporedno s tekućim pristupnim pregovorima; poziva Komisiju da podrži sektore koji su najizloženiji učincima liberalizacije trgovine u kontekstu pristupanja Ukrajine; istodobno napominje, na temelju iskustva iz prethodnih krugova proširenja, da će možda postojati potreba za prijelaznim razdobljima u određenim sektorima u kojima se potpuna pravna stečevina još ne primjenjuje kako bi se trenutnim državama članicama omogućila prilagodba; ponovno poziva države članice da pokažu jasnu i nedvosmislenu političku predanost procesu proširenja i ne zloupotrebljavaju ga za rješavanje bilateralnih sporova, koji bi se trebali rješavati neovisno o procesu pristupanja;</w:t>
      </w:r>
    </w:p>
    <w:p w14:paraId="42AC0892" w14:textId="77777777" w:rsidR="00121A2C" w:rsidRPr="00121A2C" w:rsidRDefault="00121A2C" w:rsidP="00121A2C">
      <w:pPr>
        <w:widowControl/>
        <w:spacing w:after="240"/>
        <w:ind w:left="567" w:hanging="567"/>
      </w:pPr>
      <w:r w:rsidRPr="00121A2C">
        <w:t>90.</w:t>
      </w:r>
      <w:r w:rsidRPr="00121A2C">
        <w:tab/>
        <w:t>ponovno poziva na povećanje kapaciteta EU-a za djelovanje, i to reformom procesa donošenja odluka EU-a, među ostalim uvođenjem glasovanja kvalificiranom većinom o međukoracima u procesu pristupanja u Vijeću, posebno o početku pregovora te otvaranju i zatvaranju pojedinačnih pregovaračkih skupina i poglavlja;</w:t>
      </w:r>
    </w:p>
    <w:p w14:paraId="5CD19D55" w14:textId="77777777" w:rsidR="00121A2C" w:rsidRPr="00121A2C" w:rsidRDefault="00121A2C" w:rsidP="00121A2C">
      <w:pPr>
        <w:ind w:left="567" w:hanging="567"/>
      </w:pPr>
    </w:p>
    <w:p w14:paraId="708DACFA" w14:textId="77777777" w:rsidR="00121A2C" w:rsidRPr="00121A2C" w:rsidRDefault="00121A2C" w:rsidP="00121A2C">
      <w:pPr>
        <w:spacing w:after="240"/>
        <w:jc w:val="center"/>
      </w:pPr>
      <w:r w:rsidRPr="00121A2C">
        <w:t>°</w:t>
      </w:r>
    </w:p>
    <w:p w14:paraId="0631F0A1" w14:textId="77777777" w:rsidR="00121A2C" w:rsidRPr="00121A2C" w:rsidRDefault="00121A2C" w:rsidP="00121A2C">
      <w:pPr>
        <w:spacing w:after="240"/>
        <w:jc w:val="center"/>
      </w:pPr>
      <w:r w:rsidRPr="00121A2C">
        <w:t>°</w:t>
      </w:r>
      <w:r w:rsidRPr="00121A2C">
        <w:tab/>
        <w:t>°</w:t>
      </w:r>
    </w:p>
    <w:p w14:paraId="44E90311" w14:textId="77777777" w:rsidR="00121A2C" w:rsidRPr="00121A2C" w:rsidRDefault="00121A2C" w:rsidP="00121A2C">
      <w:pPr>
        <w:widowControl/>
        <w:spacing w:after="240"/>
        <w:ind w:left="567" w:hanging="567"/>
        <w:rPr>
          <w:snapToGrid w:val="0"/>
          <w:lang w:eastAsia="en-US"/>
        </w:rPr>
      </w:pPr>
      <w:r w:rsidRPr="00121A2C">
        <w:rPr>
          <w:snapToGrid w:val="0"/>
          <w:lang w:eastAsia="en-US"/>
        </w:rPr>
        <w:lastRenderedPageBreak/>
        <w:t>91.</w:t>
      </w:r>
      <w:r w:rsidRPr="00121A2C">
        <w:rPr>
          <w:snapToGrid w:val="0"/>
          <w:lang w:eastAsia="en-US"/>
        </w:rPr>
        <w:tab/>
        <w:t>nalaže svojoj predsjednici da ovu Rezoluciju proslijedi predsjedniku, vladi i parlamentu Ukrajine, vladama i parlamentima država članica, Vijeću i Komisiji.</w:t>
      </w:r>
    </w:p>
    <w:p w14:paraId="04637296" w14:textId="628B1CAA" w:rsidR="00E365E1" w:rsidRPr="00282E2E" w:rsidRDefault="00E365E1" w:rsidP="00671BBE">
      <w:bookmarkStart w:id="7" w:name="_Hlk204186408"/>
      <w:bookmarkEnd w:id="7"/>
    </w:p>
    <w:sectPr w:rsidR="00E365E1" w:rsidRPr="00282E2E" w:rsidSect="00950C5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00C29" w14:textId="77777777" w:rsidR="00671BBE" w:rsidRPr="00950C5C" w:rsidRDefault="00671BBE">
      <w:r w:rsidRPr="00950C5C">
        <w:separator/>
      </w:r>
    </w:p>
  </w:endnote>
  <w:endnote w:type="continuationSeparator" w:id="0">
    <w:p w14:paraId="01470F54" w14:textId="77777777" w:rsidR="00671BBE" w:rsidRPr="00950C5C" w:rsidRDefault="00671BBE">
      <w:r w:rsidRPr="00950C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D4B8" w14:textId="77777777" w:rsidR="00671BBE" w:rsidRPr="00950C5C" w:rsidRDefault="00671BBE">
      <w:r w:rsidRPr="00950C5C">
        <w:separator/>
      </w:r>
    </w:p>
  </w:footnote>
  <w:footnote w:type="continuationSeparator" w:id="0">
    <w:p w14:paraId="0F18DF67" w14:textId="77777777" w:rsidR="00671BBE" w:rsidRPr="00950C5C" w:rsidRDefault="00671BBE">
      <w:r w:rsidRPr="00950C5C">
        <w:continuationSeparator/>
      </w:r>
    </w:p>
  </w:footnote>
  <w:footnote w:id="1">
    <w:p w14:paraId="3A276DF4" w14:textId="77777777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  <w:t xml:space="preserve">SL L, 2024/792, 29.2.2024., ELI: </w:t>
      </w:r>
      <w:hyperlink r:id="rId1" w:history="1">
        <w:r w:rsidRPr="00121A2C">
          <w:rPr>
            <w:rStyle w:val="Hyperlink"/>
            <w:sz w:val="24"/>
            <w:lang w:val="fi-FI"/>
          </w:rPr>
          <w:t>http://data.europa.eu/eli/reg/2024/792/oj</w:t>
        </w:r>
      </w:hyperlink>
      <w:r w:rsidRPr="00121A2C">
        <w:rPr>
          <w:sz w:val="24"/>
          <w:lang w:val="fi-FI"/>
        </w:rPr>
        <w:t>.</w:t>
      </w:r>
    </w:p>
  </w:footnote>
  <w:footnote w:id="2">
    <w:p w14:paraId="15B20E1F" w14:textId="77777777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  <w:t xml:space="preserve">SL C, C/2025/3151, 20.6.2025., ELI: </w:t>
      </w:r>
      <w:hyperlink r:id="rId2" w:history="1">
        <w:r w:rsidRPr="00121A2C">
          <w:rPr>
            <w:rStyle w:val="Hyperlink"/>
            <w:sz w:val="24"/>
            <w:lang w:val="fi-FI"/>
          </w:rPr>
          <w:t>http://data.europa.eu/eli/C/2025/3151/oj</w:t>
        </w:r>
      </w:hyperlink>
      <w:r w:rsidRPr="00121A2C">
        <w:rPr>
          <w:sz w:val="24"/>
          <w:lang w:val="fi-FI"/>
        </w:rPr>
        <w:t>.</w:t>
      </w:r>
    </w:p>
  </w:footnote>
  <w:footnote w:id="3">
    <w:p w14:paraId="6AD484FD" w14:textId="77777777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</w:r>
      <w:proofErr w:type="spellStart"/>
      <w:r w:rsidRPr="00121A2C">
        <w:rPr>
          <w:sz w:val="24"/>
          <w:lang w:val="fi-FI"/>
        </w:rPr>
        <w:t>Direktiva</w:t>
      </w:r>
      <w:proofErr w:type="spellEnd"/>
      <w:r w:rsidRPr="00121A2C">
        <w:rPr>
          <w:sz w:val="24"/>
          <w:lang w:val="fi-FI"/>
        </w:rPr>
        <w:t xml:space="preserve"> (EU) 2024/1712 </w:t>
      </w:r>
      <w:proofErr w:type="spellStart"/>
      <w:r w:rsidRPr="00121A2C">
        <w:rPr>
          <w:sz w:val="24"/>
          <w:lang w:val="fi-FI"/>
        </w:rPr>
        <w:t>Europskog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parlamenta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Vijeća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13. </w:t>
      </w:r>
      <w:proofErr w:type="spellStart"/>
      <w:r w:rsidRPr="00121A2C">
        <w:rPr>
          <w:sz w:val="24"/>
          <w:lang w:val="fi-FI"/>
        </w:rPr>
        <w:t>lipnja</w:t>
      </w:r>
      <w:proofErr w:type="spellEnd"/>
      <w:r w:rsidRPr="00121A2C">
        <w:rPr>
          <w:sz w:val="24"/>
          <w:lang w:val="fi-FI"/>
        </w:rPr>
        <w:t xml:space="preserve"> 2024. o </w:t>
      </w:r>
      <w:proofErr w:type="spellStart"/>
      <w:r w:rsidRPr="00121A2C">
        <w:rPr>
          <w:sz w:val="24"/>
          <w:lang w:val="fi-FI"/>
        </w:rPr>
        <w:t>izmjeni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Direktive</w:t>
      </w:r>
      <w:proofErr w:type="spellEnd"/>
      <w:r w:rsidRPr="00121A2C">
        <w:rPr>
          <w:sz w:val="24"/>
          <w:lang w:val="fi-FI"/>
        </w:rPr>
        <w:t xml:space="preserve"> 2011/36/EU o </w:t>
      </w:r>
      <w:proofErr w:type="spellStart"/>
      <w:r w:rsidRPr="00121A2C">
        <w:rPr>
          <w:sz w:val="24"/>
          <w:lang w:val="fi-FI"/>
        </w:rPr>
        <w:t>sprečavanju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suzbijanju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trgovanja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ljudima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zaštiti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njegovih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žrtava</w:t>
      </w:r>
      <w:proofErr w:type="spellEnd"/>
      <w:r w:rsidRPr="00121A2C">
        <w:rPr>
          <w:sz w:val="24"/>
          <w:lang w:val="fi-FI"/>
        </w:rPr>
        <w:t xml:space="preserve"> (SL L, 2024/1712, 24.6.2024., ELI: </w:t>
      </w:r>
      <w:hyperlink r:id="rId3" w:history="1">
        <w:r w:rsidRPr="00121A2C">
          <w:rPr>
            <w:rStyle w:val="Hyperlink"/>
            <w:sz w:val="24"/>
            <w:lang w:val="fi-FI"/>
          </w:rPr>
          <w:t>http://data.europa.eu/eli/dir/2024/1712/oj</w:t>
        </w:r>
      </w:hyperlink>
      <w:r w:rsidRPr="00121A2C">
        <w:rPr>
          <w:sz w:val="24"/>
          <w:lang w:val="fi-FI"/>
        </w:rPr>
        <w:t>).</w:t>
      </w:r>
    </w:p>
  </w:footnote>
  <w:footnote w:id="4">
    <w:p w14:paraId="75FED3EB" w14:textId="77777777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</w:r>
      <w:proofErr w:type="spellStart"/>
      <w:r w:rsidRPr="00121A2C">
        <w:rPr>
          <w:sz w:val="24"/>
          <w:lang w:val="fi-FI"/>
        </w:rPr>
        <w:t>Zajednička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komunikacija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Komisije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Visoke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predstavnice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Unije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za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vanjske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poslove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sigurnosnu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politiku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28. </w:t>
      </w:r>
      <w:proofErr w:type="spellStart"/>
      <w:r w:rsidRPr="00121A2C">
        <w:rPr>
          <w:sz w:val="24"/>
          <w:lang w:val="fi-FI"/>
        </w:rPr>
        <w:t>svibnja</w:t>
      </w:r>
      <w:proofErr w:type="spellEnd"/>
      <w:r w:rsidRPr="00121A2C">
        <w:rPr>
          <w:sz w:val="24"/>
          <w:lang w:val="fi-FI"/>
        </w:rPr>
        <w:t xml:space="preserve"> 2025. </w:t>
      </w:r>
      <w:proofErr w:type="spellStart"/>
      <w:r w:rsidRPr="00121A2C">
        <w:rPr>
          <w:sz w:val="24"/>
          <w:lang w:val="fi-FI"/>
        </w:rPr>
        <w:t>naslovljena</w:t>
      </w:r>
      <w:proofErr w:type="spellEnd"/>
      <w:r w:rsidRPr="00121A2C">
        <w:rPr>
          <w:sz w:val="24"/>
          <w:lang w:val="fi-FI"/>
        </w:rPr>
        <w:t xml:space="preserve"> „</w:t>
      </w:r>
      <w:proofErr w:type="spellStart"/>
      <w:r w:rsidRPr="00121A2C">
        <w:rPr>
          <w:sz w:val="24"/>
          <w:lang w:val="fi-FI"/>
        </w:rPr>
        <w:t>Strateški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pristup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Europske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unije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crnomorskoj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regiji</w:t>
      </w:r>
      <w:proofErr w:type="spellEnd"/>
      <w:r w:rsidRPr="00121A2C">
        <w:rPr>
          <w:sz w:val="24"/>
          <w:lang w:val="fi-FI"/>
        </w:rPr>
        <w:t>” (</w:t>
      </w:r>
      <w:proofErr w:type="gramStart"/>
      <w:r w:rsidRPr="00121A2C">
        <w:rPr>
          <w:sz w:val="24"/>
          <w:lang w:val="fi-FI"/>
        </w:rPr>
        <w:t>JOIN(</w:t>
      </w:r>
      <w:proofErr w:type="gramEnd"/>
      <w:r w:rsidRPr="00121A2C">
        <w:rPr>
          <w:sz w:val="24"/>
          <w:lang w:val="fi-FI"/>
        </w:rPr>
        <w:t>2025)0135).</w:t>
      </w:r>
    </w:p>
  </w:footnote>
  <w:footnote w:id="5">
    <w:p w14:paraId="4C14E1DF" w14:textId="77777777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</w:r>
      <w:proofErr w:type="spellStart"/>
      <w:r w:rsidRPr="00121A2C">
        <w:rPr>
          <w:sz w:val="24"/>
          <w:lang w:val="fi-FI"/>
        </w:rPr>
        <w:t>Direktiva</w:t>
      </w:r>
      <w:proofErr w:type="spellEnd"/>
      <w:r w:rsidRPr="00121A2C">
        <w:rPr>
          <w:sz w:val="24"/>
          <w:lang w:val="fi-FI"/>
        </w:rPr>
        <w:t xml:space="preserve"> 2000/60/EZ </w:t>
      </w:r>
      <w:proofErr w:type="spellStart"/>
      <w:r w:rsidRPr="00121A2C">
        <w:rPr>
          <w:sz w:val="24"/>
          <w:lang w:val="fi-FI"/>
        </w:rPr>
        <w:t>Europskog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parlamenta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Vijeća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23. </w:t>
      </w:r>
      <w:proofErr w:type="spellStart"/>
      <w:r w:rsidRPr="00121A2C">
        <w:rPr>
          <w:sz w:val="24"/>
          <w:lang w:val="fi-FI"/>
        </w:rPr>
        <w:t>listopada</w:t>
      </w:r>
      <w:proofErr w:type="spellEnd"/>
      <w:r w:rsidRPr="00121A2C">
        <w:rPr>
          <w:sz w:val="24"/>
          <w:lang w:val="fi-FI"/>
        </w:rPr>
        <w:t xml:space="preserve"> 2000. o </w:t>
      </w:r>
      <w:proofErr w:type="spellStart"/>
      <w:r w:rsidRPr="00121A2C">
        <w:rPr>
          <w:sz w:val="24"/>
          <w:lang w:val="fi-FI"/>
        </w:rPr>
        <w:t>uspostavi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okvira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za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djelovanje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Zajednice</w:t>
      </w:r>
      <w:proofErr w:type="spellEnd"/>
      <w:r w:rsidRPr="00121A2C">
        <w:rPr>
          <w:sz w:val="24"/>
          <w:lang w:val="fi-FI"/>
        </w:rPr>
        <w:t xml:space="preserve"> u </w:t>
      </w:r>
      <w:proofErr w:type="spellStart"/>
      <w:r w:rsidRPr="00121A2C">
        <w:rPr>
          <w:sz w:val="24"/>
          <w:lang w:val="fi-FI"/>
        </w:rPr>
        <w:t>području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vodne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politike</w:t>
      </w:r>
      <w:proofErr w:type="spellEnd"/>
      <w:r w:rsidRPr="00121A2C">
        <w:rPr>
          <w:sz w:val="24"/>
          <w:lang w:val="fi-FI"/>
        </w:rPr>
        <w:t xml:space="preserve"> (SL L 327, 22.12.2000., </w:t>
      </w:r>
      <w:proofErr w:type="spellStart"/>
      <w:r w:rsidRPr="00121A2C">
        <w:rPr>
          <w:sz w:val="24"/>
          <w:lang w:val="fi-FI"/>
        </w:rPr>
        <w:t>str</w:t>
      </w:r>
      <w:proofErr w:type="spellEnd"/>
      <w:r w:rsidRPr="00121A2C">
        <w:rPr>
          <w:sz w:val="24"/>
          <w:lang w:val="fi-FI"/>
        </w:rPr>
        <w:t xml:space="preserve">. 1., ELI: </w:t>
      </w:r>
      <w:hyperlink r:id="rId4" w:history="1">
        <w:r w:rsidRPr="00121A2C">
          <w:rPr>
            <w:rStyle w:val="Hyperlink"/>
            <w:sz w:val="24"/>
            <w:lang w:val="fi-FI"/>
          </w:rPr>
          <w:t>http://data.europa.eu/eli/dir/2000/60/oj</w:t>
        </w:r>
      </w:hyperlink>
      <w:r w:rsidRPr="00121A2C">
        <w:rPr>
          <w:sz w:val="24"/>
          <w:lang w:val="fi-FI"/>
        </w:rPr>
        <w:t>).</w:t>
      </w:r>
    </w:p>
  </w:footnote>
  <w:footnote w:id="6">
    <w:p w14:paraId="5829F975" w14:textId="77777777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</w:r>
      <w:proofErr w:type="spellStart"/>
      <w:r w:rsidRPr="00121A2C">
        <w:rPr>
          <w:sz w:val="24"/>
          <w:lang w:val="fi-FI"/>
        </w:rPr>
        <w:t>Direktiva</w:t>
      </w:r>
      <w:proofErr w:type="spellEnd"/>
      <w:r w:rsidRPr="00121A2C">
        <w:rPr>
          <w:sz w:val="24"/>
          <w:lang w:val="fi-FI"/>
        </w:rPr>
        <w:t xml:space="preserve"> 2006/21/EZ </w:t>
      </w:r>
      <w:proofErr w:type="spellStart"/>
      <w:r w:rsidRPr="00121A2C">
        <w:rPr>
          <w:sz w:val="24"/>
          <w:lang w:val="fi-FI"/>
        </w:rPr>
        <w:t>Europskog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parlamenta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Vijeća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15. </w:t>
      </w:r>
      <w:proofErr w:type="spellStart"/>
      <w:r w:rsidRPr="00121A2C">
        <w:rPr>
          <w:sz w:val="24"/>
          <w:lang w:val="fi-FI"/>
        </w:rPr>
        <w:t>ožujka</w:t>
      </w:r>
      <w:proofErr w:type="spellEnd"/>
      <w:r w:rsidRPr="00121A2C">
        <w:rPr>
          <w:sz w:val="24"/>
          <w:lang w:val="fi-FI"/>
        </w:rPr>
        <w:t xml:space="preserve"> 2006. o </w:t>
      </w:r>
      <w:proofErr w:type="spellStart"/>
      <w:r w:rsidRPr="00121A2C">
        <w:rPr>
          <w:sz w:val="24"/>
          <w:lang w:val="fi-FI"/>
        </w:rPr>
        <w:t>gospodarenju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otpadom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industrija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vađenja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minerala</w:t>
      </w:r>
      <w:proofErr w:type="spellEnd"/>
      <w:r w:rsidRPr="00121A2C">
        <w:rPr>
          <w:sz w:val="24"/>
          <w:lang w:val="fi-FI"/>
        </w:rPr>
        <w:t xml:space="preserve"> i o </w:t>
      </w:r>
      <w:proofErr w:type="spellStart"/>
      <w:r w:rsidRPr="00121A2C">
        <w:rPr>
          <w:sz w:val="24"/>
          <w:lang w:val="fi-FI"/>
        </w:rPr>
        <w:t>izmjeni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Direktive</w:t>
      </w:r>
      <w:proofErr w:type="spellEnd"/>
      <w:r w:rsidRPr="00121A2C">
        <w:rPr>
          <w:sz w:val="24"/>
          <w:lang w:val="fi-FI"/>
        </w:rPr>
        <w:t xml:space="preserve"> 2004/35/EZ (SL L 102, 11.4.2006., </w:t>
      </w:r>
      <w:proofErr w:type="spellStart"/>
      <w:r w:rsidRPr="00121A2C">
        <w:rPr>
          <w:sz w:val="24"/>
          <w:lang w:val="fi-FI"/>
        </w:rPr>
        <w:t>str</w:t>
      </w:r>
      <w:proofErr w:type="spellEnd"/>
      <w:r w:rsidRPr="00121A2C">
        <w:rPr>
          <w:sz w:val="24"/>
          <w:lang w:val="fi-FI"/>
        </w:rPr>
        <w:t xml:space="preserve">. 15., ELI: </w:t>
      </w:r>
      <w:hyperlink r:id="rId5" w:history="1">
        <w:r w:rsidRPr="00121A2C">
          <w:rPr>
            <w:rStyle w:val="Hyperlink"/>
            <w:sz w:val="24"/>
            <w:lang w:val="fi-FI"/>
          </w:rPr>
          <w:t>http://data.europa.eu/eli/dir/2006/21/oj</w:t>
        </w:r>
      </w:hyperlink>
      <w:r w:rsidRPr="00121A2C">
        <w:rPr>
          <w:sz w:val="24"/>
          <w:lang w:val="fi-FI"/>
        </w:rPr>
        <w:t>).</w:t>
      </w:r>
    </w:p>
  </w:footnote>
  <w:footnote w:id="7">
    <w:p w14:paraId="5D53E85A" w14:textId="406EBB51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</w:r>
      <w:proofErr w:type="spellStart"/>
      <w:r w:rsidRPr="00121A2C">
        <w:rPr>
          <w:sz w:val="24"/>
          <w:lang w:val="fi-FI"/>
        </w:rPr>
        <w:t>Uredba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Vijeća</w:t>
      </w:r>
      <w:proofErr w:type="spellEnd"/>
      <w:r w:rsidRPr="00121A2C">
        <w:rPr>
          <w:sz w:val="24"/>
          <w:lang w:val="fi-FI"/>
        </w:rPr>
        <w:t xml:space="preserve"> (EZ) br. 1/2005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22. </w:t>
      </w:r>
      <w:proofErr w:type="spellStart"/>
      <w:r w:rsidRPr="00121A2C">
        <w:rPr>
          <w:sz w:val="24"/>
          <w:lang w:val="fi-FI"/>
        </w:rPr>
        <w:t>prosinca</w:t>
      </w:r>
      <w:proofErr w:type="spellEnd"/>
      <w:r w:rsidRPr="00121A2C">
        <w:rPr>
          <w:sz w:val="24"/>
          <w:lang w:val="fi-FI"/>
        </w:rPr>
        <w:t xml:space="preserve"> 2004. o </w:t>
      </w:r>
      <w:proofErr w:type="spellStart"/>
      <w:r w:rsidRPr="00121A2C">
        <w:rPr>
          <w:sz w:val="24"/>
          <w:lang w:val="fi-FI"/>
        </w:rPr>
        <w:t>zaštiti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životinja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tijekom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prijevoza</w:t>
      </w:r>
      <w:proofErr w:type="spellEnd"/>
      <w:r w:rsidRPr="00121A2C">
        <w:rPr>
          <w:sz w:val="24"/>
          <w:lang w:val="fi-FI"/>
        </w:rPr>
        <w:t xml:space="preserve"> i s </w:t>
      </w:r>
      <w:proofErr w:type="spellStart"/>
      <w:r w:rsidRPr="00121A2C">
        <w:rPr>
          <w:sz w:val="24"/>
          <w:lang w:val="fi-FI"/>
        </w:rPr>
        <w:t>prijevozom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povezanih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postupaka</w:t>
      </w:r>
      <w:proofErr w:type="spellEnd"/>
      <w:r w:rsidRPr="00121A2C">
        <w:rPr>
          <w:sz w:val="24"/>
          <w:lang w:val="fi-FI"/>
        </w:rPr>
        <w:t xml:space="preserve"> i o </w:t>
      </w:r>
      <w:proofErr w:type="spellStart"/>
      <w:r w:rsidRPr="00121A2C">
        <w:rPr>
          <w:sz w:val="24"/>
          <w:lang w:val="fi-FI"/>
        </w:rPr>
        <w:t>izmjeni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direktiva</w:t>
      </w:r>
      <w:proofErr w:type="spellEnd"/>
      <w:r w:rsidRPr="00121A2C">
        <w:rPr>
          <w:sz w:val="24"/>
          <w:lang w:val="fi-FI"/>
        </w:rPr>
        <w:t xml:space="preserve"> 64/432/EEZ i 93/119/EZ te </w:t>
      </w:r>
      <w:proofErr w:type="spellStart"/>
      <w:r w:rsidRPr="00121A2C">
        <w:rPr>
          <w:sz w:val="24"/>
          <w:lang w:val="fi-FI"/>
        </w:rPr>
        <w:t>Uredbe</w:t>
      </w:r>
      <w:proofErr w:type="spellEnd"/>
      <w:r w:rsidRPr="00121A2C">
        <w:rPr>
          <w:sz w:val="24"/>
          <w:lang w:val="fi-FI"/>
        </w:rPr>
        <w:t xml:space="preserve"> (EZ) br. 1255/97 (SL L 3, 5.1.2005., </w:t>
      </w:r>
      <w:proofErr w:type="spellStart"/>
      <w:r w:rsidRPr="00121A2C">
        <w:rPr>
          <w:sz w:val="24"/>
          <w:lang w:val="fi-FI"/>
        </w:rPr>
        <w:t>str</w:t>
      </w:r>
      <w:proofErr w:type="spellEnd"/>
      <w:r w:rsidRPr="00121A2C">
        <w:rPr>
          <w:sz w:val="24"/>
          <w:lang w:val="fi-FI"/>
        </w:rPr>
        <w:t>.</w:t>
      </w:r>
      <w:r w:rsidR="008B4704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 xml:space="preserve">1., ELI: </w:t>
      </w:r>
      <w:hyperlink r:id="rId6" w:history="1">
        <w:r w:rsidRPr="00121A2C">
          <w:rPr>
            <w:rStyle w:val="Hyperlink"/>
            <w:sz w:val="24"/>
            <w:lang w:val="fi-FI"/>
          </w:rPr>
          <w:t>http://data.europa.eu/eli/reg/2005/1/oj</w:t>
        </w:r>
      </w:hyperlink>
      <w:r w:rsidRPr="00121A2C">
        <w:rPr>
          <w:sz w:val="24"/>
          <w:lang w:val="fi-FI"/>
        </w:rPr>
        <w:t>).</w:t>
      </w:r>
    </w:p>
  </w:footnote>
  <w:footnote w:id="8">
    <w:p w14:paraId="77059F48" w14:textId="7314E00C" w:rsidR="00121A2C" w:rsidRPr="00121A2C" w:rsidRDefault="00121A2C" w:rsidP="00121A2C">
      <w:pPr>
        <w:pStyle w:val="FootnoteText"/>
        <w:ind w:left="567" w:hanging="567"/>
        <w:rPr>
          <w:sz w:val="24"/>
          <w:lang w:val="fi-FI"/>
        </w:rPr>
      </w:pPr>
      <w:r w:rsidRPr="00950C5C">
        <w:rPr>
          <w:rStyle w:val="FootnoteReference"/>
          <w:sz w:val="24"/>
        </w:rPr>
        <w:footnoteRef/>
      </w:r>
      <w:r w:rsidRPr="00121A2C">
        <w:rPr>
          <w:sz w:val="24"/>
          <w:lang w:val="fi-FI"/>
        </w:rPr>
        <w:t xml:space="preserve"> </w:t>
      </w:r>
      <w:r w:rsidRPr="00121A2C">
        <w:rPr>
          <w:sz w:val="24"/>
          <w:lang w:val="fi-FI"/>
        </w:rPr>
        <w:tab/>
      </w:r>
      <w:proofErr w:type="spellStart"/>
      <w:r w:rsidRPr="00121A2C">
        <w:rPr>
          <w:sz w:val="24"/>
          <w:lang w:val="fi-FI"/>
        </w:rPr>
        <w:t>Direktiva</w:t>
      </w:r>
      <w:proofErr w:type="spellEnd"/>
      <w:r w:rsidRPr="00121A2C">
        <w:rPr>
          <w:sz w:val="24"/>
          <w:lang w:val="fi-FI"/>
        </w:rPr>
        <w:t xml:space="preserve"> (EU) 2023/2413 </w:t>
      </w:r>
      <w:proofErr w:type="spellStart"/>
      <w:r w:rsidRPr="00121A2C">
        <w:rPr>
          <w:sz w:val="24"/>
          <w:lang w:val="fi-FI"/>
        </w:rPr>
        <w:t>Europskog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parlamenta</w:t>
      </w:r>
      <w:proofErr w:type="spellEnd"/>
      <w:r w:rsidRPr="00121A2C">
        <w:rPr>
          <w:sz w:val="24"/>
          <w:lang w:val="fi-FI"/>
        </w:rPr>
        <w:t xml:space="preserve"> i </w:t>
      </w:r>
      <w:proofErr w:type="spellStart"/>
      <w:r w:rsidRPr="00121A2C">
        <w:rPr>
          <w:sz w:val="24"/>
          <w:lang w:val="fi-FI"/>
        </w:rPr>
        <w:t>Vijeća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od</w:t>
      </w:r>
      <w:proofErr w:type="spellEnd"/>
      <w:r w:rsidRPr="00121A2C">
        <w:rPr>
          <w:sz w:val="24"/>
          <w:lang w:val="fi-FI"/>
        </w:rPr>
        <w:t xml:space="preserve"> 18. </w:t>
      </w:r>
      <w:proofErr w:type="spellStart"/>
      <w:r w:rsidRPr="00121A2C">
        <w:rPr>
          <w:sz w:val="24"/>
          <w:lang w:val="fi-FI"/>
        </w:rPr>
        <w:t>listopada</w:t>
      </w:r>
      <w:proofErr w:type="spellEnd"/>
      <w:r w:rsidRPr="00121A2C">
        <w:rPr>
          <w:sz w:val="24"/>
          <w:lang w:val="fi-FI"/>
        </w:rPr>
        <w:t xml:space="preserve"> 2023. o </w:t>
      </w:r>
      <w:proofErr w:type="spellStart"/>
      <w:r w:rsidRPr="00121A2C">
        <w:rPr>
          <w:sz w:val="24"/>
          <w:lang w:val="fi-FI"/>
        </w:rPr>
        <w:t>izmjeni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Direktive</w:t>
      </w:r>
      <w:proofErr w:type="spellEnd"/>
      <w:r w:rsidRPr="00121A2C">
        <w:rPr>
          <w:sz w:val="24"/>
          <w:lang w:val="fi-FI"/>
        </w:rPr>
        <w:t xml:space="preserve"> (EU) 2018/2001, </w:t>
      </w:r>
      <w:proofErr w:type="spellStart"/>
      <w:r w:rsidRPr="00121A2C">
        <w:rPr>
          <w:sz w:val="24"/>
          <w:lang w:val="fi-FI"/>
        </w:rPr>
        <w:t>Uredbe</w:t>
      </w:r>
      <w:proofErr w:type="spellEnd"/>
      <w:r w:rsidRPr="00121A2C">
        <w:rPr>
          <w:sz w:val="24"/>
          <w:lang w:val="fi-FI"/>
        </w:rPr>
        <w:t xml:space="preserve"> (EU) 2018/1999 i </w:t>
      </w:r>
      <w:proofErr w:type="spellStart"/>
      <w:r w:rsidRPr="00121A2C">
        <w:rPr>
          <w:sz w:val="24"/>
          <w:lang w:val="fi-FI"/>
        </w:rPr>
        <w:t>Direktive</w:t>
      </w:r>
      <w:proofErr w:type="spellEnd"/>
      <w:r w:rsidRPr="00121A2C">
        <w:rPr>
          <w:sz w:val="24"/>
          <w:lang w:val="fi-FI"/>
        </w:rPr>
        <w:t xml:space="preserve"> 98/70/EZ u </w:t>
      </w:r>
      <w:proofErr w:type="spellStart"/>
      <w:r w:rsidRPr="00121A2C">
        <w:rPr>
          <w:sz w:val="24"/>
          <w:lang w:val="fi-FI"/>
        </w:rPr>
        <w:t>pogledu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promicanja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energije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iz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obnovljivih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izvora</w:t>
      </w:r>
      <w:proofErr w:type="spellEnd"/>
      <w:r w:rsidRPr="00121A2C">
        <w:rPr>
          <w:sz w:val="24"/>
          <w:lang w:val="fi-FI"/>
        </w:rPr>
        <w:t xml:space="preserve"> te o </w:t>
      </w:r>
      <w:proofErr w:type="spellStart"/>
      <w:r w:rsidRPr="00121A2C">
        <w:rPr>
          <w:sz w:val="24"/>
          <w:lang w:val="fi-FI"/>
        </w:rPr>
        <w:t>stavljanju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izvan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snage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Direktive</w:t>
      </w:r>
      <w:proofErr w:type="spellEnd"/>
      <w:r w:rsidRPr="00121A2C">
        <w:rPr>
          <w:sz w:val="24"/>
          <w:lang w:val="fi-FI"/>
        </w:rPr>
        <w:t xml:space="preserve"> </w:t>
      </w:r>
      <w:proofErr w:type="spellStart"/>
      <w:r w:rsidRPr="00121A2C">
        <w:rPr>
          <w:sz w:val="24"/>
          <w:lang w:val="fi-FI"/>
        </w:rPr>
        <w:t>Vijeća</w:t>
      </w:r>
      <w:proofErr w:type="spellEnd"/>
      <w:r w:rsidRPr="00121A2C">
        <w:rPr>
          <w:sz w:val="24"/>
          <w:lang w:val="fi-FI"/>
        </w:rPr>
        <w:t xml:space="preserve"> (EU) 2015/652, SL L</w:t>
      </w:r>
      <w:r w:rsidR="008B4704">
        <w:rPr>
          <w:sz w:val="24"/>
          <w:lang w:val="fi-FI"/>
        </w:rPr>
        <w:t>,</w:t>
      </w:r>
      <w:r w:rsidRPr="00121A2C">
        <w:rPr>
          <w:sz w:val="24"/>
          <w:lang w:val="fi-FI"/>
        </w:rPr>
        <w:t xml:space="preserve"> 2023/2413, 31.10.2023., ELI: </w:t>
      </w:r>
      <w:hyperlink r:id="rId7" w:history="1">
        <w:r w:rsidRPr="00121A2C">
          <w:rPr>
            <w:rStyle w:val="Hyperlink"/>
            <w:sz w:val="24"/>
            <w:lang w:val="fi-FI"/>
          </w:rPr>
          <w:t>http://data.europa.eu/eli/dir/2023/2413/oj</w:t>
        </w:r>
      </w:hyperlink>
      <w:r w:rsidRPr="00121A2C">
        <w:rPr>
          <w:sz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5190996">
    <w:abstractNumId w:val="9"/>
  </w:num>
  <w:num w:numId="2" w16cid:durableId="578828321">
    <w:abstractNumId w:val="9"/>
  </w:num>
  <w:num w:numId="3" w16cid:durableId="1728339117">
    <w:abstractNumId w:val="7"/>
  </w:num>
  <w:num w:numId="4" w16cid:durableId="1814104604">
    <w:abstractNumId w:val="7"/>
  </w:num>
  <w:num w:numId="5" w16cid:durableId="148906413">
    <w:abstractNumId w:val="6"/>
  </w:num>
  <w:num w:numId="6" w16cid:durableId="1215042577">
    <w:abstractNumId w:val="6"/>
  </w:num>
  <w:num w:numId="7" w16cid:durableId="1839034161">
    <w:abstractNumId w:val="5"/>
  </w:num>
  <w:num w:numId="8" w16cid:durableId="1706055845">
    <w:abstractNumId w:val="5"/>
  </w:num>
  <w:num w:numId="9" w16cid:durableId="407466093">
    <w:abstractNumId w:val="4"/>
  </w:num>
  <w:num w:numId="10" w16cid:durableId="1982033956">
    <w:abstractNumId w:val="4"/>
  </w:num>
  <w:num w:numId="11" w16cid:durableId="1294214303">
    <w:abstractNumId w:val="8"/>
  </w:num>
  <w:num w:numId="12" w16cid:durableId="558630715">
    <w:abstractNumId w:val="8"/>
  </w:num>
  <w:num w:numId="13" w16cid:durableId="579290843">
    <w:abstractNumId w:val="3"/>
  </w:num>
  <w:num w:numId="14" w16cid:durableId="1838685411">
    <w:abstractNumId w:val="3"/>
  </w:num>
  <w:num w:numId="15" w16cid:durableId="1553887870">
    <w:abstractNumId w:val="2"/>
  </w:num>
  <w:num w:numId="16" w16cid:durableId="902830895">
    <w:abstractNumId w:val="2"/>
  </w:num>
  <w:num w:numId="17" w16cid:durableId="346371924">
    <w:abstractNumId w:val="1"/>
  </w:num>
  <w:num w:numId="18" w16cid:durableId="349525349">
    <w:abstractNumId w:val="1"/>
  </w:num>
  <w:num w:numId="19" w16cid:durableId="369646615">
    <w:abstractNumId w:val="0"/>
  </w:num>
  <w:num w:numId="20" w16cid:durableId="261689323">
    <w:abstractNumId w:val="0"/>
  </w:num>
  <w:num w:numId="21" w16cid:durableId="1642613691">
    <w:abstractNumId w:val="9"/>
  </w:num>
  <w:num w:numId="22" w16cid:durableId="1468013769">
    <w:abstractNumId w:val="7"/>
  </w:num>
  <w:num w:numId="23" w16cid:durableId="1863854583">
    <w:abstractNumId w:val="6"/>
  </w:num>
  <w:num w:numId="24" w16cid:durableId="793670226">
    <w:abstractNumId w:val="5"/>
  </w:num>
  <w:num w:numId="25" w16cid:durableId="281424473">
    <w:abstractNumId w:val="4"/>
  </w:num>
  <w:num w:numId="26" w16cid:durableId="1816483889">
    <w:abstractNumId w:val="8"/>
  </w:num>
  <w:num w:numId="27" w16cid:durableId="1820606861">
    <w:abstractNumId w:val="3"/>
  </w:num>
  <w:num w:numId="28" w16cid:durableId="402533400">
    <w:abstractNumId w:val="2"/>
  </w:num>
  <w:num w:numId="29" w16cid:durableId="1425878853">
    <w:abstractNumId w:val="1"/>
  </w:num>
  <w:num w:numId="30" w16cid:durableId="20016500">
    <w:abstractNumId w:val="0"/>
  </w:num>
  <w:num w:numId="31" w16cid:durableId="1113092722">
    <w:abstractNumId w:val="9"/>
  </w:num>
  <w:num w:numId="32" w16cid:durableId="813180858">
    <w:abstractNumId w:val="7"/>
  </w:num>
  <w:num w:numId="33" w16cid:durableId="1693459579">
    <w:abstractNumId w:val="6"/>
  </w:num>
  <w:num w:numId="34" w16cid:durableId="1498955901">
    <w:abstractNumId w:val="5"/>
  </w:num>
  <w:num w:numId="35" w16cid:durableId="7568292">
    <w:abstractNumId w:val="4"/>
  </w:num>
  <w:num w:numId="36" w16cid:durableId="913130311">
    <w:abstractNumId w:val="8"/>
  </w:num>
  <w:num w:numId="37" w16cid:durableId="984579303">
    <w:abstractNumId w:val="3"/>
  </w:num>
  <w:num w:numId="38" w16cid:durableId="1852840475">
    <w:abstractNumId w:val="2"/>
  </w:num>
  <w:num w:numId="39" w16cid:durableId="1870218314">
    <w:abstractNumId w:val="1"/>
  </w:num>
  <w:num w:numId="40" w16cid:durableId="148835988">
    <w:abstractNumId w:val="0"/>
  </w:num>
  <w:num w:numId="41" w16cid:durableId="2032803093">
    <w:abstractNumId w:val="10"/>
  </w:num>
  <w:num w:numId="42" w16cid:durableId="194583539">
    <w:abstractNumId w:val="10"/>
  </w:num>
  <w:num w:numId="43" w16cid:durableId="2093506193">
    <w:abstractNumId w:val="10"/>
  </w:num>
  <w:num w:numId="44" w16cid:durableId="7276101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4/2025"/>
    <w:docVar w:name="dvlangue" w:val="HR"/>
    <w:docVar w:name="dvnumam" w:val="0"/>
    <w:docVar w:name="dvpe" w:val="769.901"/>
    <w:docVar w:name="dvrapporteur" w:val="Izvjestitelj: "/>
    <w:docVar w:name="dvtitre" w:val="Rezolucija Europskog parlamenta od .... 2025. o izvješćima Komisije o Ukrajini za 2023. i 2024.(2025/2026(INI))"/>
  </w:docVars>
  <w:rsids>
    <w:rsidRoot w:val="00671BBE"/>
    <w:rsid w:val="00002272"/>
    <w:rsid w:val="00064002"/>
    <w:rsid w:val="000677B9"/>
    <w:rsid w:val="000831BA"/>
    <w:rsid w:val="000A42CC"/>
    <w:rsid w:val="000E7DD9"/>
    <w:rsid w:val="0010095E"/>
    <w:rsid w:val="00121A2C"/>
    <w:rsid w:val="00125B37"/>
    <w:rsid w:val="00187494"/>
    <w:rsid w:val="001F32AE"/>
    <w:rsid w:val="00237640"/>
    <w:rsid w:val="002767FF"/>
    <w:rsid w:val="00282E2E"/>
    <w:rsid w:val="002B18FE"/>
    <w:rsid w:val="002B5493"/>
    <w:rsid w:val="002C5473"/>
    <w:rsid w:val="00343214"/>
    <w:rsid w:val="00345D5D"/>
    <w:rsid w:val="00361C00"/>
    <w:rsid w:val="00395FA1"/>
    <w:rsid w:val="003E15D4"/>
    <w:rsid w:val="00402337"/>
    <w:rsid w:val="00411CCE"/>
    <w:rsid w:val="0041666E"/>
    <w:rsid w:val="00421060"/>
    <w:rsid w:val="00443C9F"/>
    <w:rsid w:val="00471C19"/>
    <w:rsid w:val="004867E3"/>
    <w:rsid w:val="00494A28"/>
    <w:rsid w:val="004C0004"/>
    <w:rsid w:val="004C0F88"/>
    <w:rsid w:val="004C5D52"/>
    <w:rsid w:val="0050519A"/>
    <w:rsid w:val="005072A1"/>
    <w:rsid w:val="00514517"/>
    <w:rsid w:val="005265D5"/>
    <w:rsid w:val="00545827"/>
    <w:rsid w:val="00560270"/>
    <w:rsid w:val="00582035"/>
    <w:rsid w:val="005C0C73"/>
    <w:rsid w:val="005C2568"/>
    <w:rsid w:val="005F1108"/>
    <w:rsid w:val="005F1B17"/>
    <w:rsid w:val="006037C0"/>
    <w:rsid w:val="006631B6"/>
    <w:rsid w:val="00671BB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F73"/>
    <w:rsid w:val="007D1690"/>
    <w:rsid w:val="007E22AD"/>
    <w:rsid w:val="008130D2"/>
    <w:rsid w:val="00817416"/>
    <w:rsid w:val="0083713B"/>
    <w:rsid w:val="00842779"/>
    <w:rsid w:val="00865F67"/>
    <w:rsid w:val="00881A7B"/>
    <w:rsid w:val="008840E5"/>
    <w:rsid w:val="00887B3E"/>
    <w:rsid w:val="008A4C65"/>
    <w:rsid w:val="008B4704"/>
    <w:rsid w:val="008C2AC6"/>
    <w:rsid w:val="008E43ED"/>
    <w:rsid w:val="00906E53"/>
    <w:rsid w:val="00930C23"/>
    <w:rsid w:val="0093193B"/>
    <w:rsid w:val="009509D8"/>
    <w:rsid w:val="00950B64"/>
    <w:rsid w:val="00950C5C"/>
    <w:rsid w:val="00981893"/>
    <w:rsid w:val="00A1687D"/>
    <w:rsid w:val="00A2642F"/>
    <w:rsid w:val="00A43E52"/>
    <w:rsid w:val="00A4678D"/>
    <w:rsid w:val="00A7722E"/>
    <w:rsid w:val="00A778C7"/>
    <w:rsid w:val="00AB441E"/>
    <w:rsid w:val="00AB6293"/>
    <w:rsid w:val="00AE0928"/>
    <w:rsid w:val="00AF3B82"/>
    <w:rsid w:val="00B12E95"/>
    <w:rsid w:val="00B22876"/>
    <w:rsid w:val="00B558F0"/>
    <w:rsid w:val="00B94845"/>
    <w:rsid w:val="00BD48FE"/>
    <w:rsid w:val="00BD7BD8"/>
    <w:rsid w:val="00BE6ADC"/>
    <w:rsid w:val="00C05BFE"/>
    <w:rsid w:val="00C23CD4"/>
    <w:rsid w:val="00C472ED"/>
    <w:rsid w:val="00C61C0C"/>
    <w:rsid w:val="00C941CB"/>
    <w:rsid w:val="00CA0A5F"/>
    <w:rsid w:val="00CB50C5"/>
    <w:rsid w:val="00CC2357"/>
    <w:rsid w:val="00CF071A"/>
    <w:rsid w:val="00D058B8"/>
    <w:rsid w:val="00D56C11"/>
    <w:rsid w:val="00D5724A"/>
    <w:rsid w:val="00D834A0"/>
    <w:rsid w:val="00D872DF"/>
    <w:rsid w:val="00D91E21"/>
    <w:rsid w:val="00DA7FCD"/>
    <w:rsid w:val="00E365E1"/>
    <w:rsid w:val="00E820A4"/>
    <w:rsid w:val="00E9206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23A60"/>
  <w15:chartTrackingRefBased/>
  <w15:docId w15:val="{E6D865FB-0925-466A-BAAD-35095E2C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110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F110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5F1108"/>
    <w:pPr>
      <w:spacing w:after="240"/>
      <w:jc w:val="center"/>
    </w:pPr>
  </w:style>
  <w:style w:type="character" w:customStyle="1" w:styleId="BoldItalic">
    <w:name w:val="BoldItalic"/>
    <w:uiPriority w:val="1"/>
    <w:rsid w:val="005F1108"/>
    <w:rPr>
      <w:b/>
      <w:i/>
      <w:u w:val="none"/>
    </w:rPr>
  </w:style>
  <w:style w:type="character" w:customStyle="1" w:styleId="Italic">
    <w:name w:val="Italic"/>
    <w:uiPriority w:val="1"/>
    <w:rsid w:val="005F1108"/>
    <w:rPr>
      <w:i/>
    </w:rPr>
  </w:style>
  <w:style w:type="paragraph" w:customStyle="1" w:styleId="Normal12a24b">
    <w:name w:val="Normal12a24b"/>
    <w:basedOn w:val="Normal"/>
    <w:rsid w:val="005F110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F110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F1108"/>
    <w:rPr>
      <w:b/>
      <w:bCs/>
    </w:rPr>
  </w:style>
  <w:style w:type="paragraph" w:styleId="NormalWeb">
    <w:name w:val="Normal (Web)"/>
    <w:basedOn w:val="Normal"/>
    <w:uiPriority w:val="99"/>
    <w:unhideWhenUsed/>
    <w:rsid w:val="005F1108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5F1108"/>
    <w:rPr>
      <w:snapToGrid w:val="0"/>
      <w:sz w:val="24"/>
      <w:lang w:val="hr-HR" w:eastAsia="en-US"/>
    </w:rPr>
  </w:style>
  <w:style w:type="paragraph" w:styleId="Revision">
    <w:name w:val="Revision"/>
    <w:hidden/>
    <w:uiPriority w:val="99"/>
    <w:semiHidden/>
    <w:rsid w:val="00282E2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12/oj" TargetMode="External"/><Relationship Id="rId7" Type="http://schemas.openxmlformats.org/officeDocument/2006/relationships/hyperlink" Target="http://data.europa.eu/eli/dir/2023/2413/oj" TargetMode="External"/><Relationship Id="rId2" Type="http://schemas.openxmlformats.org/officeDocument/2006/relationships/hyperlink" Target="http://data.europa.eu/eli/C/2025/3151/oj" TargetMode="External"/><Relationship Id="rId1" Type="http://schemas.openxmlformats.org/officeDocument/2006/relationships/hyperlink" Target="http://data.europa.eu/eli/reg/2024/792/oj" TargetMode="External"/><Relationship Id="rId6" Type="http://schemas.openxmlformats.org/officeDocument/2006/relationships/hyperlink" Target="http://data.europa.eu/eli/reg/2005/1/oj" TargetMode="External"/><Relationship Id="rId5" Type="http://schemas.openxmlformats.org/officeDocument/2006/relationships/hyperlink" Target="http://data.europa.eu/eli/dir/2006/21/oj" TargetMode="External"/><Relationship Id="rId4" Type="http://schemas.openxmlformats.org/officeDocument/2006/relationships/hyperlink" Target="http://data.europa.eu/eli/dir/2000/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10602</Words>
  <Characters>66475</Characters>
  <Application>Microsoft Office Word</Application>
  <DocSecurity>0</DocSecurity>
  <Lines>553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2025-10-22T06:26:00Z</dcterms:created>
  <dcterms:modified xsi:type="dcterms:W3CDTF">2025-10-22T06:26:00Z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P10_TA(2025)0175_</vt:lpwstr>
  </property>
  <property fmtid="{D5CDD505-2E9C-101B-9397-08002B2CF9AE}" pid="4" name="&lt;Type&gt;">
    <vt:lpwstr>RR</vt:lpwstr>
  </property>
</Properties>
</file>