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12371" w14:paraId="31B507D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D196E54" w14:textId="79049377" w:rsidR="00751A4A" w:rsidRPr="00512371" w:rsidRDefault="00C05FED" w:rsidP="0010095E">
            <w:pPr>
              <w:pStyle w:val="EPName"/>
            </w:pPr>
            <w:r w:rsidRPr="00512371">
              <w:t>Parlament Europejski</w:t>
            </w:r>
          </w:p>
          <w:p w14:paraId="33AA65FB" w14:textId="77777777" w:rsidR="00751A4A" w:rsidRPr="005123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12371">
              <w:t>2024</w:t>
            </w:r>
            <w:r w:rsidR="00817416" w:rsidRPr="00512371">
              <w:t>-202</w:t>
            </w:r>
            <w:r w:rsidRPr="00512371">
              <w:t>9</w:t>
            </w:r>
          </w:p>
        </w:tc>
        <w:tc>
          <w:tcPr>
            <w:tcW w:w="2268" w:type="dxa"/>
            <w:shd w:val="clear" w:color="auto" w:fill="auto"/>
          </w:tcPr>
          <w:p w14:paraId="2B172361" w14:textId="77777777" w:rsidR="00751A4A" w:rsidRPr="00512371" w:rsidRDefault="00187494" w:rsidP="0010095E">
            <w:pPr>
              <w:pStyle w:val="EPLogo"/>
            </w:pPr>
            <w:r w:rsidRPr="00512371">
              <w:rPr>
                <w:noProof/>
                <w:lang w:eastAsia="ja-JP"/>
              </w:rPr>
              <w:drawing>
                <wp:inline distT="0" distB="0" distL="0" distR="0" wp14:anchorId="1B38CBA2" wp14:editId="6CE8D83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FBC25E" w14:textId="77777777" w:rsidR="00D058B8" w:rsidRPr="00512371" w:rsidRDefault="00D058B8" w:rsidP="004C5D52">
      <w:pPr>
        <w:pStyle w:val="LineTop"/>
      </w:pPr>
    </w:p>
    <w:p w14:paraId="3D5C4725" w14:textId="18D6F9A0" w:rsidR="00680577" w:rsidRPr="00512371" w:rsidRDefault="00C05FED" w:rsidP="00680577">
      <w:pPr>
        <w:pStyle w:val="EPBodyTA1"/>
      </w:pPr>
      <w:r w:rsidRPr="00512371">
        <w:t>TEKSTY PRZYJĘTE</w:t>
      </w:r>
    </w:p>
    <w:p w14:paraId="18223CB9" w14:textId="77777777" w:rsidR="00D058B8" w:rsidRPr="00512371" w:rsidRDefault="00D058B8" w:rsidP="00D058B8">
      <w:pPr>
        <w:pStyle w:val="LineBottom"/>
      </w:pPr>
    </w:p>
    <w:p w14:paraId="4F0281A7" w14:textId="77777777" w:rsidR="00512371" w:rsidRPr="00512371" w:rsidRDefault="00512371" w:rsidP="00512371">
      <w:pPr>
        <w:pStyle w:val="ATHeading1"/>
      </w:pPr>
      <w:bookmarkStart w:id="0" w:name="TANumber"/>
      <w:r w:rsidRPr="00512371">
        <w:t>P10_</w:t>
      </w:r>
      <w:proofErr w:type="gramStart"/>
      <w:r w:rsidRPr="00512371">
        <w:t>TA(</w:t>
      </w:r>
      <w:proofErr w:type="gramEnd"/>
      <w:r w:rsidRPr="00512371">
        <w:t>2025)0</w:t>
      </w:r>
      <w:bookmarkEnd w:id="0"/>
      <w:r w:rsidRPr="00512371">
        <w:t>175</w:t>
      </w:r>
    </w:p>
    <w:p w14:paraId="2E34BA10" w14:textId="77777777" w:rsidR="00512371" w:rsidRPr="00512371" w:rsidRDefault="00512371" w:rsidP="00512371">
      <w:pPr>
        <w:pStyle w:val="ATHeading2"/>
      </w:pPr>
      <w:r w:rsidRPr="00512371">
        <w:t>Sprawozdania Komisji w sprawie Ukrainy za lata 2023 i 2024</w:t>
      </w:r>
    </w:p>
    <w:p w14:paraId="37D2BBD9" w14:textId="77777777" w:rsidR="00512371" w:rsidRPr="00512371" w:rsidRDefault="00512371" w:rsidP="00512371">
      <w:pPr>
        <w:rPr>
          <w:i/>
          <w:vanish/>
        </w:rPr>
      </w:pPr>
      <w:r w:rsidRPr="00512371">
        <w:rPr>
          <w:i/>
        </w:rPr>
        <w:fldChar w:fldCharType="begin"/>
      </w:r>
      <w:r w:rsidRPr="00512371">
        <w:rPr>
          <w:i/>
        </w:rPr>
        <w:instrText xml:space="preserve"> TC"(</w:instrText>
      </w:r>
      <w:bookmarkStart w:id="1" w:name="DocNumber"/>
      <w:r w:rsidRPr="00512371">
        <w:rPr>
          <w:i/>
        </w:rPr>
        <w:instrText>A10-0154/2025</w:instrText>
      </w:r>
      <w:bookmarkEnd w:id="1"/>
      <w:r w:rsidRPr="00512371">
        <w:rPr>
          <w:i/>
        </w:rPr>
        <w:instrText xml:space="preserve"> - Sprawozdawca: Michael </w:instrText>
      </w:r>
      <w:proofErr w:type="spellStart"/>
      <w:r w:rsidRPr="00512371">
        <w:rPr>
          <w:i/>
        </w:rPr>
        <w:instrText>Gahler</w:instrText>
      </w:r>
      <w:proofErr w:type="spellEnd"/>
      <w:r w:rsidRPr="00512371">
        <w:rPr>
          <w:i/>
        </w:rPr>
        <w:instrText xml:space="preserve">)"\l3 \n&gt; \* MERGEFORMAT </w:instrText>
      </w:r>
      <w:r w:rsidRPr="00512371">
        <w:rPr>
          <w:i/>
        </w:rPr>
        <w:fldChar w:fldCharType="end"/>
      </w:r>
    </w:p>
    <w:p w14:paraId="2A7D4AFA" w14:textId="77777777" w:rsidR="00512371" w:rsidRPr="00512371" w:rsidRDefault="00512371" w:rsidP="00512371">
      <w:pPr>
        <w:rPr>
          <w:vanish/>
        </w:rPr>
      </w:pPr>
      <w:bookmarkStart w:id="2" w:name="Commission"/>
      <w:r w:rsidRPr="00512371">
        <w:rPr>
          <w:vanish/>
        </w:rPr>
        <w:t>Komisja Spraw Zagranicznych</w:t>
      </w:r>
      <w:bookmarkEnd w:id="2"/>
    </w:p>
    <w:p w14:paraId="23B215D0" w14:textId="77777777" w:rsidR="00512371" w:rsidRPr="00512371" w:rsidRDefault="00512371" w:rsidP="00512371">
      <w:pPr>
        <w:rPr>
          <w:vanish/>
        </w:rPr>
      </w:pPr>
      <w:bookmarkStart w:id="3" w:name="PE"/>
      <w:r w:rsidRPr="00512371">
        <w:rPr>
          <w:vanish/>
        </w:rPr>
        <w:t>PE769.901</w:t>
      </w:r>
      <w:bookmarkEnd w:id="3"/>
    </w:p>
    <w:p w14:paraId="01FBA0DC" w14:textId="77777777" w:rsidR="00512371" w:rsidRPr="00512371" w:rsidRDefault="00512371" w:rsidP="00512371">
      <w:pPr>
        <w:pStyle w:val="ATHeading3"/>
      </w:pPr>
      <w:bookmarkStart w:id="4" w:name="Sujet"/>
      <w:r w:rsidRPr="00512371">
        <w:t>Rezolucja Parlamentu Europejskiego z dnia 9 września 2025 r. w sprawie sprawozdań Komisji dotyczących Ukrainy za lata 2023 i 2024</w:t>
      </w:r>
      <w:bookmarkEnd w:id="4"/>
      <w:r w:rsidRPr="00512371">
        <w:t xml:space="preserve"> </w:t>
      </w:r>
      <w:bookmarkStart w:id="5" w:name="References"/>
      <w:r w:rsidRPr="00512371">
        <w:t>(2025/2026(INI))</w:t>
      </w:r>
      <w:bookmarkEnd w:id="5"/>
    </w:p>
    <w:p w14:paraId="2D56D8A9" w14:textId="77777777" w:rsidR="00512371" w:rsidRPr="00512371" w:rsidRDefault="00512371" w:rsidP="00512371">
      <w:pPr>
        <w:pStyle w:val="EPComma"/>
      </w:pPr>
      <w:r w:rsidRPr="00512371">
        <w:rPr>
          <w:rStyle w:val="Italic"/>
        </w:rPr>
        <w:t>Parlament Europejski</w:t>
      </w:r>
      <w:r w:rsidRPr="00512371">
        <w:t>,</w:t>
      </w:r>
    </w:p>
    <w:p w14:paraId="77C2A2D6" w14:textId="77777777" w:rsidR="00512371" w:rsidRPr="00512371" w:rsidRDefault="00512371" w:rsidP="00512371">
      <w:pPr>
        <w:pStyle w:val="NormalHanging12a"/>
      </w:pPr>
      <w:r w:rsidRPr="00512371">
        <w:t>–</w:t>
      </w:r>
      <w:r w:rsidRPr="00512371">
        <w:tab/>
        <w:t>uwzględniając swoje wcześniejsze rezolucje w sprawie Ukrainy,</w:t>
      </w:r>
    </w:p>
    <w:p w14:paraId="00EDDB9D" w14:textId="77777777" w:rsidR="00512371" w:rsidRPr="00512371" w:rsidRDefault="00512371" w:rsidP="00512371">
      <w:pPr>
        <w:pStyle w:val="NormalHanging12a"/>
      </w:pPr>
      <w:r w:rsidRPr="00512371">
        <w:t>–</w:t>
      </w:r>
      <w:r w:rsidRPr="00512371">
        <w:tab/>
        <w:t>uwzględniając dokument roboczy służb Komisji pt. „Sprawozdanie za rok 2024 dotyczące Ukrainy” (</w:t>
      </w:r>
      <w:proofErr w:type="gramStart"/>
      <w:r w:rsidRPr="00512371">
        <w:t>SWD(</w:t>
      </w:r>
      <w:proofErr w:type="gramEnd"/>
      <w:r w:rsidRPr="00512371">
        <w:t>2024)0699) towarzyszący komunikatowi Komisji z 2024 r. w sprawie polityki rozszerzenia UE (COM(2024)0690),</w:t>
      </w:r>
    </w:p>
    <w:p w14:paraId="400ED0DB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>uwzględniając dokument roboczy służb Komisji pt. „Sprawozdanie za rok 2023 dotyczące Ukrainy” (</w:t>
      </w:r>
      <w:proofErr w:type="gramStart"/>
      <w:r w:rsidRPr="00512371">
        <w:t>SWD(</w:t>
      </w:r>
      <w:proofErr w:type="gramEnd"/>
      <w:r w:rsidRPr="00512371">
        <w:t xml:space="preserve">2023)0699) towarzyszący komunikatowi Komisji z 2023 r. w sprawie polityki rozszerzenia UE (COM(2023)0690), </w:t>
      </w:r>
    </w:p>
    <w:p w14:paraId="136F2B98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</w:r>
      <w:bookmarkStart w:id="6" w:name="_Hlk204183886"/>
      <w:r w:rsidRPr="00512371">
        <w:t xml:space="preserve">uwzględniając konkluzje Rady Europejskiej z 24 czerwca 2022 r. w sprawie przyznania Ukrainie statusu kraju kandydującego, konkluzje Rady Europejskiej z 15 grudnia 2023 r. w sprawie poparcia rozpoczęcia negocjacji akcesyjnych oraz konkluzje Rady Europejskiej z 20 marca 2025 r., </w:t>
      </w:r>
      <w:bookmarkEnd w:id="6"/>
    </w:p>
    <w:p w14:paraId="2AE8107B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>uwzględniając rozporządzenie Parlamentu Europejskiego i Rady (UE) 2024/792 z dnia 29 lutego 2024 r. w sprawie ustanowienia Instrumentu na rzecz Ukrainy</w:t>
      </w:r>
      <w:r w:rsidRPr="00512371">
        <w:rPr>
          <w:rStyle w:val="FootnoteReference"/>
        </w:rPr>
        <w:footnoteReference w:id="1"/>
      </w:r>
      <w:r w:rsidRPr="00512371">
        <w:t>,</w:t>
      </w:r>
    </w:p>
    <w:p w14:paraId="23CD033F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sprawozdanie Organizacji Współpracy Gospodarczej i Rozwoju (OECD) z 2021 r. pt. „OECD </w:t>
      </w:r>
      <w:proofErr w:type="spellStart"/>
      <w:r w:rsidRPr="00512371">
        <w:t>Review</w:t>
      </w:r>
      <w:proofErr w:type="spellEnd"/>
      <w:r w:rsidRPr="00512371">
        <w:t xml:space="preserve"> of the </w:t>
      </w:r>
      <w:proofErr w:type="spellStart"/>
      <w:r w:rsidRPr="00512371">
        <w:t>Corporate</w:t>
      </w:r>
      <w:proofErr w:type="spellEnd"/>
      <w:r w:rsidRPr="00512371">
        <w:t xml:space="preserve"> </w:t>
      </w:r>
      <w:proofErr w:type="spellStart"/>
      <w:r w:rsidRPr="00512371">
        <w:t>Governance</w:t>
      </w:r>
      <w:proofErr w:type="spellEnd"/>
      <w:r w:rsidRPr="00512371">
        <w:t xml:space="preserve"> of </w:t>
      </w:r>
      <w:proofErr w:type="spellStart"/>
      <w:r w:rsidRPr="00512371">
        <w:t>State-Owned</w:t>
      </w:r>
      <w:proofErr w:type="spellEnd"/>
      <w:r w:rsidRPr="00512371">
        <w:t xml:space="preserve"> Enterprises: </w:t>
      </w:r>
      <w:proofErr w:type="spellStart"/>
      <w:r w:rsidRPr="00512371">
        <w:t>Ukraine</w:t>
      </w:r>
      <w:proofErr w:type="spellEnd"/>
      <w:r w:rsidRPr="00512371">
        <w:t xml:space="preserve">” [Przegląd OECD dotyczący ładu korporacyjnego przedsiębiorstw państwowych: Ukraina] oraz późniejsze dialogi na temat działań następczych w 2024 r., </w:t>
      </w:r>
    </w:p>
    <w:p w14:paraId="0B024315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przeprowadzony przez Międzynarodowy Fundusz Walutowy ósmy przegląd Instrumentu Rozszerzonego Wsparcia Finansowego dla Ukrainy na lata 2023–2026, </w:t>
      </w:r>
    </w:p>
    <w:p w14:paraId="70D44322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</w:r>
      <w:bookmarkStart w:id="7" w:name="_Hlk204245553"/>
      <w:r w:rsidRPr="00512371">
        <w:t xml:space="preserve">uwzględniając opinie Komisji Weneckiej Rady Europy, w szczególności pilną opinię uzupełniającą opinie w sprawie ustawy o zmianach w niektórych aktach ustawodawczych Ukrainy w celu doprecyzowania przepisów dotyczących procedury </w:t>
      </w:r>
      <w:r w:rsidRPr="00512371">
        <w:lastRenderedPageBreak/>
        <w:t xml:space="preserve">wyboru kandydatów na stanowisko sędziego Sądu Konstytucyjnego Ukrainy w drodze konkursu z 9 października 2023 r. oraz opinię uzupełniającą opinię w sprawie ustawy o mniejszościach narodowych (wspólnotach) z 9 października 2023 r., </w:t>
      </w:r>
      <w:bookmarkEnd w:id="7"/>
    </w:p>
    <w:p w14:paraId="1A206CA2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sprawozdania Grupy Państw przeciwko Korupcji (GRECO) dotyczące Ukrainy, w szczególności czwartą rundę oceny oraz </w:t>
      </w:r>
      <w:proofErr w:type="spellStart"/>
      <w:r w:rsidRPr="00512371">
        <w:t>addendum</w:t>
      </w:r>
      <w:proofErr w:type="spellEnd"/>
      <w:r w:rsidRPr="00512371">
        <w:t xml:space="preserve"> do drugiego sprawozdania dotyczącego zgodności z 22 listopada 2024 r. w sprawie zapobiegania korupcji w odniesieniu do posłów do parlamentu, sędziów i prokuratorów w Ukrainie, </w:t>
      </w:r>
    </w:p>
    <w:p w14:paraId="68F4514D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sprawozdanie złożone przez Ukrainę na mocy art. 68 ust. 1 Konwencji Rady Europy o zapobieganiu i zwalczaniu przemocy wobec kobiet i przemocy domowej (sprawozdanie bazowe) z 3 lipca 2025 r. oraz dodatkowe informacje otrzymane przez Grupę Ekspertów do spraw Przeciwdziałania Przemocy wobec Kobiet i Przemocy Domowej od ukraińskich organizacji społeczeństwa obywatelskiego, </w:t>
      </w:r>
    </w:p>
    <w:p w14:paraId="7FDFD7A0" w14:textId="77777777" w:rsidR="00512371" w:rsidRPr="00512371" w:rsidRDefault="00512371" w:rsidP="00512371">
      <w:pPr>
        <w:pStyle w:val="NormalWeb"/>
        <w:ind w:left="567" w:hanging="567"/>
        <w:rPr>
          <w:lang w:val="en-GB"/>
        </w:rPr>
      </w:pPr>
      <w:r w:rsidRPr="00512371">
        <w:t>–</w:t>
      </w:r>
      <w:r w:rsidRPr="00512371">
        <w:tab/>
        <w:t xml:space="preserve">uwzględniając sprawozdania organizacji Human </w:t>
      </w:r>
      <w:proofErr w:type="spellStart"/>
      <w:r w:rsidRPr="00512371">
        <w:t>Rights</w:t>
      </w:r>
      <w:proofErr w:type="spellEnd"/>
      <w:r w:rsidRPr="00512371">
        <w:t xml:space="preserve"> Watch w sprawie Ukrainy, w tym jej sprawozdanie z 5 grudnia 2024 r. pt. </w:t>
      </w:r>
      <w:proofErr w:type="gramStart"/>
      <w:r w:rsidRPr="00512371">
        <w:rPr>
          <w:lang w:val="en-GB"/>
        </w:rPr>
        <w:t>„»All</w:t>
      </w:r>
      <w:proofErr w:type="gramEnd"/>
      <w:r w:rsidRPr="00512371">
        <w:rPr>
          <w:lang w:val="en-GB"/>
        </w:rPr>
        <w:t xml:space="preserve"> She Did Was Help People« – Flawed Anti-Collaboration Legislation in Ukraine” [„Ona </w:t>
      </w:r>
      <w:proofErr w:type="spellStart"/>
      <w:r w:rsidRPr="00512371">
        <w:rPr>
          <w:lang w:val="en-GB"/>
        </w:rPr>
        <w:t>tylko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pomagała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ludziom</w:t>
      </w:r>
      <w:proofErr w:type="spellEnd"/>
      <w:r w:rsidRPr="00512371">
        <w:rPr>
          <w:lang w:val="en-GB"/>
        </w:rPr>
        <w:t xml:space="preserve">”– </w:t>
      </w:r>
      <w:proofErr w:type="spellStart"/>
      <w:r w:rsidRPr="00512371">
        <w:rPr>
          <w:lang w:val="en-GB"/>
        </w:rPr>
        <w:t>wadliwe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przepisy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antykolaboracyjne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na</w:t>
      </w:r>
      <w:proofErr w:type="spellEnd"/>
      <w:r w:rsidRPr="00512371">
        <w:rPr>
          <w:lang w:val="en-GB"/>
        </w:rPr>
        <w:t xml:space="preserve"> </w:t>
      </w:r>
      <w:proofErr w:type="spellStart"/>
      <w:r w:rsidRPr="00512371">
        <w:rPr>
          <w:lang w:val="en-GB"/>
        </w:rPr>
        <w:t>Ukrainie</w:t>
      </w:r>
      <w:proofErr w:type="spellEnd"/>
      <w:r w:rsidRPr="00512371">
        <w:rPr>
          <w:lang w:val="en-GB"/>
        </w:rPr>
        <w:t xml:space="preserve">], </w:t>
      </w:r>
    </w:p>
    <w:p w14:paraId="49602177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>uwzględniając swoją rezolucję z 12 marca 2025 r. w sprawie białej księgi na temat przyszłości obronności europejskiej</w:t>
      </w:r>
      <w:r w:rsidRPr="00512371">
        <w:rPr>
          <w:rStyle w:val="FootnoteReference"/>
        </w:rPr>
        <w:footnoteReference w:id="2"/>
      </w:r>
      <w:r w:rsidRPr="00512371">
        <w:t xml:space="preserve">, </w:t>
      </w:r>
    </w:p>
    <w:p w14:paraId="07F0B451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oświadczenia przywódców Finlandii, Francji, Niemiec, Włoch, Zjednoczonego Królestwa i Ukrainy po spotkaniu z prezydentem USA Donaldem </w:t>
      </w:r>
      <w:proofErr w:type="spellStart"/>
      <w:r w:rsidRPr="00512371">
        <w:t>Trumpem</w:t>
      </w:r>
      <w:proofErr w:type="spellEnd"/>
      <w:r w:rsidRPr="00512371">
        <w:t xml:space="preserve"> w Waszyngtonie 18 sierpnia 2025 r.,</w:t>
      </w:r>
    </w:p>
    <w:p w14:paraId="384231FC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oświadczenie przewodniczącej Komisji Ursuli von der </w:t>
      </w:r>
      <w:proofErr w:type="spellStart"/>
      <w:r w:rsidRPr="00512371">
        <w:t>Leyen</w:t>
      </w:r>
      <w:proofErr w:type="spellEnd"/>
      <w:r w:rsidRPr="00512371">
        <w:t xml:space="preserve"> i prezydenta Ukrainy </w:t>
      </w:r>
      <w:proofErr w:type="spellStart"/>
      <w:r w:rsidRPr="00512371">
        <w:t>Wołodymyra</w:t>
      </w:r>
      <w:proofErr w:type="spellEnd"/>
      <w:r w:rsidRPr="00512371">
        <w:t xml:space="preserve"> </w:t>
      </w:r>
      <w:proofErr w:type="spellStart"/>
      <w:r w:rsidRPr="00512371">
        <w:t>Zełenskiego</w:t>
      </w:r>
      <w:proofErr w:type="spellEnd"/>
      <w:r w:rsidRPr="00512371">
        <w:t xml:space="preserve"> po spotkaniu w Brukseli 17 sierpnia 2025 r.,</w:t>
      </w:r>
    </w:p>
    <w:p w14:paraId="5E8470FA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 xml:space="preserve">uwzględniając wspólne oświadczenie wydane 16 sierpnia 2025 r. przez przywódców Francji, Włoch, Niemiec, Zjednoczonego Królestwa, Finlandii, Polski, przewodniczącego Rady Europejskiej </w:t>
      </w:r>
      <w:proofErr w:type="spellStart"/>
      <w:r w:rsidRPr="00512371">
        <w:t>António</w:t>
      </w:r>
      <w:proofErr w:type="spellEnd"/>
      <w:r w:rsidRPr="00512371">
        <w:t xml:space="preserve"> </w:t>
      </w:r>
      <w:proofErr w:type="spellStart"/>
      <w:r w:rsidRPr="00512371">
        <w:t>Costę</w:t>
      </w:r>
      <w:proofErr w:type="spellEnd"/>
      <w:r w:rsidRPr="00512371">
        <w:t xml:space="preserve"> i przewodniczącą Komisji Ursulę von der </w:t>
      </w:r>
      <w:proofErr w:type="spellStart"/>
      <w:r w:rsidRPr="00512371">
        <w:t>Leyen</w:t>
      </w:r>
      <w:proofErr w:type="spellEnd"/>
      <w:r w:rsidRPr="00512371">
        <w:t xml:space="preserve"> po spotkaniu prezydenta USA Donalda </w:t>
      </w:r>
      <w:proofErr w:type="spellStart"/>
      <w:r w:rsidRPr="00512371">
        <w:t>Trumpa</w:t>
      </w:r>
      <w:proofErr w:type="spellEnd"/>
      <w:r w:rsidRPr="00512371">
        <w:t xml:space="preserve"> z prezydentem Federacji Rosyjskiej Władimirem Putinem w Anchorage na Alasce 15 sierpnia 2025 r.,</w:t>
      </w:r>
    </w:p>
    <w:p w14:paraId="19EF1E42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>uwzględniając wcześniejsze deklaracje, w tym wspólne oświadczenie przywódców Francji, Niemiec, Polski, Zjednoczonego Królestwa i Ukrainy po spotkaniu w Kijowie 10 maja 2025 r. oraz wspólne oświadczenie z 12 maja 2025 r. członków sojuszu Weimar+ w sprawie Ukrainy i bezpieczeństwa euroatlantyckiego,</w:t>
      </w:r>
    </w:p>
    <w:p w14:paraId="056891FD" w14:textId="77777777" w:rsidR="00512371" w:rsidRPr="00512371" w:rsidRDefault="00512371" w:rsidP="00512371">
      <w:pPr>
        <w:pStyle w:val="NormalWeb"/>
        <w:ind w:left="567" w:hanging="567"/>
      </w:pPr>
      <w:r w:rsidRPr="00512371">
        <w:t>–</w:t>
      </w:r>
      <w:r w:rsidRPr="00512371">
        <w:tab/>
        <w:t>uwzględniając wspólne oświadczenie wydane 11 sierpnia 2025 r. przez kilku posłów do PE w sprawie negocjacji na rzecz sprawiedliwego pokoju dla Ukrainy w oparciu o prawo międzynarodowe i wolę narodu ukraińskiego,</w:t>
      </w:r>
    </w:p>
    <w:p w14:paraId="17B53961" w14:textId="77777777" w:rsidR="00512371" w:rsidRPr="00512371" w:rsidRDefault="00512371" w:rsidP="00512371">
      <w:pPr>
        <w:pStyle w:val="NormalHanging12a"/>
      </w:pPr>
      <w:r w:rsidRPr="00512371">
        <w:t>–</w:t>
      </w:r>
      <w:r w:rsidRPr="00512371">
        <w:tab/>
        <w:t>uwzględniając art. 55 Regulaminu,</w:t>
      </w:r>
    </w:p>
    <w:p w14:paraId="1E6706FF" w14:textId="77777777" w:rsidR="00512371" w:rsidRPr="00512371" w:rsidRDefault="00512371" w:rsidP="00512371">
      <w:pPr>
        <w:pStyle w:val="NormalHanging12a"/>
      </w:pPr>
      <w:r w:rsidRPr="00512371">
        <w:lastRenderedPageBreak/>
        <w:t>–</w:t>
      </w:r>
      <w:r w:rsidRPr="00512371">
        <w:tab/>
        <w:t>uwzględniając sprawozdanie Komisji Spraw Zagranicznych (A10-0154/2025),</w:t>
      </w:r>
    </w:p>
    <w:p w14:paraId="7184266C" w14:textId="77777777" w:rsidR="00512371" w:rsidRPr="00512371" w:rsidRDefault="00512371" w:rsidP="00512371">
      <w:pPr>
        <w:pStyle w:val="NormalHanging12a"/>
        <w:rPr>
          <w:rStyle w:val="Strong"/>
          <w:rFonts w:eastAsiaTheme="majorEastAsia"/>
          <w:b w:val="0"/>
          <w:bCs w:val="0"/>
          <w:iCs/>
        </w:rPr>
      </w:pPr>
      <w:r w:rsidRPr="00512371">
        <w:t>A.</w:t>
      </w:r>
      <w:r w:rsidRPr="00512371">
        <w:tab/>
        <w:t xml:space="preserve">mając na uwadze, że Parlament z całą stanowczością potępia </w:t>
      </w:r>
      <w:r w:rsidRPr="00512371">
        <w:rPr>
          <w:rStyle w:val="Strong"/>
        </w:rPr>
        <w:t>bezprawną, nieuzasadnioną i niesprowokowaną</w:t>
      </w:r>
      <w:r w:rsidRPr="00512371">
        <w:t xml:space="preserve"> rosyjską agresję na Ukrainę i wspiera suwerenność, niezależność i integralność terytorialną Ukrainy w granicach uznanych na arenie międzynarodowej; </w:t>
      </w:r>
      <w:r w:rsidRPr="00512371">
        <w:rPr>
          <w:rStyle w:val="Strong"/>
        </w:rPr>
        <w:t>mając na uwadze, że Rosja zaatakowała Ukrainę, a zatem najbardziej bezpośrednią i sprawiedliwą drogą do pokoju w Ukrainie jest wycofanie przez Rosję swoich sił z całego terytorium Ukrainy oraz wypłata reparacji za szkody wyrządzone podczas swojej bezprawnej wojny napastniczej;</w:t>
      </w:r>
    </w:p>
    <w:p w14:paraId="75C2E981" w14:textId="77777777" w:rsidR="00512371" w:rsidRPr="00512371" w:rsidRDefault="00512371" w:rsidP="00512371">
      <w:pPr>
        <w:pStyle w:val="NormalWeb"/>
        <w:ind w:left="567" w:hanging="567"/>
        <w:rPr>
          <w:rStyle w:val="Strong"/>
          <w:b w:val="0"/>
          <w:bCs w:val="0"/>
        </w:rPr>
      </w:pPr>
      <w:r w:rsidRPr="00512371">
        <w:t>B.</w:t>
      </w:r>
      <w:r w:rsidRPr="00512371">
        <w:tab/>
      </w:r>
      <w:r w:rsidRPr="00512371">
        <w:rPr>
          <w:rStyle w:val="Strong"/>
        </w:rPr>
        <w:t xml:space="preserve">mając na uwadze, że przy </w:t>
      </w:r>
      <w:r w:rsidRPr="00512371">
        <w:t>wsparciu politycznym, materialnym i wojskowym udzielanym przez swoich sojuszników – w szczególności Białoruś</w:t>
      </w:r>
      <w:r w:rsidRPr="00512371">
        <w:rPr>
          <w:iCs/>
        </w:rPr>
        <w:t>, Iran</w:t>
      </w:r>
      <w:r w:rsidRPr="00512371">
        <w:t xml:space="preserve">  i Koreę Północną</w:t>
      </w:r>
      <w:r w:rsidRPr="00512371">
        <w:rPr>
          <w:rStyle w:val="Strong"/>
        </w:rPr>
        <w:t xml:space="preserve"> – Rosja prowadzi od 24 lutego 2022 r. nielegalną, niesprowokowaną i nieuzasadnioną </w:t>
      </w:r>
      <w:proofErr w:type="spellStart"/>
      <w:r w:rsidRPr="00512371">
        <w:rPr>
          <w:rStyle w:val="Strong"/>
        </w:rPr>
        <w:t>pełnoskalową</w:t>
      </w:r>
      <w:proofErr w:type="spellEnd"/>
      <w:r w:rsidRPr="00512371">
        <w:rPr>
          <w:rStyle w:val="Strong"/>
        </w:rPr>
        <w:t xml:space="preserve"> wojnę napastniczą przeciwko Ukrainie; mając jednak na uwadze, że rosyjska wojna przeciwko Ukrainie rozpoczęła się w 2014 r. od bezprawnej okupacji i aneksji Krymu, a następnie okupacji części obwodu donieckiego i </w:t>
      </w:r>
      <w:proofErr w:type="spellStart"/>
      <w:r w:rsidRPr="00512371">
        <w:rPr>
          <w:rStyle w:val="Strong"/>
        </w:rPr>
        <w:t>ługańskiego</w:t>
      </w:r>
      <w:proofErr w:type="spellEnd"/>
      <w:r w:rsidRPr="00512371">
        <w:rPr>
          <w:rStyle w:val="Strong"/>
        </w:rPr>
        <w:t>; mając na uwadze, że ta wojna napastnicza jest ewidentnym i rażącym naruszeniem Karty Narodów Zjednoczonych oraz podstawowych zasad prawa międzynarodowego i międzynarodowego prawa humanitarnego, ustanowionych w konwencjach genewskich z 1949 r.;</w:t>
      </w:r>
    </w:p>
    <w:p w14:paraId="5184E5D6" w14:textId="77777777" w:rsidR="00512371" w:rsidRPr="00512371" w:rsidRDefault="00512371" w:rsidP="00512371">
      <w:pPr>
        <w:pStyle w:val="NormalWeb"/>
        <w:ind w:left="567" w:hanging="567"/>
        <w:rPr>
          <w:bCs/>
          <w:iCs/>
        </w:rPr>
      </w:pPr>
      <w:r w:rsidRPr="00512371">
        <w:rPr>
          <w:bCs/>
          <w:iCs/>
        </w:rPr>
        <w:t>C.</w:t>
      </w:r>
      <w:r w:rsidRPr="00512371">
        <w:rPr>
          <w:bCs/>
          <w:iCs/>
        </w:rPr>
        <w:tab/>
        <w:t>mając na uwadze, że liczba rosyjskich ataków rakietowych i ataków przeprowadzonych przy użyciu bezzałogowych statków powietrznych drastycznie wzrosła w czerwcu i lipcu 2025 r., a ataki te wymierzone były w infrastrukturę cywilną, w tym szpitale, szkoły, budynki mieszkalne i instytucje kulturalne, i spowodowały największą liczbę ofiar wśród ludności cywilnej od maja 2022 r.; mając na uwadze, że – według danych misji obserwacyjnej ONZ ds. praw człowieka w Ukrainie – w czerwcu 2025 r. zginęło co najmniej 232 cywilów, a 1343 zostało rannych, natomiast w lipcu 2025 r. odnotowano 286 ofiar cywilnych i 1388 rannych, co stanowi najwyższą liczbę ofiar wśród ludności cywilnej w ciągu jednego miesiąca od maja 2022 r.;</w:t>
      </w:r>
    </w:p>
    <w:p w14:paraId="727212D6" w14:textId="77777777" w:rsidR="00512371" w:rsidRPr="00512371" w:rsidRDefault="00512371" w:rsidP="00512371">
      <w:pPr>
        <w:pStyle w:val="NormalWeb"/>
        <w:ind w:left="567" w:hanging="567"/>
        <w:rPr>
          <w:rFonts w:eastAsiaTheme="majorEastAsia"/>
          <w:iCs/>
        </w:rPr>
      </w:pPr>
      <w:r w:rsidRPr="00512371">
        <w:rPr>
          <w:bCs/>
          <w:iCs/>
        </w:rPr>
        <w:t>D.</w:t>
      </w:r>
      <w:r w:rsidRPr="00512371">
        <w:rPr>
          <w:bCs/>
          <w:iCs/>
        </w:rPr>
        <w:tab/>
        <w:t xml:space="preserve">mając na uwadze, że Rosja zabija wybitne ukraińskie osobistości publiczne i usługodawców oraz prowadzi sabotaż wymierzony przeciwko nim, a także przeciwko infrastrukturze krytycznej; mając na uwadze, że 30 sierpnia 2025 r. we Lwowie brutalnie zamordowano </w:t>
      </w:r>
      <w:proofErr w:type="spellStart"/>
      <w:r w:rsidRPr="00512371">
        <w:rPr>
          <w:bCs/>
          <w:iCs/>
        </w:rPr>
        <w:t>Andrija</w:t>
      </w:r>
      <w:proofErr w:type="spellEnd"/>
      <w:r w:rsidRPr="00512371">
        <w:rPr>
          <w:bCs/>
          <w:iCs/>
        </w:rPr>
        <w:t xml:space="preserve"> </w:t>
      </w:r>
      <w:proofErr w:type="spellStart"/>
      <w:r w:rsidRPr="00512371">
        <w:rPr>
          <w:bCs/>
          <w:iCs/>
        </w:rPr>
        <w:t>Parubija</w:t>
      </w:r>
      <w:proofErr w:type="spellEnd"/>
      <w:r w:rsidRPr="00512371">
        <w:rPr>
          <w:bCs/>
          <w:iCs/>
        </w:rPr>
        <w:t>, byłego przewodniczącego Rady Najwyższej i byłego sekretarza Narodowej Rady Bezpieczeństwa i Obrony;</w:t>
      </w:r>
    </w:p>
    <w:p w14:paraId="1D49A29E" w14:textId="77777777" w:rsidR="00512371" w:rsidRPr="00512371" w:rsidRDefault="00512371" w:rsidP="00512371">
      <w:pPr>
        <w:pStyle w:val="NormalHanging12a"/>
        <w:rPr>
          <w:rStyle w:val="Strong"/>
          <w:b w:val="0"/>
          <w:bCs w:val="0"/>
        </w:rPr>
      </w:pPr>
      <w:r w:rsidRPr="00512371">
        <w:t>E.</w:t>
      </w:r>
      <w:r w:rsidRPr="00512371">
        <w:tab/>
      </w:r>
      <w:r w:rsidRPr="00512371">
        <w:rPr>
          <w:rStyle w:val="Strong"/>
        </w:rPr>
        <w:t>mając na uwadze, że Rosja dopuszcza się udokumentowanych zbrodni wojennych i deportacji na wszystkich nielegalnie okupowanych terytoriach Ukrainy oraz szeroko wykorzystuje manipulację informacjami, dezinformację i rozpowszechnianie propagandy, aby celowo utrzymywać społeczeństwo w dezinformacji i niewiedzy;</w:t>
      </w:r>
    </w:p>
    <w:p w14:paraId="2CF03914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F.</w:t>
      </w:r>
      <w:r w:rsidRPr="00512371">
        <w:rPr>
          <w:bCs/>
          <w:iCs/>
        </w:rPr>
        <w:tab/>
        <w:t xml:space="preserve">mając na uwadze, że 28 sierpnia 2025 r. Rosja przeprowadziła kolejny wyjątkowo brutalny atak z użyciem dronów i pocisków rakietowych na kilka budynków w Kijowie, w wyniku którego zginęły co najmniej 23 osoby, a ponad 63 odniosły rany, w tym dzieci; mając na uwadze, że w wyniku ataku poważnym zniszczeniom uległy pomieszczenia delegatury UE w Ukrainie, co stanowi poważne naruszenie Konwencji wiedeńskiej o stosunkach dyplomatycznych; mając na uwadze, że podczas ataków </w:t>
      </w:r>
      <w:r w:rsidRPr="00512371">
        <w:rPr>
          <w:bCs/>
          <w:iCs/>
        </w:rPr>
        <w:lastRenderedPageBreak/>
        <w:t xml:space="preserve">ucierpiały również biura British </w:t>
      </w:r>
      <w:proofErr w:type="spellStart"/>
      <w:r w:rsidRPr="00512371">
        <w:rPr>
          <w:bCs/>
          <w:iCs/>
        </w:rPr>
        <w:t>Council</w:t>
      </w:r>
      <w:proofErr w:type="spellEnd"/>
      <w:r w:rsidRPr="00512371">
        <w:rPr>
          <w:bCs/>
          <w:iCs/>
        </w:rPr>
        <w:t xml:space="preserve"> w Kijowie, które poważnie uszkodzono, a jedna osoba została ranna;</w:t>
      </w:r>
    </w:p>
    <w:p w14:paraId="16CA7827" w14:textId="77777777" w:rsidR="00512371" w:rsidRPr="00512371" w:rsidRDefault="00512371" w:rsidP="00512371">
      <w:pPr>
        <w:pStyle w:val="NormalWeb"/>
        <w:ind w:left="567" w:hanging="567"/>
        <w:rPr>
          <w:rStyle w:val="Strong"/>
          <w:b w:val="0"/>
          <w:bCs w:val="0"/>
        </w:rPr>
      </w:pPr>
      <w:r w:rsidRPr="00512371">
        <w:t>G.</w:t>
      </w:r>
      <w:r w:rsidRPr="00512371">
        <w:tab/>
      </w:r>
      <w:r w:rsidRPr="00512371">
        <w:rPr>
          <w:rStyle w:val="Strong"/>
        </w:rPr>
        <w:t xml:space="preserve">mając na uwadze, że w odpowiedzi na wojnę napastniczą Rosji powołano Grupę Główną ds. Opcji Utworzenia Specjalnego Trybunału ds. Zbrodni Agresji przeciwko Ukrainie w styczniu 2023 r.; mając na uwadze, że w marcu 2023 r. utworzono w Hadze w ramach </w:t>
      </w:r>
      <w:proofErr w:type="spellStart"/>
      <w:r w:rsidRPr="00512371">
        <w:rPr>
          <w:rStyle w:val="Strong"/>
        </w:rPr>
        <w:t>Eurojustu</w:t>
      </w:r>
      <w:proofErr w:type="spellEnd"/>
      <w:r w:rsidRPr="00512371">
        <w:rPr>
          <w:rStyle w:val="Strong"/>
        </w:rPr>
        <w:t xml:space="preserve"> Międzynarodowe Centrum Ścigania Zbrodni Agresji przeciwko Ukrainie; mając na uwadze, że Grupa Główna sfinalizowała tworzenie ram prawnych dla trybunału w marcu 2025 r.; mając na uwadze, że ponad 40 krajów poparło jego utworzenie we wspólnym oświadczeniu z posiedzenia ministrów spraw zagranicznych z 9 maja 2025 r. w sprawie zakończenia prac Grupy Głównej (deklaracja lwowska); mając na uwadze, że </w:t>
      </w:r>
      <w:r w:rsidRPr="00512371">
        <w:t xml:space="preserve">25 czerwca 2025 r. prezydent Ukrainy </w:t>
      </w:r>
      <w:proofErr w:type="spellStart"/>
      <w:r w:rsidRPr="00512371">
        <w:t>Wołodymyr</w:t>
      </w:r>
      <w:proofErr w:type="spellEnd"/>
      <w:r w:rsidRPr="00512371">
        <w:t xml:space="preserve"> </w:t>
      </w:r>
      <w:proofErr w:type="spellStart"/>
      <w:r w:rsidRPr="00512371">
        <w:t>Zełenski</w:t>
      </w:r>
      <w:proofErr w:type="spellEnd"/>
      <w:r w:rsidRPr="00512371">
        <w:t xml:space="preserve"> i sekretarz generalny Rady Europy Alain </w:t>
      </w:r>
      <w:proofErr w:type="spellStart"/>
      <w:r w:rsidRPr="00512371">
        <w:t>Berset</w:t>
      </w:r>
      <w:proofErr w:type="spellEnd"/>
      <w:r w:rsidRPr="00512371">
        <w:t xml:space="preserve"> podpisali w Strasburgu formalne porozumienie ustanawiające Specjalny Trybunał ds. Zbrodni Agresji przeciwko Ukrainie</w:t>
      </w:r>
      <w:r w:rsidRPr="00512371">
        <w:rPr>
          <w:rStyle w:val="Strong"/>
        </w:rPr>
        <w:t>;</w:t>
      </w:r>
    </w:p>
    <w:p w14:paraId="7070395F" w14:textId="77777777" w:rsidR="00512371" w:rsidRPr="00512371" w:rsidRDefault="00512371" w:rsidP="00512371">
      <w:pPr>
        <w:pStyle w:val="NormalWeb"/>
        <w:ind w:left="567" w:hanging="567"/>
        <w:rPr>
          <w:rFonts w:eastAsiaTheme="majorEastAsia"/>
          <w:bCs/>
          <w:iCs/>
        </w:rPr>
      </w:pPr>
      <w:r w:rsidRPr="00512371">
        <w:rPr>
          <w:bCs/>
          <w:iCs/>
        </w:rPr>
        <w:t>H.</w:t>
      </w:r>
      <w:r w:rsidRPr="00512371">
        <w:rPr>
          <w:bCs/>
          <w:iCs/>
        </w:rPr>
        <w:tab/>
        <w:t xml:space="preserve">mając na uwadze, że 15 sierpnia 2025 r. prezydent USA Donald </w:t>
      </w:r>
      <w:proofErr w:type="spellStart"/>
      <w:r w:rsidRPr="00512371">
        <w:rPr>
          <w:bCs/>
          <w:iCs/>
        </w:rPr>
        <w:t>Trump</w:t>
      </w:r>
      <w:proofErr w:type="spellEnd"/>
      <w:r w:rsidRPr="00512371">
        <w:rPr>
          <w:bCs/>
          <w:iCs/>
        </w:rPr>
        <w:t xml:space="preserve"> i prezydent Federacji Rosyjskiej Władimir Putin spotkali się podczas dwustronnego szczytu w Anchorage na Alasce; mając na uwadze, że po tym szczycie prezydent </w:t>
      </w:r>
      <w:proofErr w:type="spellStart"/>
      <w:r w:rsidRPr="00512371">
        <w:rPr>
          <w:bCs/>
          <w:iCs/>
        </w:rPr>
        <w:t>Trump</w:t>
      </w:r>
      <w:proofErr w:type="spellEnd"/>
      <w:r w:rsidRPr="00512371">
        <w:rPr>
          <w:bCs/>
          <w:iCs/>
        </w:rPr>
        <w:t xml:space="preserve"> spotkał się 18 sierpnia 2025 r. w Waszyngtonie z prezydentem </w:t>
      </w:r>
      <w:proofErr w:type="spellStart"/>
      <w:r w:rsidRPr="00512371">
        <w:rPr>
          <w:bCs/>
          <w:iCs/>
        </w:rPr>
        <w:t>Zełenskim</w:t>
      </w:r>
      <w:proofErr w:type="spellEnd"/>
      <w:r w:rsidRPr="00512371">
        <w:rPr>
          <w:bCs/>
          <w:iCs/>
        </w:rPr>
        <w:t xml:space="preserve"> i przywódcami europejskimi;</w:t>
      </w:r>
    </w:p>
    <w:p w14:paraId="1C55DD1C" w14:textId="77777777" w:rsidR="00512371" w:rsidRPr="00512371" w:rsidRDefault="00512371" w:rsidP="00512371">
      <w:pPr>
        <w:pStyle w:val="NormalHanging12a"/>
        <w:rPr>
          <w:b/>
          <w:bCs/>
        </w:rPr>
      </w:pPr>
      <w:r w:rsidRPr="00512371">
        <w:t>I.</w:t>
      </w:r>
      <w:r w:rsidRPr="00512371">
        <w:tab/>
        <w:t>mając na uwadze, że pomimo trwającej rosyjskiej wojny napastniczej</w:t>
      </w:r>
      <w:r w:rsidRPr="00512371">
        <w:rPr>
          <w:rStyle w:val="Strong"/>
        </w:rPr>
        <w:t>, w wyniku której zginęły tysiące osób, weterani i ich rodziny doznali poważnych traum, wiele miast i podstawowa infrastruktura cywilna popadły w ruinę, a część terytorium Ukrainy nadal jest okupowana przez siły rosyjskie</w:t>
      </w:r>
      <w:r w:rsidRPr="00512371">
        <w:t>, Ukraina wykazuje się wyjątkową niezłomnością i zaangażowaniem na rzecz europejskiej integracji oraz czyni wymierne postępy w tym zakresie;</w:t>
      </w:r>
    </w:p>
    <w:p w14:paraId="25104EB8" w14:textId="77777777" w:rsidR="00512371" w:rsidRPr="00512371" w:rsidRDefault="00512371" w:rsidP="00512371">
      <w:pPr>
        <w:pStyle w:val="NormalHanging12a"/>
      </w:pPr>
      <w:r w:rsidRPr="00512371">
        <w:rPr>
          <w:b/>
          <w:bCs/>
        </w:rPr>
        <w:t>J.</w:t>
      </w:r>
      <w:r w:rsidRPr="00512371">
        <w:rPr>
          <w:b/>
          <w:bCs/>
        </w:rPr>
        <w:tab/>
      </w:r>
      <w:r w:rsidRPr="00512371">
        <w:rPr>
          <w:rStyle w:val="Strong"/>
        </w:rPr>
        <w:t xml:space="preserve">mając na uwadze, że w wyniku rosyjskiej inwazji ponad 4 miliony Ukraińców mieszka obecnie w państwach członkowskich UE w ramach mechanizmu tymczasowej ochrony i korzysta z prawa do pobytu oraz dostępu do rynku pracy, </w:t>
      </w:r>
      <w:r w:rsidRPr="00512371">
        <w:t>mieszkań, opieki medycznej, pomocy społecznej i edukacji dla swoich dzieci</w:t>
      </w:r>
      <w:r w:rsidRPr="00512371">
        <w:rPr>
          <w:rStyle w:val="Strong"/>
        </w:rPr>
        <w:t>;</w:t>
      </w:r>
    </w:p>
    <w:p w14:paraId="7DA8B09F" w14:textId="77777777" w:rsidR="00512371" w:rsidRPr="00512371" w:rsidRDefault="00512371" w:rsidP="00512371">
      <w:pPr>
        <w:pStyle w:val="NormalHanging12a"/>
      </w:pPr>
      <w:r w:rsidRPr="00512371">
        <w:t>K.</w:t>
      </w:r>
      <w:r w:rsidRPr="00512371">
        <w:tab/>
        <w:t xml:space="preserve">mając na uwadze, że proces przystąpienia do UE stanowi dla Ukrainy ważny wkład w pokój i </w:t>
      </w:r>
      <w:proofErr w:type="gramStart"/>
      <w:r w:rsidRPr="00512371">
        <w:t>dobrobyt  oraz</w:t>
      </w:r>
      <w:proofErr w:type="gramEnd"/>
      <w:r w:rsidRPr="00512371">
        <w:t xml:space="preserve"> drogę do ich osiągnięcia, strategiczną odpowiedź na rosyjską agresję i wiarygodną gwarancję bezpieczeństwa dla Ukrainy, wzmacniając geopolityczną odporność UE;</w:t>
      </w:r>
    </w:p>
    <w:p w14:paraId="4B8CC46A" w14:textId="77777777" w:rsidR="00512371" w:rsidRPr="00512371" w:rsidRDefault="00512371" w:rsidP="00512371">
      <w:pPr>
        <w:pStyle w:val="NormalHanging12a"/>
      </w:pPr>
      <w:r w:rsidRPr="00512371">
        <w:t>L.</w:t>
      </w:r>
      <w:r w:rsidRPr="00512371">
        <w:tab/>
        <w:t>mając na uwadze, że reformy legislacyjne Ukrainy świadczą o tym, że jest gotowa dostosować się do dorobku prawnego UE;</w:t>
      </w:r>
    </w:p>
    <w:p w14:paraId="7257EBB3" w14:textId="77777777" w:rsidR="00512371" w:rsidRPr="00512371" w:rsidRDefault="00512371" w:rsidP="00512371">
      <w:pPr>
        <w:pStyle w:val="NormalHanging12a"/>
      </w:pPr>
      <w:r w:rsidRPr="00512371">
        <w:t>M.</w:t>
      </w:r>
      <w:r w:rsidRPr="00512371">
        <w:tab/>
      </w:r>
      <w:r w:rsidRPr="00512371">
        <w:rPr>
          <w:rStyle w:val="Strong"/>
        </w:rPr>
        <w:t xml:space="preserve">mając na uwadze, że GRECO nadal uznaje zdecydowane zaangażowanie Ukrainy w działania na rzecz zwalczania korupcji w niezwykle trudnym dla tego państwa czasie; mając na uwadze, że GRECO zwróciła szczególną uwagę na postępy Ukrainy w zapobieganiu korupcji wśród parlamentarzystów, sędziów i prokuratorów; </w:t>
      </w:r>
      <w:r w:rsidRPr="00512371">
        <w:t xml:space="preserve">mając na uwadze, że pomimo postępów w obszarach takich jak niezawisłość sądów i systemowa korupcja, nadal istnieją wyzwania, którym trzeba zaradzić poprzez większą rozliczalność rządu, nadzór międzynarodowy oraz </w:t>
      </w:r>
      <w:r w:rsidRPr="00512371">
        <w:rPr>
          <w:rStyle w:val="Strong"/>
        </w:rPr>
        <w:t>dalsze wzmacnianie zdolności instytucjonalnych</w:t>
      </w:r>
      <w:r w:rsidRPr="00512371">
        <w:t>;</w:t>
      </w:r>
    </w:p>
    <w:p w14:paraId="31FA2006" w14:textId="77777777" w:rsidR="00512371" w:rsidRPr="00512371" w:rsidRDefault="00512371" w:rsidP="00512371">
      <w:pPr>
        <w:pStyle w:val="NormalHanging12a"/>
        <w:rPr>
          <w:rStyle w:val="Strong"/>
          <w:b w:val="0"/>
          <w:bCs w:val="0"/>
        </w:rPr>
      </w:pPr>
      <w:r w:rsidRPr="00512371">
        <w:lastRenderedPageBreak/>
        <w:t>N.</w:t>
      </w:r>
      <w:r w:rsidRPr="00512371">
        <w:tab/>
      </w:r>
      <w:r w:rsidRPr="00512371">
        <w:rPr>
          <w:rStyle w:val="Strong"/>
        </w:rPr>
        <w:t>mając na uwadze, że zdaniem OECD w ciągu ostatniej dekady Ukraina poczyniła znaczne postępy w reformie ram antykorupcyjnych poprzez poprawę przejrzystości, rozliczalności i uczciwości dzięki otwartym danym, cyfryzacji i wzmocnieniu niezależności organów antykorupcyjnych;</w:t>
      </w:r>
    </w:p>
    <w:p w14:paraId="63AB5288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O.</w:t>
      </w:r>
      <w:r w:rsidRPr="00512371">
        <w:rPr>
          <w:bCs/>
          <w:iCs/>
        </w:rPr>
        <w:tab/>
        <w:t xml:space="preserve">mając na uwadze, że w połowie lipca 2025 r. władze ukraińskie usiłowały podważyć niezależność Krajowego Biura Antykorupcyjnego Ukrainy i Wyspecjalizowanej Prokuratury Antykorupcyjnej przez przyjęcie ustawy 12414 przyznającej prokuratorowi generalnemu szerokie uprawnienia do ingerowania w prowadzone przez te organy dochodzenia; mając na uwadze, że 31 sierpnia 2025 r. w wyniku rozległych nacisków wewnętrznych i zewnętrznych Rada Najwyższa Ukrainy przyjęła ustawę 13533, aby przywrócić status quo </w:t>
      </w:r>
      <w:proofErr w:type="spellStart"/>
      <w:r w:rsidRPr="00512371">
        <w:rPr>
          <w:bCs/>
          <w:iCs/>
        </w:rPr>
        <w:t>ante</w:t>
      </w:r>
      <w:proofErr w:type="spellEnd"/>
      <w:r w:rsidRPr="00512371">
        <w:rPr>
          <w:bCs/>
          <w:iCs/>
        </w:rPr>
        <w:t>, a tym samym podjąć niezbędne środki w celu pełnego przywrócenia niezależności Krajowego Biura Antykorupcyjnego Ukrainy i Wyspecjalizowanej Prokuratury Antykorupcyjnej;</w:t>
      </w:r>
    </w:p>
    <w:p w14:paraId="3E8A08C4" w14:textId="77777777" w:rsidR="00512371" w:rsidRPr="00512371" w:rsidRDefault="00512371" w:rsidP="00512371">
      <w:pPr>
        <w:pStyle w:val="NormalHanging12a"/>
      </w:pPr>
      <w:r w:rsidRPr="00512371">
        <w:t>P.</w:t>
      </w:r>
      <w:r w:rsidRPr="00512371">
        <w:tab/>
      </w:r>
      <w:r w:rsidRPr="00512371">
        <w:rPr>
          <w:rStyle w:val="Strong"/>
        </w:rPr>
        <w:t xml:space="preserve">mając na uwadze, że chociaż Ukraina uzyskała 35 na 100 punktów i zajęła 105. miejsce na 180 krajów w zestawieniu wskaźnika postrzegania korupcji z 2024 r. opublikowanym przez </w:t>
      </w:r>
      <w:proofErr w:type="spellStart"/>
      <w:r w:rsidRPr="00512371">
        <w:rPr>
          <w:rStyle w:val="Strong"/>
        </w:rPr>
        <w:t>Transparency</w:t>
      </w:r>
      <w:proofErr w:type="spellEnd"/>
      <w:r w:rsidRPr="00512371">
        <w:rPr>
          <w:rStyle w:val="Strong"/>
        </w:rPr>
        <w:t xml:space="preserve"> International</w:t>
      </w:r>
      <w:r w:rsidRPr="00512371">
        <w:t xml:space="preserve"> i jest silnie zaangażowana w działania na rzecz zwalczania korupcji, nadal potrzebne są prawdziwe reformy, aby zrealizować te intencje</w:t>
      </w:r>
      <w:r w:rsidRPr="00512371">
        <w:rPr>
          <w:rStyle w:val="Strong"/>
        </w:rPr>
        <w:t xml:space="preserve">; </w:t>
      </w:r>
      <w:r w:rsidRPr="00512371">
        <w:t>mając na uwadze, że kompleksowa reforma administracji publicznej, walka z korupcją, propagowanie praw podstawowych i skuteczne funkcjonowanie instytucji demokratycznych są podstawowymi warunkami przystąpienia do UE;</w:t>
      </w:r>
    </w:p>
    <w:p w14:paraId="507F2D7B" w14:textId="77777777" w:rsidR="00512371" w:rsidRPr="00512371" w:rsidRDefault="00512371" w:rsidP="00512371">
      <w:pPr>
        <w:pStyle w:val="NormalHanging12a"/>
      </w:pPr>
      <w:r w:rsidRPr="00512371">
        <w:t>Q.</w:t>
      </w:r>
      <w:r w:rsidRPr="00512371">
        <w:tab/>
        <w:t>mając na uwadze, że Ukraina poczyniła postępy we współpracy regionalnej i reformach społeczno-gospodarczych, aby dostosować swoją politykę do standardów UE;</w:t>
      </w:r>
    </w:p>
    <w:p w14:paraId="3A009F33" w14:textId="77777777" w:rsidR="00512371" w:rsidRPr="00512371" w:rsidRDefault="00512371" w:rsidP="00512371">
      <w:pPr>
        <w:pStyle w:val="NormalWeb"/>
        <w:ind w:left="567" w:hanging="567"/>
        <w:rPr>
          <w:rStyle w:val="Strong"/>
          <w:b w:val="0"/>
          <w:bCs w:val="0"/>
        </w:rPr>
      </w:pPr>
      <w:r w:rsidRPr="00512371">
        <w:t>R.</w:t>
      </w:r>
      <w:r w:rsidRPr="00512371">
        <w:tab/>
        <w:t xml:space="preserve">mając na uwadze, że ukraińskie instytucje demokratyczne wykazały się zdolnością adaptacyjną, </w:t>
      </w:r>
      <w:r w:rsidRPr="00512371">
        <w:rPr>
          <w:rStyle w:val="Strong"/>
        </w:rPr>
        <w:t xml:space="preserve">pokazując, że nawet w obliczu trwającej wojny napastniczej ze strony Rosji oraz </w:t>
      </w:r>
      <w:r w:rsidRPr="00512371">
        <w:t>w warunkach stanu wojennego</w:t>
      </w:r>
      <w:r w:rsidRPr="00512371">
        <w:rPr>
          <w:rStyle w:val="Strong"/>
        </w:rPr>
        <w:t xml:space="preserve">, Ukraina pozostaje państwem zdolnym do funkcjonowania pod względem instytucjonalnym, demokratycznym i gospodarczym; mając na uwadze, że przeprowadzenie wyborów jest prawnie zakazane i niewykonalne, dopóki Ukraina pozostaje w stanie wojny i obowiązuje w niej stan wojenny; mając na uwadze, że Parlament z zadowoleniem przyjmuje sygnały wskazujące, że przygotowania do wyborów mogą rozpocząć się po zakończeniu stanu wojennego; </w:t>
      </w:r>
    </w:p>
    <w:p w14:paraId="44E8475C" w14:textId="77777777" w:rsidR="00512371" w:rsidRPr="00512371" w:rsidRDefault="00512371" w:rsidP="00512371">
      <w:pPr>
        <w:pStyle w:val="NormalWeb"/>
        <w:ind w:left="567" w:hanging="567"/>
      </w:pPr>
      <w:r w:rsidRPr="00512371">
        <w:t>S.</w:t>
      </w:r>
      <w:r w:rsidRPr="00512371">
        <w:tab/>
        <w:t>mając na uwadze, że mimo postępów w zakresie reformy administracji publicznej wciąż trzeba budować zdolność w tej dziedzinie</w:t>
      </w:r>
      <w:r w:rsidRPr="00512371">
        <w:rPr>
          <w:rStyle w:val="Strong"/>
        </w:rPr>
        <w:t>, kształtować politykę opartą na dowodach</w:t>
      </w:r>
      <w:r w:rsidRPr="00512371">
        <w:t xml:space="preserve"> i poprawiać zarządzanie zasobami ludzkimi;</w:t>
      </w:r>
    </w:p>
    <w:p w14:paraId="1E067A7A" w14:textId="77777777" w:rsidR="00512371" w:rsidRPr="00512371" w:rsidRDefault="00512371" w:rsidP="00512371">
      <w:pPr>
        <w:pStyle w:val="NormalHanging12a"/>
      </w:pPr>
      <w:r w:rsidRPr="00512371">
        <w:t>T.</w:t>
      </w:r>
      <w:r w:rsidRPr="00512371">
        <w:tab/>
        <w:t xml:space="preserve">mając na uwadze, że wznowiono najważniejsze funkcje wymiaru sprawiedliwości, w tym weryfikację sędziów i wdrażanie środków antykorupcyjnych, chociaż trzeba wzmocnić standardy uczciwości i przejrzystości </w:t>
      </w:r>
      <w:r w:rsidRPr="00512371">
        <w:rPr>
          <w:rStyle w:val="Strong"/>
        </w:rPr>
        <w:t>oraz zagwarantować stały nadzór ze strony partnerów międzynarodowych</w:t>
      </w:r>
      <w:r w:rsidRPr="00512371">
        <w:t>;</w:t>
      </w:r>
    </w:p>
    <w:p w14:paraId="79955CEE" w14:textId="77777777" w:rsidR="00512371" w:rsidRPr="00512371" w:rsidRDefault="00512371" w:rsidP="00512371">
      <w:pPr>
        <w:pStyle w:val="NormalHanging12a"/>
      </w:pPr>
      <w:r w:rsidRPr="00512371">
        <w:t>U.</w:t>
      </w:r>
      <w:r w:rsidRPr="00512371">
        <w:tab/>
      </w:r>
      <w:r w:rsidRPr="00512371">
        <w:rPr>
          <w:rStyle w:val="Strong"/>
        </w:rPr>
        <w:t>mając na uwadze, że wzmocnienie niezależności sądów odbyło się przy wsparciu międzynarodowych ekspertów zasiadających w komisjach kwalifikacyjnych sędziów, co zwiększyło również zaufanie publiczne do systemu sądownictwa;</w:t>
      </w:r>
    </w:p>
    <w:p w14:paraId="721B02A8" w14:textId="77777777" w:rsidR="00512371" w:rsidRPr="00512371" w:rsidRDefault="00512371" w:rsidP="00512371">
      <w:pPr>
        <w:pStyle w:val="NormalHanging12a"/>
      </w:pPr>
      <w:r w:rsidRPr="00512371">
        <w:lastRenderedPageBreak/>
        <w:t>V.</w:t>
      </w:r>
      <w:r w:rsidRPr="00512371">
        <w:tab/>
      </w:r>
      <w:r w:rsidRPr="00512371">
        <w:rPr>
          <w:rStyle w:val="Strong"/>
        </w:rPr>
        <w:t>mając na uwadze, że udział ekspertów międzynarodowych w wyborze Wyższej Komisji Kwalifikacyjnej Sędziów (WKKS) zakończył się 1 czerwca 2025 r.;</w:t>
      </w:r>
    </w:p>
    <w:p w14:paraId="1141CBF6" w14:textId="77777777" w:rsidR="00512371" w:rsidRPr="00512371" w:rsidRDefault="00512371" w:rsidP="00512371">
      <w:pPr>
        <w:pStyle w:val="NormalHanging12a"/>
      </w:pPr>
      <w:r w:rsidRPr="00512371">
        <w:t>W.</w:t>
      </w:r>
      <w:r w:rsidRPr="00512371">
        <w:tab/>
        <w:t xml:space="preserve">mając na uwadze, że </w:t>
      </w:r>
      <w:r w:rsidRPr="00512371">
        <w:rPr>
          <w:rStyle w:val="Strong"/>
        </w:rPr>
        <w:t xml:space="preserve">mimo ciągłego niszczenia obiektów energetycznych przez Rosję, </w:t>
      </w:r>
      <w:r w:rsidRPr="00512371">
        <w:t>Ukraina pokazała zaangażowanie na rzecz zielonego programu działań, przyjmując przepisy dotyczące energii odnawialnej i dostosowując się do celów Europejskiego Zielonego Ładu;</w:t>
      </w:r>
    </w:p>
    <w:p w14:paraId="243A699F" w14:textId="77777777" w:rsidR="00512371" w:rsidRPr="00512371" w:rsidRDefault="00512371" w:rsidP="00512371">
      <w:pPr>
        <w:pStyle w:val="NormalWeb"/>
        <w:ind w:left="567" w:hanging="567"/>
        <w:rPr>
          <w:rStyle w:val="Strong"/>
          <w:rFonts w:eastAsiaTheme="majorEastAsia"/>
          <w:b w:val="0"/>
          <w:bCs w:val="0"/>
          <w:iCs/>
        </w:rPr>
      </w:pPr>
      <w:r w:rsidRPr="00512371">
        <w:t>X.</w:t>
      </w:r>
      <w:r w:rsidRPr="00512371">
        <w:tab/>
      </w:r>
      <w:r w:rsidRPr="00512371">
        <w:rPr>
          <w:rStyle w:val="Strong"/>
        </w:rPr>
        <w:t>mając na uwadze, że szkody środowiskowe wyrządzone przez Rosję mają druzgocący wpływ na zasoby naturalne, krytyczne ekosystemy, a także na zdrowie, źródła utrzymania i bezpieczeństwo ludzi w Ukrainie; mając na uwadze, że ekologiczna odbudowa gospodarki polega na naprawie tych szkód i wprowadzeniu Ukrainy na nową ścieżkę zrównoważonego rozwoju środowiskowego i społecznego, zgodną z przepisami dotyczącymi ochrony środowiska zawartymi w dorobku prawnym UE; mając na uwadze, że 1 stycznia 2025 r. Ukraina przestała pełnić funkcję kraju tranzytowego dla rosyjskiego gazu;</w:t>
      </w:r>
    </w:p>
    <w:p w14:paraId="6FF2B6A6" w14:textId="77777777" w:rsidR="00512371" w:rsidRPr="00512371" w:rsidRDefault="00512371" w:rsidP="00512371">
      <w:pPr>
        <w:pStyle w:val="NormalHanging12a"/>
      </w:pPr>
      <w:r w:rsidRPr="00512371">
        <w:t>Y.</w:t>
      </w:r>
      <w:r w:rsidRPr="00512371">
        <w:tab/>
        <w:t>mając na uwadze, że zagraniczni inwestorzy i korporacje wielonarodowe znacznie rozszerzyli swoją kontrolę nad zasobami naturalnymi Ukrainy, w tym gruntami rolnymi, minerałami i infrastrukturą krytyczną; mając na uwadze, że wydarzenia te mogą podważyć suwerenność narodową, bezpieczeństwo żywnościowe i samostanowienie gospodarcze;</w:t>
      </w:r>
    </w:p>
    <w:p w14:paraId="4D55FFDB" w14:textId="77777777" w:rsidR="00512371" w:rsidRPr="00512371" w:rsidRDefault="00512371" w:rsidP="00512371">
      <w:pPr>
        <w:pStyle w:val="NormalWeb"/>
        <w:ind w:left="567" w:hanging="567"/>
        <w:rPr>
          <w:rFonts w:eastAsiaTheme="majorEastAsia"/>
          <w:iCs/>
        </w:rPr>
      </w:pPr>
      <w:r w:rsidRPr="00512371">
        <w:t>Z.</w:t>
      </w:r>
      <w:r w:rsidRPr="00512371">
        <w:tab/>
        <w:t xml:space="preserve">mając na uwadze, że w 2024 r. UE wydała na zakup rosyjskich paliw kopalnych łącznie 21,9 mld EUR, czyli więcej niż 18,7 mld EUR pomocy finansowej, której w tym samym roku udzielono Ukrainie; mając na uwadze, że od początku </w:t>
      </w:r>
      <w:proofErr w:type="spellStart"/>
      <w:r w:rsidRPr="00512371">
        <w:t>pełnoskalowej</w:t>
      </w:r>
      <w:proofErr w:type="spellEnd"/>
      <w:r w:rsidRPr="00512371">
        <w:t xml:space="preserve"> inwazji UE wydała ponad 200 mld EUR na rosyjskie paliwa kopalne, zasilając w ten sposób rosyjski budżet wojenny; mając na uwadze, że Komisja ogłosiła, iż do 2027 r. wstrzyma import gazu z Rosji; mając na uwadze, że UE zapłaciłaby Rosji dodatkowe 57,4 mld EUR do końca 2027 r., gdyby nadal importowała z Rosji taką samą ilość energii jak w 2024 r.;</w:t>
      </w:r>
    </w:p>
    <w:p w14:paraId="774550A4" w14:textId="77777777" w:rsidR="00512371" w:rsidRPr="00512371" w:rsidRDefault="00512371" w:rsidP="00512371">
      <w:pPr>
        <w:pStyle w:val="NormalHanging12a"/>
      </w:pPr>
      <w:r w:rsidRPr="00512371">
        <w:t>AA.</w:t>
      </w:r>
      <w:r w:rsidRPr="00512371">
        <w:tab/>
        <w:t>mając na uwadze, że społeczeństwo obywatelskie pozostaje filarem odporności i demokracji w Ukrainie</w:t>
      </w:r>
      <w:r w:rsidRPr="00512371">
        <w:rPr>
          <w:rStyle w:val="Strong"/>
        </w:rPr>
        <w:t>; mając na uwadze, że pomimo ograniczeń nałożonych przez stan wojenny organizacje pozarządowe kontynuują swoją działalność bez większych przeszkód</w:t>
      </w:r>
      <w:r w:rsidRPr="00512371">
        <w:t>, chociaż przypadki wywierania presji na działaczy budzą obawy i wymagają interwencji rządu</w:t>
      </w:r>
      <w:r w:rsidRPr="00512371">
        <w:rPr>
          <w:rStyle w:val="Strong"/>
        </w:rPr>
        <w:t>; mając na uwadze, że niedawne gwałtowne ograniczenie finansowania ze strony USA ma druzgocące konsekwencje dla ukraińskiego społeczeństwa obywatelskiego</w:t>
      </w:r>
      <w:r w:rsidRPr="00512371">
        <w:t>;</w:t>
      </w:r>
    </w:p>
    <w:p w14:paraId="3933ACD9" w14:textId="77777777" w:rsidR="00512371" w:rsidRPr="00512371" w:rsidRDefault="00512371" w:rsidP="00512371">
      <w:pPr>
        <w:pStyle w:val="NormalHanging12a"/>
      </w:pPr>
      <w:r w:rsidRPr="00512371">
        <w:t>AB.</w:t>
      </w:r>
      <w:r w:rsidRPr="00512371">
        <w:tab/>
        <w:t xml:space="preserve">mając na uwadze, że wolność wypowiedzi i niezależność mediów są zagrożone, w szczególności w warunkach stanu wojennego; mając na uwadze, że trzeba przyjąć środki, aby przywrócić pluralizm mediów, chronić dziennikarzy </w:t>
      </w:r>
      <w:r w:rsidRPr="00512371">
        <w:rPr>
          <w:rStyle w:val="Strong"/>
        </w:rPr>
        <w:t>oraz stworzyć sprzyjające środowisko finansowe</w:t>
      </w:r>
      <w:r w:rsidRPr="00512371">
        <w:rPr>
          <w:b/>
          <w:bCs/>
        </w:rPr>
        <w:t>;</w:t>
      </w:r>
      <w:r w:rsidRPr="00512371">
        <w:rPr>
          <w:rStyle w:val="Strong"/>
        </w:rPr>
        <w:t xml:space="preserve"> mając na uwadze, że zrozumiałe jest, iż w stanie wojennym konieczne są pewne ograniczenia</w:t>
      </w:r>
      <w:r w:rsidRPr="00512371">
        <w:t>;</w:t>
      </w:r>
    </w:p>
    <w:p w14:paraId="0E7AD1AF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AC.</w:t>
      </w:r>
      <w:r w:rsidRPr="00512371">
        <w:rPr>
          <w:bCs/>
          <w:iCs/>
        </w:rPr>
        <w:tab/>
        <w:t xml:space="preserve">mając na uwadze, że Europejska Konfederacja Związków Zawodowych (EKZZ) wyraziła poważne zaniepokojenie pogorszeniem się praw pracowniczych w Ukrainie, w tym naruszeniami wolności związkowych i dialogu społecznego; mając na uwadze, że wolność zrzeszania się, zbiorowe negocjacje i prawo do strajku są chronione na </w:t>
      </w:r>
      <w:r w:rsidRPr="00512371">
        <w:rPr>
          <w:bCs/>
          <w:iCs/>
        </w:rPr>
        <w:lastRenderedPageBreak/>
        <w:t>mocy konwencji Międzynarodowej Organizacji Pracy (MOP), których Ukraina jest stroną, i stanowią kluczowe elementy dorobku prawnego UE i kryteriów kopenhaskich;</w:t>
      </w:r>
    </w:p>
    <w:p w14:paraId="18CAD9AE" w14:textId="77777777" w:rsidR="00512371" w:rsidRPr="00512371" w:rsidRDefault="00512371" w:rsidP="00512371">
      <w:pPr>
        <w:pStyle w:val="NormalHanging12a"/>
      </w:pPr>
      <w:r w:rsidRPr="00512371">
        <w:t>AD.</w:t>
      </w:r>
      <w:r w:rsidRPr="00512371">
        <w:tab/>
        <w:t>mając na uwadze, że proces integracji Ukrainy z UE cieszy się szerokim poparciem społeczeństwa i konsensusem między instytucjami, co pokazuje, że pomimo obecnych trudności społeczeństwo jest zdecydowane dążyć do członkostwa w UE;</w:t>
      </w:r>
    </w:p>
    <w:p w14:paraId="390D970B" w14:textId="77777777" w:rsidR="00512371" w:rsidRPr="00512371" w:rsidRDefault="00512371" w:rsidP="00512371">
      <w:pPr>
        <w:pStyle w:val="NormalHanging12a"/>
      </w:pPr>
      <w:r w:rsidRPr="00512371">
        <w:t>AE.</w:t>
      </w:r>
      <w:r w:rsidRPr="00512371">
        <w:tab/>
      </w:r>
      <w:r w:rsidRPr="00512371">
        <w:rPr>
          <w:rStyle w:val="Strong"/>
        </w:rPr>
        <w:t xml:space="preserve">mając na uwadze, że przystąpienie Ukrainy do UE niesie ze sobą wyraźny wymiar bezpieczeństwa i silne znaczenie symboliczne dla tego kraju i jego ludności w kontekście wojny o jego przetrwanie wobec trwającej agresji Rosji; </w:t>
      </w:r>
      <w:r w:rsidRPr="00512371">
        <w:t>mając na uwadze, że niezachwiane wsparcie UE dla suwerenności, integralności terytorialnej i niepodległości Ukrainy nie zależy od tempa integracji tego kraju z UE;</w:t>
      </w:r>
    </w:p>
    <w:p w14:paraId="596848A0" w14:textId="77777777" w:rsidR="00512371" w:rsidRPr="00512371" w:rsidRDefault="00512371" w:rsidP="00512371">
      <w:pPr>
        <w:pStyle w:val="NormalHanging12a"/>
      </w:pPr>
      <w:r w:rsidRPr="00512371">
        <w:t>AF.</w:t>
      </w:r>
      <w:r w:rsidRPr="00512371">
        <w:tab/>
        <w:t>mając na uwadze, że członkostwo w UE pozostaje ważnym czynnikiem napędzającym demokratyczny rozwój Ukrainy i ma zasadnicze znaczenie dla bezpieczeństwa, stabilności i niezależności tego kraju w przyszłości</w:t>
      </w:r>
      <w:r w:rsidRPr="00512371">
        <w:rPr>
          <w:rStyle w:val="Strong"/>
        </w:rPr>
        <w:t>; mając na uwadze, że członkostwo Ukrainy w UE jest strategiczną inwestycją w pokój, bezpieczeństwo, demokrację i dobrobyt całego kontynentu, ponieważ wzmocni Unię, przyczyniając się do jej odporności geopolitycznej, zwiększając jej potencjał gospodarczy i wzmacniając jej zaangażowanie na rzecz wspólnych wartości, takich jak demokracja, praworządność i wolność</w:t>
      </w:r>
      <w:r w:rsidRPr="00512371">
        <w:t>;</w:t>
      </w:r>
    </w:p>
    <w:p w14:paraId="10B714D8" w14:textId="77777777" w:rsidR="00512371" w:rsidRPr="00512371" w:rsidRDefault="00512371" w:rsidP="00512371">
      <w:pPr>
        <w:pStyle w:val="NormalHanging12a"/>
      </w:pPr>
      <w:r w:rsidRPr="00512371">
        <w:t>AG.</w:t>
      </w:r>
      <w:r w:rsidRPr="00512371">
        <w:tab/>
      </w:r>
      <w:r w:rsidRPr="00512371">
        <w:rPr>
          <w:rStyle w:val="Strong"/>
        </w:rPr>
        <w:t>mając na uwadze, że przystąpienie do UE pozostaje procesem opartym na osiągnięciach, a postępy we wdrażaniu reform należy oceniać wnikliwie i ostrożnie</w:t>
      </w:r>
      <w:bookmarkStart w:id="8" w:name="_Hlk204184035"/>
      <w:r w:rsidRPr="00512371">
        <w:rPr>
          <w:rStyle w:val="Strong"/>
        </w:rPr>
        <w:t>, co leży również w interesie Ukrainy;</w:t>
      </w:r>
    </w:p>
    <w:bookmarkEnd w:id="8"/>
    <w:p w14:paraId="5AA75977" w14:textId="77777777" w:rsidR="00512371" w:rsidRPr="00512371" w:rsidRDefault="00512371" w:rsidP="00512371">
      <w:pPr>
        <w:pStyle w:val="NormalWeb"/>
        <w:rPr>
          <w:rFonts w:eastAsiaTheme="majorEastAsia"/>
          <w:bCs/>
        </w:rPr>
      </w:pPr>
      <w:r w:rsidRPr="00512371">
        <w:rPr>
          <w:rStyle w:val="BoldItalic"/>
        </w:rPr>
        <w:t>Przygotowania Ukrainy do przystąpienia do UE w kontekście rosyjskiej wojny napastniczej</w:t>
      </w:r>
    </w:p>
    <w:p w14:paraId="61201082" w14:textId="77777777" w:rsidR="00512371" w:rsidRPr="00512371" w:rsidRDefault="00512371" w:rsidP="00512371">
      <w:pPr>
        <w:pStyle w:val="NormalHanging12a"/>
      </w:pPr>
      <w:r w:rsidRPr="00512371">
        <w:t>1.</w:t>
      </w:r>
      <w:r w:rsidRPr="00512371">
        <w:tab/>
        <w:t xml:space="preserve">potępia w najostrzejszy sposób trwającą wojnę napastniczą Rosji przeciwko Ukrainie oraz masowe ataki Rosji na ludność cywilną i infrastrukturę cywilną; potwierdza niezachwianą solidarność z odważnym narodem Ukrainy, który </w:t>
      </w:r>
      <w:r w:rsidRPr="00512371">
        <w:rPr>
          <w:bCs/>
          <w:iCs/>
        </w:rPr>
        <w:t>od 2014 r. płaci najwyższą cenę</w:t>
      </w:r>
      <w:r w:rsidRPr="00512371">
        <w:t>, broniąc suwerenności i integralności terytorialnej swojego kraju, a także chroniąc Europę oraz nasze wspólne demokratyczne wartości i zasady; składa najszczersze kondolencje rodzinom poległych bohaterów i niewinnych cywilnych ofiar rosyjskiej agresji, w tym ponad 600 zabitych dzieci;</w:t>
      </w:r>
    </w:p>
    <w:p w14:paraId="262622BF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2.</w:t>
      </w:r>
      <w:r w:rsidRPr="00512371">
        <w:rPr>
          <w:bCs/>
          <w:iCs/>
        </w:rPr>
        <w:tab/>
        <w:t xml:space="preserve">zdecydowanie potępia organizowane przez Rosję zabójstwa wybitnych ukraińskich postaci publicznych i wysokiej rangi wojskowych oraz sabotaż ukraińskiej infrastruktury krytycznej; wyraża przerażenie i oburzenie z powodu haniebnego zabójstwa – 30 sierpnia 2025 r. we Lwowie – </w:t>
      </w:r>
      <w:proofErr w:type="spellStart"/>
      <w:r w:rsidRPr="00512371">
        <w:rPr>
          <w:bCs/>
          <w:iCs/>
        </w:rPr>
        <w:t>Andrija</w:t>
      </w:r>
      <w:proofErr w:type="spellEnd"/>
      <w:r w:rsidRPr="00512371">
        <w:rPr>
          <w:bCs/>
          <w:iCs/>
        </w:rPr>
        <w:t xml:space="preserve"> </w:t>
      </w:r>
      <w:proofErr w:type="spellStart"/>
      <w:r w:rsidRPr="00512371">
        <w:rPr>
          <w:bCs/>
          <w:iCs/>
        </w:rPr>
        <w:t>Parubija</w:t>
      </w:r>
      <w:proofErr w:type="spellEnd"/>
      <w:r w:rsidRPr="00512371">
        <w:rPr>
          <w:bCs/>
          <w:iCs/>
        </w:rPr>
        <w:t>, byłego przewodniczącego Rady Najwyższej Ukrainy i byłego sekretarza Narodowej Rady Bezpieczeństwa i Obrony, który wykazał silne zaangażowanie w realizację europejskich aspiracji Ukrainy;</w:t>
      </w:r>
    </w:p>
    <w:p w14:paraId="200FB2DC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3.</w:t>
      </w:r>
      <w:r w:rsidRPr="00512371">
        <w:rPr>
          <w:bCs/>
          <w:iCs/>
        </w:rPr>
        <w:tab/>
        <w:t xml:space="preserve">wyraża oburzenie nasileniem ataków z użyciem dronów i pocisków rakietowych przeprowadzanych przez Rosję na cele cywilne, w tym atakiem na Kijów 28 sierpnia 2025 r., którego bezpośrednim celem była delegatura UE w Ukrainie i British </w:t>
      </w:r>
      <w:proofErr w:type="spellStart"/>
      <w:r w:rsidRPr="00512371">
        <w:rPr>
          <w:bCs/>
          <w:iCs/>
        </w:rPr>
        <w:t>Council</w:t>
      </w:r>
      <w:proofErr w:type="spellEnd"/>
      <w:r w:rsidRPr="00512371">
        <w:rPr>
          <w:bCs/>
          <w:iCs/>
        </w:rPr>
        <w:t>; podkreśla, że ostatni atak, a także wszystkie inne ataki wymierzone w infrastrukturę cywilną, stanowią zbrodnię wojenną i ponownie pokazują, że Rosja jawnie lekceważy życie ludzkie, prawo międzynarodowe, wysiłki USA na rzecz pokoju oraz podstawowe zasady dotyczące ochrony ludności cywilnej;</w:t>
      </w:r>
    </w:p>
    <w:p w14:paraId="154D619D" w14:textId="77777777" w:rsidR="00512371" w:rsidRPr="00512371" w:rsidRDefault="00512371" w:rsidP="00512371">
      <w:pPr>
        <w:pStyle w:val="NormalHanging12a"/>
      </w:pPr>
      <w:r w:rsidRPr="00512371">
        <w:lastRenderedPageBreak/>
        <w:t>4.</w:t>
      </w:r>
      <w:r w:rsidRPr="00512371">
        <w:tab/>
        <w:t>potwierdza niezachwiane poparcie dla niepodległości, suwerenności i integralności terytorialnej Ukrainy w granicach uznanych na arenie międzynarodowej; ponownie podkreśla, że prowadzi politykę nieuznawania terytoriów Ukrainy tymczasowo okupowanych przez Rosję, w tym Krymu; zdecydowanie podkreśla niezbywalne prawo Ukrainy do samoobrony zgodnie z art. 51 Karty Narodów Zjednoczonych, które obejmuje prawo do ataków na cele wojskowe na terytorium Rosji; potwierdza zaangażowanie UE na rzecz sprawiedliwego i trwałego pokoju w Ukrainie na warunkach akceptowalnych dla Ukrainy i jej obywateli, który pozwoliłby zachować suwerenność i integralność terytorialną tego kraju oraz zagwarantować ściganie osób odpowiedzialnych za zbrodnie wojenne, a także wypłatę reparacji; wzywa UE i jej państwa członkowskie do aktywnych działań na rzecz utrzymania i osiągnięcia jak najszerszego międzynarodowego wsparcia dla Ukrainy oraz znalezienia pokojowego rozwiązania wojny, które musi opierać się na pełnym poszanowaniu prawa międzynarodowego, suwerenności i integralności terytorialnej Ukrainy oraz odpowiedzialności za zbrodnie wojenne i zbrodnię agresji, a także na wypłacie przez Rosję reparacji za rozległe szkody spowodowane w Ukrainie; podkreśla, że pokojowe rozwiązania muszą być zgodne z wolą narodu ukraińskiego, nie mogą być narzucane przez inne podmioty międzynarodowe i nie mogą nagradzać agresji ani podważać przyszłego bezpieczeństwa Ukrainy; uważa nieszczere podejście do negocjacji i niepoważne propozycje składane przez rosyjskich przywódców w ciągu ostatnich miesięcy za dodatkowe dowody na to, że Rosja zamierza przedłużać wojnę na całym terytorium Ukrainy tak długo, jak będzie mogła i będzie miała na to przyzwolenie; podkreśla, że negocjacje pokojowe muszą być poprzedzone bezwarunkowym zawieszeniem broni; apeluje do UE, aby nadal wspierała ukraińskie i międzynarodowe wysiłki na rzecz skuteczniejszego dokumentowania zbrodni wojennych popełnionych przez siły rosyjskie oraz prowadzenia dochodzeń w ich sprawie;</w:t>
      </w:r>
    </w:p>
    <w:p w14:paraId="54A686A5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5.</w:t>
      </w:r>
      <w:r w:rsidRPr="00512371">
        <w:tab/>
        <w:t xml:space="preserve">wyraża głębokie zaniepokojenie zmianą stanowiska Stanów Zjednoczonych wobec rosyjskiej wojny napastniczej, która obejmuje bezpośrednie rozmowy z Rosją bez wywierania na nią znaczącej presji, publiczną rezygnację z istotnych narzędzi nacisku, odmowę wprowadzenia dalszych sankcji i rozmowy na temat ich zniesienia, oraz próby zmuszenia Ukrainy do ustępstw terytorialnych i zrzeczenia się jej uzasadnionego prawa do samoobrony; zaznacza, że w świetle tych wydarzeń UE i państwa członkowskie muszą pozostać głównymi strategicznymi sojusznikami Ukrainy i powinny wzmocnić swoją wiodącą rolę we wspieraniu jej walki o suwerenność, pokój i sprawiedliwość; </w:t>
      </w:r>
      <w:r w:rsidRPr="00512371">
        <w:rPr>
          <w:bCs/>
          <w:iCs/>
        </w:rPr>
        <w:t>przyznaje, że bezpieczeństwo Ukrainy stanowi jeden z kluczowych elementów bezpieczeństwa UE;</w:t>
      </w:r>
      <w:r w:rsidRPr="00512371">
        <w:t xml:space="preserve"> zauważa, że wsparcie udzielane Ukrainie przez UE jest obecnie wyższe niż wsparcie ze strony Stanów Zjednoczonych, co podkreśla istotną rolę UE w podtrzymywaniu oporu Ukrainy i jej odbudowie;</w:t>
      </w:r>
    </w:p>
    <w:p w14:paraId="13885424" w14:textId="77777777" w:rsidR="00512371" w:rsidRPr="00512371" w:rsidRDefault="00512371" w:rsidP="00512371">
      <w:pPr>
        <w:rPr>
          <w:bCs/>
          <w:iCs/>
        </w:rPr>
      </w:pPr>
    </w:p>
    <w:p w14:paraId="7010A7A4" w14:textId="77777777" w:rsidR="00512371" w:rsidRPr="00512371" w:rsidRDefault="00512371" w:rsidP="00512371">
      <w:pPr>
        <w:pStyle w:val="NormalHanging12a"/>
      </w:pPr>
      <w:r w:rsidRPr="00512371">
        <w:t>6.</w:t>
      </w:r>
      <w:r w:rsidRPr="00512371">
        <w:tab/>
        <w:t>podkreśla, że UE i jej państwa członkowskie muszą znacznie zwiększyć skuteczność i przyspieszyć dostarczanie pomocy wojskowej, materialnej i finansowej, aby Ukraina utrzymała swoje prawo do samoobrony; podkreśla, że UE i jej państwa członkowskie, a także ich partnerzy i sojusznicy, muszą działać na rzecz ustanowienia silnych gwarancji bezpieczeństwa dla Ukrainy, aby powstrzymać dalszą rosyjską agresję i umożliwić Ukrainie pełne skupienie się na realizacji niezbędnych reform na drodze do przystąpienia do UE; podkreśla znaczenie trwałego wzmocnienia bezpieczeństwa wschodniej flanki UE i NATO w odpowiedzi na zagrożenia ze strony Rosji; apeluje o rozwój infrastruktury wojskowej i logistycznej w państwach sąsiadujących z Ukrainą; uznaje prawo Ukrainy do suwerennego wyboru sojuszy wojskowych;</w:t>
      </w:r>
    </w:p>
    <w:p w14:paraId="49FC321E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lastRenderedPageBreak/>
        <w:t>7.</w:t>
      </w:r>
      <w:r w:rsidRPr="00512371">
        <w:rPr>
          <w:bCs/>
          <w:iCs/>
        </w:rPr>
        <w:tab/>
        <w:t xml:space="preserve">odnotowuje niedawne spotkanie prezydenta USA Donalda </w:t>
      </w:r>
      <w:proofErr w:type="spellStart"/>
      <w:r w:rsidRPr="00512371">
        <w:rPr>
          <w:bCs/>
          <w:iCs/>
        </w:rPr>
        <w:t>Trumpa</w:t>
      </w:r>
      <w:proofErr w:type="spellEnd"/>
      <w:r w:rsidRPr="00512371">
        <w:rPr>
          <w:bCs/>
          <w:iCs/>
        </w:rPr>
        <w:t xml:space="preserve"> z Władimirem Putinem i podkreśla, że wyraźnie kontrastuje ono z masową eskalacją ataków Rosji na Ukrainę, które ponownie dowodzą, że Rosja nie jest w ogóle zainteresowana pokojem, lecz raczej podporządkowaniem sobie Ukrainy; podkreśla, że Władimir Putin niechętnie angażuje się w amerykańskie działania na rzecz pokoju i jedynie gra na czas, aby kontynuować rosyjską wojnę napastniczą; wzywa Donalda </w:t>
      </w:r>
      <w:proofErr w:type="spellStart"/>
      <w:r w:rsidRPr="00512371">
        <w:rPr>
          <w:bCs/>
          <w:iCs/>
        </w:rPr>
        <w:t>Trumpa</w:t>
      </w:r>
      <w:proofErr w:type="spellEnd"/>
      <w:r w:rsidRPr="00512371">
        <w:rPr>
          <w:bCs/>
          <w:iCs/>
        </w:rPr>
        <w:t xml:space="preserve">, aby podjął działania zgodnie ze swoją zapowiedzią dotyczącą wprowadzenia przez Stany Zjednoczone dalszych zdecydowanych sankcji gospodarczych wobec Rosji i krajów, które napędzają jej machinę wojenną; podkreśla, że nie można negocjować trwałego i sprawiedliwego pokoju w Ukrainie bez pełnego udziału przywódców Ukrainy i wsparcia jej narodu, a także bez udziału Unii Europejskiej; zauważa z aprobatą, że 18 sierpnia 2025 r. odbyło się spotkanie Donalda </w:t>
      </w:r>
      <w:proofErr w:type="spellStart"/>
      <w:r w:rsidRPr="00512371">
        <w:rPr>
          <w:bCs/>
          <w:iCs/>
        </w:rPr>
        <w:t>Trumpa</w:t>
      </w:r>
      <w:proofErr w:type="spellEnd"/>
      <w:r w:rsidRPr="00512371">
        <w:rPr>
          <w:bCs/>
          <w:iCs/>
        </w:rPr>
        <w:t xml:space="preserve"> z </w:t>
      </w:r>
      <w:proofErr w:type="spellStart"/>
      <w:r w:rsidRPr="00512371">
        <w:rPr>
          <w:bCs/>
          <w:iCs/>
        </w:rPr>
        <w:t>Wołodymyrem</w:t>
      </w:r>
      <w:proofErr w:type="spellEnd"/>
      <w:r w:rsidRPr="00512371">
        <w:rPr>
          <w:bCs/>
          <w:iCs/>
        </w:rPr>
        <w:t xml:space="preserve"> </w:t>
      </w:r>
      <w:proofErr w:type="spellStart"/>
      <w:r w:rsidRPr="00512371">
        <w:rPr>
          <w:bCs/>
          <w:iCs/>
        </w:rPr>
        <w:t>Zełenskim</w:t>
      </w:r>
      <w:proofErr w:type="spellEnd"/>
      <w:r w:rsidRPr="00512371">
        <w:rPr>
          <w:bCs/>
          <w:iCs/>
        </w:rPr>
        <w:t xml:space="preserve"> i kilkoma europejskimi przywódcami; potwierdza swoje zdecydowane zaangażowanie na rzecz zapewnienia gwarancji bezpieczeństwa i podjęcia wszelkich niezbędnych kroków w celu wzmocnienia ukraińskich sił zbrojnych i przemysłu obronnego; odrzuca wszelkie twierdzenia Rosji, że jest ona gwarantem przyszłych porozumień dotyczących bezpieczeństwa Ukrainy, oraz wszelkie próby wpływu na liczebność i suwerenność operacyjną ukraińskich sił zbrojnych;</w:t>
      </w:r>
    </w:p>
    <w:p w14:paraId="6B1B8655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8.</w:t>
      </w:r>
      <w:r w:rsidRPr="00512371">
        <w:tab/>
        <w:t>przypomina, że Europa udzieliła już Ukrainie pomocy wojskowej w wysokości 50 mld EUR, ale podkreśla, że potrzebna jest dalsza pomoc i że wsparcie to opiera się obecnie w dużej mierze na samej Europie; wzywa państwa członkowskie do dostarczenia Ukrainie większej ilości broni i amunicji przed zakończeniem jakichkolwiek negocjacji oraz do znacznego wzmocnienia wymiany danych wywiadowczych z Ukrainą; wzywa państwa członkowskie, partnerów międzynarodowych i sojuszników z NATO do zniesienia wszelkich ograniczeń dotyczących wykorzystania zachodnich systemów uzbrojenia dostarczonych do Ukrainy przeciwko celom wojskowym na terytorium Rosji; z zadowoleniem przyjmuje wysiłki Ukrainy na rzecz wzmocnienia krajowej bazy przemysłu obronnego, w tym produkcji dronów i innych technologii krytycznych; podkreśla ogromne znaczenie współpracy z Ukrainą i włączenia Ukrainy do inicjatyw UE w zakresie obronności, w tym włączenia ukraińskiego przemysłu obronnego do europejskiej bazy technologiczno-przemysłowej sektora obronnego w celu wzmocnienia strategicznej autonomii UE; popiera rozwój wspólnych projektów produkcji broni z partnerami z UE i NATO; wzywa Komisję i państwa członkowskie do wspierania tych inicjatyw za pośrednictwem Strategii na rzecz europejskiego przemysłu obronnego i odpowiednich instrumentów, aby wzmocnić długoterminowe zdolności Ukrainy do samoobrony; podkreśla pilną potrzebę odpowiedniego finansowania Instrumentu Wsparcia Ukrainy w ramach Programu na rzecz europejskiego przemysłu obronnego, na który to instrument nie przeznaczono jeszcze żadnych środków;</w:t>
      </w:r>
    </w:p>
    <w:p w14:paraId="19FD5821" w14:textId="77777777" w:rsidR="00512371" w:rsidRPr="00512371" w:rsidRDefault="00512371" w:rsidP="00512371">
      <w:pPr>
        <w:pStyle w:val="NormalHanging12a"/>
      </w:pPr>
      <w:r w:rsidRPr="00512371">
        <w:t>9.</w:t>
      </w:r>
      <w:r w:rsidRPr="00512371">
        <w:tab/>
        <w:t>ponownie apeluje do państw członkowskich UE, aby poszły za przykładem Danii i Niderlandów i nawiązały współpracę z ukraińskim przemysłem obronnym oraz wspierały jego zdolności produkcyjne w możliwie najbardziej efektywny sposób;</w:t>
      </w:r>
    </w:p>
    <w:p w14:paraId="272A972C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10.</w:t>
      </w:r>
      <w:r w:rsidRPr="00512371">
        <w:tab/>
        <w:t xml:space="preserve">z zadowoleniem przyjmuje osiągnięcia misji Unii Europejskiej w zakresie pomocy wojskowej dla Ukrainy (EUMAM </w:t>
      </w:r>
      <w:proofErr w:type="spellStart"/>
      <w:r w:rsidRPr="00512371">
        <w:t>Ukraine</w:t>
      </w:r>
      <w:proofErr w:type="spellEnd"/>
      <w:r w:rsidRPr="00512371">
        <w:t xml:space="preserve">), dzięki której można przeszkolić ukraiński personel wojskowy; popiera decyzję Rady z 8 listopada 2024 r. o przedłużeniu mandatu misji na kolejne dwa lata; apeluje o rozszerzenie zasobów finansowych, logistycznych i ludzkich EUMAM </w:t>
      </w:r>
      <w:proofErr w:type="spellStart"/>
      <w:r w:rsidRPr="00512371">
        <w:t>Ukraine</w:t>
      </w:r>
      <w:proofErr w:type="spellEnd"/>
      <w:r w:rsidRPr="00512371">
        <w:t xml:space="preserve"> i dostosowanie ich do zmieniających się potrzeb w zakresie szkolenia wojskowego Sił Zbrojnych Ukrainy, a także do długoterminowych </w:t>
      </w:r>
      <w:r w:rsidRPr="00512371">
        <w:lastRenderedPageBreak/>
        <w:t xml:space="preserve">działań na rzecz reform zgodnie ze wspólnymi zobowiązaniami w zakresie bezpieczeństwa między UE a Ukrainą; podkreśla, że EUMAM </w:t>
      </w:r>
      <w:proofErr w:type="spellStart"/>
      <w:r w:rsidRPr="00512371">
        <w:t>Ukraine</w:t>
      </w:r>
      <w:proofErr w:type="spellEnd"/>
      <w:r w:rsidRPr="00512371">
        <w:t xml:space="preserve"> powinna być również platformą wymiany najlepszych praktyk, dzięki czemu siły europejskie skorzystają z doświadczeń zdobytych na polu bitwy przez Siły Zbrojne Ukrainy; </w:t>
      </w:r>
    </w:p>
    <w:p w14:paraId="27F63AC4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  <w:r w:rsidRPr="00512371">
        <w:t>11.</w:t>
      </w:r>
      <w:r w:rsidRPr="00512371">
        <w:tab/>
        <w:t>potępia w najostrzejszy sposób brutalne działania Rosji i współudział Białorusi w złym traktowaniu ukraińskich dzieci, w tym w zabójstwach, przymusowych przesiedleniach, deportacjach i nielegalnej adopcji, a także w usuwaniu ukraińskiej tożsamości poprzez przymusową rusyfikację; wzywa UE do ścisłej współpracy z władzami ukraińskimi, organizacjami międzynarodowymi i organizacjami pozarządowymi oraz do wspierania ich w dokumentowaniu wszystkich zaginionych i deportowanych dzieci, gwarantowaniu bezpiecznego powrotu i reintegracji tych dzieci oraz zapewnianiu im niezbędnego wsparcia prawnego, psychologicznego i społecznego;</w:t>
      </w:r>
    </w:p>
    <w:p w14:paraId="2C394B7E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</w:p>
    <w:p w14:paraId="2D11F5E5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12.</w:t>
      </w:r>
      <w:r w:rsidRPr="00512371">
        <w:tab/>
        <w:t>potępia nieludzkie traktowanie przez Rosję ukraińskich jeńców wojennych, w tym tortury i egzekucje, co rażąco narusza konwencje genewskie, podczas gdy rosyjscy jeńcy wojenni w Ukrainie korzystają ze wszystkich praw przyznanych im na mocy prawa międzynarodowego, w tym z wizyt i pomocy ze strony organizacji międzynarodowych, takich jak Międzynarodowy Komitet Czerwonego Krzyża (MKCK); z zadowoleniem przyjmuje największą jak dotąd wymianę więźniów, która miała miejsce w maju 2025 r., i wzywa UE, jej państwa członkowskie oraz społeczność międzynarodową do ułatwiania dalszej wymiany i wywierania niezbędnej presji, aby zapewnić jej kontynuację; potępia nielegalne więzienie przez Rosję ukraińskich cywilów, którzy są przetrzymywani bez prawa kontaktu i w nieludzkich warunkach, włączając w to tortury i egzekucje pozasądowe; wzywa do zwiększenia presji międzynarodowej, aby zapewnić uwolnienie wszystkich zatrzymanych Ukraińców; wzywa MKCK do nalegania, aby władze rosyjskie udzieliły międzynarodowym przedstawicielom MKCK nieograniczonego dostępu do wszystkich miejsc przetrzymywania ukraińskich jeńców wojennych;</w:t>
      </w:r>
    </w:p>
    <w:p w14:paraId="251312DB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</w:p>
    <w:p w14:paraId="67C72C08" w14:textId="77777777" w:rsidR="00512371" w:rsidRPr="00512371" w:rsidRDefault="00512371" w:rsidP="00512371">
      <w:pPr>
        <w:pStyle w:val="NormalHanging12a"/>
      </w:pPr>
      <w:r w:rsidRPr="00512371">
        <w:t>13.</w:t>
      </w:r>
      <w:r w:rsidRPr="00512371">
        <w:tab/>
        <w:t>podkreśla znaczenie kompleksowych mechanizmów rozliczalności i sprawiedliwości; z zadowoleniem przyjmuje ratyfikację przez Ukrainę Rzymskiego Statutu Międzynarodowego Trybunału Karnego oraz odpowiednie zmiany w jej kodeksie karnym; z zadowoleniem przyjmuje wspólne oświadczenie ministrów spraw zagranicznych Grupy Głównej (deklaracja lwowska) z 9 maja 2025 r. w sprawie ustanowienia Specjalnego Trybunału ds. Zbrodni Agresji przeciwko Ukrainie; podkreśla, że ściganie zbrodni agresji ma zasadnicze znaczenie dla utrzymania międzynarodowego porządku opartego na zasadach i zapobiegania bezkarności; apeluje do instytucji UE i państw członkowskich, aby kontynuowały wspieranie tworzenia i funkcjonowania specjalnego trybunału w ramach Rady Europy; wzywa wszystkie strony do zagwarantowania, że ukraińskie organizacje społeczeństwa obywatelskiego i ofiary wojny będą mogły odgrywać znaczącą rolę w pracach trybunału; jest przekonany, że sprawiedliwy i trwały pokój będzie możliwy jedynie wtedy, gdy ukraińskie dzieci i przymusowo deportowani lub zatrzymani cywile oraz jeńcy wojenni zostaną uwolnieni i wrócą do swoich rodzin, a osoby odpowiedzialne zostaną pociągnięte do odpowiedzialności;</w:t>
      </w:r>
    </w:p>
    <w:p w14:paraId="5EF10BE4" w14:textId="77777777" w:rsidR="00512371" w:rsidRPr="00512371" w:rsidRDefault="00512371" w:rsidP="00512371">
      <w:pPr>
        <w:pStyle w:val="NormalHanging12a"/>
      </w:pPr>
      <w:r w:rsidRPr="00512371">
        <w:t xml:space="preserve">14. </w:t>
      </w:r>
      <w:r w:rsidRPr="00512371">
        <w:tab/>
        <w:t xml:space="preserve">Z zadowoleniem przyjmuje wyrok Europejskiego Trybunału Praw Człowieka z dnia 9 lipca 2025 r. w sprawie Ukraina i Holandia przeciwko Rosji, w którym Rosja została uznana za odpowiedzialną za powszechne i rażące naruszenia praw człowieka na Ukrainie – w tym za zestrzelenie samolotu MH17, tortury, gwałty stosowane jako broń </w:t>
      </w:r>
      <w:r w:rsidRPr="00512371">
        <w:lastRenderedPageBreak/>
        <w:t>wojenną, egzekucje</w:t>
      </w:r>
      <w:r w:rsidRPr="00512371">
        <w:rPr>
          <w:b/>
          <w:bCs/>
        </w:rPr>
        <w:t xml:space="preserve"> </w:t>
      </w:r>
      <w:r w:rsidRPr="00512371">
        <w:t>doraźne, bezprawne i arbitralne zatrzymania oraz zorganizowane wywożenie dzieci do Rosji i ich adopcję w Rosji;</w:t>
      </w:r>
    </w:p>
    <w:p w14:paraId="606213A0" w14:textId="77777777" w:rsidR="00512371" w:rsidRPr="00512371" w:rsidRDefault="00512371" w:rsidP="00512371">
      <w:pPr>
        <w:ind w:left="567" w:hanging="567"/>
      </w:pPr>
      <w:r w:rsidRPr="00512371">
        <w:t>15.</w:t>
      </w:r>
      <w:r w:rsidRPr="00512371">
        <w:tab/>
        <w:t xml:space="preserve">podkreśla, że sankcje, wraz z zapobieganiem i przeciwdziałaniem uchylaniu się od nich, pozostają najważniejszymi instrumentami pozwalającymi osłabiać zdolność Rosji do kontynuowania wojny napastniczej i neutralizować zagrożenia dla bezpieczeństwa europejskiego; wzywa do rozszerzenia sankcji wymierzonych w rosyjską gospodarkę, w tym w sektorze metalurgicznym, jądrowym, chemicznym, energetycznym i finansowym; z zadowoleniem odnotowuje przyjęcie </w:t>
      </w:r>
      <w:r w:rsidRPr="00512371">
        <w:rPr>
          <w:bCs/>
          <w:iCs/>
        </w:rPr>
        <w:t>18 pakietów</w:t>
      </w:r>
      <w:r w:rsidRPr="00512371">
        <w:rPr>
          <w:b/>
          <w:i/>
        </w:rPr>
        <w:t xml:space="preserve"> </w:t>
      </w:r>
      <w:r w:rsidRPr="00512371">
        <w:t>sankcji wobec Federacji Rosyjskiej i wzywa UE i jej państwa członkowskie do przyjęcia dodatkowych pakietów sankcji, w szczególności mających na celu przeciwdziałanie obchodzeniu obowiązujących środków; podkreśla, że ścisłe wdrażanie i egzekwowanie sankcji jest niezbędne, by pozbawić rosyjską machinę wojenną zasobów i wzmocnić odporność Ukrainy; wzywa Komisję i państwa członkowskie, aby działały na rzecz dalszego udziału Stanów Zjednoczonych we wdrażaniu sankcji wobec Rosji w celu utrzymania presji na gospodarkę i budżet Rosji; jest zdania, że trzeba przedłużyć i utrzymać sankcje do czasu zakończenia rosyjskiej wojny napastniczej przeciwko Ukrainie i wypłaty reparacji wojennych;</w:t>
      </w:r>
    </w:p>
    <w:p w14:paraId="2D97CD3F" w14:textId="77777777" w:rsidR="00512371" w:rsidRPr="00512371" w:rsidRDefault="00512371" w:rsidP="00512371">
      <w:pPr>
        <w:ind w:left="567" w:hanging="567"/>
      </w:pPr>
    </w:p>
    <w:p w14:paraId="33A9C7D9" w14:textId="77777777" w:rsidR="00512371" w:rsidRPr="00512371" w:rsidRDefault="00512371" w:rsidP="00512371">
      <w:pPr>
        <w:ind w:left="567" w:hanging="567"/>
      </w:pPr>
      <w:r w:rsidRPr="00512371">
        <w:t>16.</w:t>
      </w:r>
      <w:r w:rsidRPr="00512371">
        <w:tab/>
        <w:t xml:space="preserve">wzywa do szybszego wycofywania rosyjskich produktów węglowodorowych z UE, aby ostatecznie doprowadzić do ich całkowitego zakazu; przypomina, że uniezależnienie się UE od rosyjskiej energii, w tym węglowodorów, ma zasadnicze znaczenie dla bezpieczeństwa energetycznego Europy; z zadowoleniem przyjmuje skuteczne wdrożenie całkowitego embarga UE na rosyjski węgiel, co spowodowało, że Unia nie jest już od niego zależna; przypomina o embargu UE na rosyjską ropę naftową, ale ubolewa, że </w:t>
      </w:r>
      <w:r w:rsidRPr="00512371">
        <w:rPr>
          <w:bCs/>
          <w:iCs/>
        </w:rPr>
        <w:t>rząd Węgier</w:t>
      </w:r>
      <w:r w:rsidRPr="00512371">
        <w:t xml:space="preserve"> i </w:t>
      </w:r>
      <w:r w:rsidRPr="00512371">
        <w:rPr>
          <w:bCs/>
          <w:iCs/>
        </w:rPr>
        <w:t>rząd Słowacji</w:t>
      </w:r>
      <w:r w:rsidRPr="00512371">
        <w:t xml:space="preserve"> postanowiły pozostać od niej zależne, i wzywa je do szybkiego zakończenia tej szkodliwej zależności, w razie potrzeby przy użyciu specjalnych środków wsparcia; wzywa Radę do nałożenia sankcji na wszystkie statki wchodzące w skład rosyjskiej floty cieni oraz do skontaktowania się z państwami bandery w celu wykreślenia tych statków z rejestru, co sprawi, że zakłady ubezpieczeń nie będą mogły objąć ich ubezpieczeniem; wzywa do wzmożenia wysiłków przeciwko obchodzeniu obowiązujących sankcji wobec rosyjskiej ropy naftowej; wzywa UE i koalicję G7 do obniżenia pułapu cen ropy, aby jeszcze bardziej zmniejszyć zdolność finansową Rosji do prowadzenia wojny; z zadowoleniem przyjmuje zapowiedziany niedawno przez Komisję plan </w:t>
      </w:r>
      <w:proofErr w:type="spellStart"/>
      <w:r w:rsidRPr="00512371">
        <w:t>REPowerEU</w:t>
      </w:r>
      <w:proofErr w:type="spellEnd"/>
      <w:r w:rsidRPr="00512371">
        <w:t xml:space="preserve">; wzywa jednak Komisję, aby w miarę możliwości przyspieszyła realizację tego planu i w razie potrzeby podjęła środki tymczasowe, takie jak obniżenie pułapu cen ropy naftowej oraz wprowadzenie pułapu cen skroplonego gazu ziemnego oraz kontyngentu przywozowego; zdecydowanie odrzuca apele o wznowienie projektów takich jak </w:t>
      </w:r>
      <w:proofErr w:type="spellStart"/>
      <w:r w:rsidRPr="00512371">
        <w:t>Nord</w:t>
      </w:r>
      <w:proofErr w:type="spellEnd"/>
      <w:r w:rsidRPr="00512371">
        <w:t xml:space="preserve"> </w:t>
      </w:r>
      <w:proofErr w:type="spellStart"/>
      <w:r w:rsidRPr="00512371">
        <w:t>Stream</w:t>
      </w:r>
      <w:proofErr w:type="spellEnd"/>
      <w:r w:rsidRPr="00512371">
        <w:t xml:space="preserve"> 1 i 2; wyraża głębokie ubolewanie, że ponad trzy lata po rozpoczęciu </w:t>
      </w:r>
      <w:proofErr w:type="spellStart"/>
      <w:r w:rsidRPr="00512371">
        <w:t>pełnoskalowej</w:t>
      </w:r>
      <w:proofErr w:type="spellEnd"/>
      <w:r w:rsidRPr="00512371">
        <w:t xml:space="preserve"> inwazji Rada nie nałożyła całkowitego embarga na rosyjski gaz; wzywa do szybkiego przyjęcia tego środka;</w:t>
      </w:r>
    </w:p>
    <w:p w14:paraId="1364A122" w14:textId="77777777" w:rsidR="00512371" w:rsidRPr="00512371" w:rsidRDefault="00512371" w:rsidP="00512371">
      <w:pPr>
        <w:ind w:left="567" w:hanging="567"/>
      </w:pPr>
    </w:p>
    <w:p w14:paraId="16864BE7" w14:textId="77777777" w:rsidR="00512371" w:rsidRPr="00512371" w:rsidRDefault="00512371" w:rsidP="00512371">
      <w:pPr>
        <w:ind w:left="567" w:hanging="567"/>
      </w:pPr>
      <w:r w:rsidRPr="00512371">
        <w:t>17.</w:t>
      </w:r>
      <w:r w:rsidRPr="00512371">
        <w:tab/>
        <w:t xml:space="preserve">ubolewa nad obstrukcyjnymi działaniami rządów w UE, które zagroziły zawetowaniem lub osłabieniem środków ograniczających wobec Rosji; popiera zamiar kryminalizacji naruszania i obchodzenia sankcji w Ukrainie, zgodnie z propozycją zawartą w pilnym projekcie ustawy nr 12406; podkreśla, że trzeba egzekwować te przepisy, by zlikwidować luki prawne, które umożliwiają wycofanie aktywów objętych sankcjami na etapie blokowania, oraz postawić przed sądem osoby umożliwiające prowadzenie wojny napastniczej przez Rosję; </w:t>
      </w:r>
      <w:bookmarkStart w:id="9" w:name="_Hlk204184405"/>
      <w:r w:rsidRPr="00512371">
        <w:t xml:space="preserve">wzywa Ukrainę do przyjęcia tego projektu ustawy zgodnie z najlepszymi praktykami UE; </w:t>
      </w:r>
    </w:p>
    <w:bookmarkEnd w:id="9"/>
    <w:p w14:paraId="391A9963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4C7B34D8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18.</w:t>
      </w:r>
      <w:r w:rsidRPr="00512371">
        <w:tab/>
        <w:t xml:space="preserve">wzywa Komisję i państwa członkowskie do konfiskaty </w:t>
      </w:r>
      <w:proofErr w:type="spellStart"/>
      <w:r w:rsidRPr="00512371">
        <w:t>immobilizowanych</w:t>
      </w:r>
      <w:proofErr w:type="spellEnd"/>
      <w:r w:rsidRPr="00512371">
        <w:t xml:space="preserve"> aktywów rosyjskich i udostępnienia ich Ukrainie na potrzeby obrony, odbudowy i reparacji dla ofiar, zgodnie z prawem międzynarodowym i zasadą odpowiedzialności państwa; podkreśla, że aby osiągnąć ten cel, trzeba zagwarantować, że rosyjskie aktywa państwowe pozostaną unieruchomione w UE;</w:t>
      </w:r>
    </w:p>
    <w:p w14:paraId="2DA7200E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19.</w:t>
      </w:r>
      <w:r w:rsidRPr="00512371">
        <w:tab/>
        <w:t>wzywa Radę i Komisję do objęcia zdecydowanego przywództwa w działaniach na rzecz znalezienia trwałego rozwiązania w sprawie tymczasowego mechanizmu ochrony UE dla ponad 4 milionów Ukraińców, który został przedłużony do marca 2026 r.; podkreśla, że trzeba zagwarantować równe traktowanie i zapobiegać rozdrobnieniu w całej UE; podkreśla, jak ważne jest, by chronić prawa Ukraińców, którzy nie mogą wrócić do swojego kraju i chcą pozostać w UE, a jednocześnie wspierać tych, którzy zdecydują się wrócić do Ukrainy i odbudować tam swoje życie;</w:t>
      </w:r>
    </w:p>
    <w:p w14:paraId="7F858DE7" w14:textId="77777777" w:rsidR="00512371" w:rsidRPr="00512371" w:rsidRDefault="00512371" w:rsidP="00512371">
      <w:pPr>
        <w:ind w:left="567" w:hanging="567"/>
        <w:rPr>
          <w:bCs/>
          <w:i/>
          <w:iCs/>
        </w:rPr>
      </w:pPr>
    </w:p>
    <w:p w14:paraId="41A1C86F" w14:textId="77777777" w:rsidR="00512371" w:rsidRPr="00512371" w:rsidRDefault="00512371" w:rsidP="00512371">
      <w:pPr>
        <w:pStyle w:val="NormalHanging12a"/>
      </w:pPr>
      <w:r w:rsidRPr="00512371">
        <w:t>20.</w:t>
      </w:r>
      <w:r w:rsidRPr="00512371">
        <w:tab/>
        <w:t>zachęca Ukrainę i państwa członkowskie do ścisłej współpracy w celu maksymalizacji potencjalnego udziału gospodarczego uchodźców i diaspory z Ukrainy, aby zagwarantować odporność i </w:t>
      </w:r>
      <w:proofErr w:type="spellStart"/>
      <w:r w:rsidRPr="00512371">
        <w:t>inkluzywność</w:t>
      </w:r>
      <w:proofErr w:type="spellEnd"/>
      <w:r w:rsidRPr="00512371">
        <w:t xml:space="preserve"> trwającego oraz przyszłego procesu odbudowy i rekonstrukcji gospodarczej Ukrainy;</w:t>
      </w:r>
    </w:p>
    <w:p w14:paraId="76932B5A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21.</w:t>
      </w:r>
      <w:r w:rsidRPr="00512371">
        <w:rPr>
          <w:bCs/>
          <w:iCs/>
        </w:rPr>
        <w:tab/>
        <w:t>wzywa siły polityczne w Ukrainie, aby pozostały zjednoczone i nadal kierowały się poczuciem silnej jedności i spójności politycznej, które okazało się wzmacniać odporność Ukrainy w obliczu utrzymującego się egzystencjalnego zagrożenia dla wolności i niezależności kraju; wzywa wszystkie podmioty polityczne w Ukrainie, w szczególności te, które obecnie sprawują władzę, aby wykorzystały swoje uprawnienia wojenne do wspierania jedności politycznej oraz spójnego i integracyjnego kształtowania polityki;</w:t>
      </w:r>
    </w:p>
    <w:p w14:paraId="06F32485" w14:textId="77777777" w:rsidR="00512371" w:rsidRPr="00512371" w:rsidRDefault="00512371" w:rsidP="00512371">
      <w:pPr>
        <w:pStyle w:val="Normal12a24b"/>
      </w:pPr>
      <w:r w:rsidRPr="00512371">
        <w:rPr>
          <w:rStyle w:val="BoldItalic"/>
        </w:rPr>
        <w:t>Zaangażowanie na rzecz przystąpienia do UE</w:t>
      </w:r>
    </w:p>
    <w:p w14:paraId="38CCA981" w14:textId="77777777" w:rsidR="00512371" w:rsidRPr="00512371" w:rsidRDefault="00512371" w:rsidP="00512371">
      <w:pPr>
        <w:pStyle w:val="NormalHanging12a"/>
      </w:pPr>
      <w:r w:rsidRPr="00512371">
        <w:t>22.</w:t>
      </w:r>
      <w:r w:rsidRPr="00512371">
        <w:tab/>
        <w:t>z wielkim zadowoleniem przyjmuje niezachwiane zaangażowanie Ukrainy na rzecz spełnienia wymogów członkostwa w UE, w tym zgodności z dorobkiem prawnym UE, pomimo brutalnej i nieustającej rosyjskiej wojny napastniczej oraz niedawnej ponownej eskalacji ze strony Rosji; wzywa Ukrainę do utrzymania zaangażowania i tempa reform; zwraca uwagę na szybkie tempo wdrażania reform w Ukrainie i z zadowoleniem przyjmuje rosnący wskaźnik dostosowania Ukrainy do wspólnej polityki zagranicznej i bezpieczeństwa UE, który w 2024 r. wyniósł 95 %; zauważa, że postulaty UE w sprawie reform w ramach procesu akcesyjnego popiera ponad 70 % Ukraińców, co podkreśla znaczenie stałego wpływu UE, ustrukturyzowanej warunkowości i komunikacji publicznej w tym okresie;</w:t>
      </w:r>
    </w:p>
    <w:p w14:paraId="1E8F93A1" w14:textId="77777777" w:rsidR="00512371" w:rsidRPr="00512371" w:rsidRDefault="00512371" w:rsidP="00512371">
      <w:pPr>
        <w:pStyle w:val="Normal12a24b"/>
        <w:rPr>
          <w:rStyle w:val="BoldItalic"/>
        </w:rPr>
      </w:pPr>
      <w:r w:rsidRPr="00512371">
        <w:rPr>
          <w:rStyle w:val="BoldItalic"/>
        </w:rPr>
        <w:t>Demokracja, praworządność i walka z korupcją</w:t>
      </w:r>
    </w:p>
    <w:p w14:paraId="051F5232" w14:textId="77777777" w:rsidR="00512371" w:rsidRPr="00512371" w:rsidRDefault="00512371" w:rsidP="00512371">
      <w:pPr>
        <w:pStyle w:val="NormalHanging12a"/>
        <w:spacing w:after="0"/>
      </w:pPr>
      <w:r w:rsidRPr="00512371">
        <w:t>23.</w:t>
      </w:r>
      <w:r w:rsidRPr="00512371">
        <w:tab/>
        <w:t xml:space="preserve">pochwala nadzwyczajne wysiłki Ukrainy na rzecz wzmocnienia instytucji demokratycznych w czasie wojny; zachęca Ukrainę i jej rząd do utrzymania tempa reform; przypomina, że zgodnie z powszechnie uznawanymi zasadami demokracji i konstytucją Ukrainy nie można przeprowadzić wyborów dopóki toczy się w niej wojna i obowiązuje w niej stan wojenny; podkreśla, że demokratyczne wybory wymagają odpowiedniego czasu na przygotowanie oraz dostępu do informacji, aby spełnić standardy międzynarodowe; wzywa władze Ukrainy do powstrzymania się od </w:t>
      </w:r>
      <w:r w:rsidRPr="00512371">
        <w:lastRenderedPageBreak/>
        <w:t>nieterminowych i politycznie motywowanych postępowań sądowych oraz sankcji wobec przedstawicieli opozycji, a także do utrzymania pluralizmu parlamentarnego i wspierania konstruktywnego dialogu między frakcjami politycznymi w Radzie Najwyższej Ukrainy;</w:t>
      </w:r>
    </w:p>
    <w:p w14:paraId="1DA0FF50" w14:textId="77777777" w:rsidR="00512371" w:rsidRPr="00512371" w:rsidRDefault="00512371" w:rsidP="00512371">
      <w:pPr>
        <w:pStyle w:val="NormalHanging12a"/>
        <w:spacing w:after="0"/>
      </w:pPr>
    </w:p>
    <w:p w14:paraId="446F6DEA" w14:textId="77777777" w:rsidR="00512371" w:rsidRPr="00512371" w:rsidRDefault="00512371" w:rsidP="00512371">
      <w:pPr>
        <w:pStyle w:val="NormalHanging12a"/>
        <w:spacing w:after="0"/>
      </w:pPr>
      <w:r w:rsidRPr="00512371">
        <w:t>24.</w:t>
      </w:r>
      <w:r w:rsidRPr="00512371">
        <w:tab/>
        <w:t>ponawia swoje zalecenie, by w kontekście przystąpienia do UE znieść wszelkie ograniczenia dotyczące podróży zagranicznych członków Rady Najwyższej Ukrainy związanych z ich mandatem oraz działalnością polityczną; podkreśla znaczenie poszanowania i wzmocnienia instytucjonalnej roli Rady Najwyższej Ukrainy oraz popiera trwające działania reformatorskie mające na celu wzmocnienie jej zdolności legislacyjnych, nadzoru nad władzą wykonawczą oraz odpowiedzialności wobec społeczeństwa;</w:t>
      </w:r>
    </w:p>
    <w:p w14:paraId="01D87949" w14:textId="77777777" w:rsidR="00512371" w:rsidRPr="00512371" w:rsidRDefault="00512371" w:rsidP="00512371">
      <w:pPr>
        <w:pStyle w:val="NormalHanging12a"/>
        <w:spacing w:after="0"/>
      </w:pPr>
    </w:p>
    <w:p w14:paraId="68B19FBD" w14:textId="77777777" w:rsidR="00512371" w:rsidRPr="00512371" w:rsidRDefault="00512371" w:rsidP="00512371">
      <w:pPr>
        <w:pStyle w:val="NormalHanging12a"/>
        <w:spacing w:after="0"/>
      </w:pPr>
      <w:r w:rsidRPr="00512371">
        <w:t>25.</w:t>
      </w:r>
      <w:r w:rsidRPr="00512371">
        <w:tab/>
        <w:t xml:space="preserve">z zadowoleniem odnotowuje przyjęcie ustawy o stanowieniu prawa, która według Komisji toruje drogę do bardziej ustrukturyzowanego i skutecznego procesu legislacyjnego w Ukrainie po ostatecznym zniesieniu stanu wojennego, a także wysiłki ukraińskiej Centralnej Komisji Wyborczej na rzecz aktualizacji krajowego rejestru wyborców; </w:t>
      </w:r>
    </w:p>
    <w:p w14:paraId="0149F4AD" w14:textId="77777777" w:rsidR="00512371" w:rsidRPr="00512371" w:rsidRDefault="00512371" w:rsidP="00512371">
      <w:pPr>
        <w:pStyle w:val="NormalHanging12a"/>
        <w:spacing w:after="0"/>
      </w:pPr>
    </w:p>
    <w:p w14:paraId="0D3C4141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26.</w:t>
      </w:r>
      <w:r w:rsidRPr="00512371">
        <w:tab/>
        <w:t xml:space="preserve">z zadowoleniem przyjmuje opracowanie przez Ukrainę, we współpracy z Komisją, trzech planów reform obejmujących praworządność, reformę administracji publicznej i funkcjonowanie instytucji demokratycznych, które uwzględniają działania antykorupcyjne; zauważa, że po zatwierdzeniu przez Komisję te plany działania będą stanowić kluczowy wskaźnik referencyjny dla monitorowania postępów Ukrainy w zakresie reform; z zadowoleniem przyjmuje włączenie działań antykorupcyjnych jako integralnego elementu wszystkich trzech planów działania; podkreśla znaczenie ugruntowania reform w kontekście szerszych przemian społecznych i politycznych w celu zapewnienia ich długofalowej trwałości, skutecznego wdrożenia i niezależnego funkcjonowania instytucji publicznych; podkreśla znaczenie pielęgnowania konstruktywnej kultury politycznej i wspierania opartej na zaufaniu współpracy między partiami politycznymi w Ukrainie; z zadowoleniem odnotowuje aktywny udział ukraińskich parlamentarzystów w dialogu im. Jeana </w:t>
      </w:r>
      <w:proofErr w:type="spellStart"/>
      <w:r w:rsidRPr="00512371">
        <w:t>Monneta</w:t>
      </w:r>
      <w:proofErr w:type="spellEnd"/>
      <w:r w:rsidRPr="00512371">
        <w:t xml:space="preserve"> i zachęca do stosowania najlepszych praktyk europejskich sprzyjających współpracy międzypartyjnej w obliczu wspólnych wyzwań na drodze do członkostwa w UE;</w:t>
      </w:r>
    </w:p>
    <w:p w14:paraId="5BA01B20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283D8F07" w14:textId="77777777" w:rsidR="00512371" w:rsidRPr="00512371" w:rsidRDefault="00512371" w:rsidP="00512371">
      <w:pPr>
        <w:pStyle w:val="NormalHanging12a"/>
      </w:pPr>
      <w:r w:rsidRPr="00512371">
        <w:t>27.</w:t>
      </w:r>
      <w:r w:rsidRPr="00512371">
        <w:tab/>
        <w:t>z zadowoleniem przyjmuje postępy w reformie sądownictwa w okresie sprawozdawczym i zachęca Ukrainę do dalszego zwiększania przejrzystości procesów legislacyjnych oraz do przeznaczenia na tę reformę większych zasobów finansowych, ludzkich i technicznych, aby sprostać wyzwaniom utrudniającym rozwój sądownictwa, zwiększyć niezależność sądownictwa i wzmocnić walkę z korupcją, a tym samym zagwarantować zgodność z normami UE, unikając powierzchownych środków, które mogłyby utrudnić przystąpienie do UE;</w:t>
      </w:r>
    </w:p>
    <w:p w14:paraId="5CA4CD04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 xml:space="preserve">28. </w:t>
      </w:r>
      <w:r w:rsidRPr="00512371">
        <w:tab/>
        <w:t xml:space="preserve">zauważa, że pomimo ulepszonych ram prawnych, wymiar sprawiedliwości pozostaje jednym z sektorów najbardziej podatnych na korupcję i ingerencję polityczną, o czym świadczą powtarzające się przypadki korupcji na szeroką skalę i bezprawnego wpływania na działalność sądów i instytucji sądowniczych, w tym Sądu Konstytucyjnego Ukrainy i Wyższej Komisji Kwalifikacyjnej Sędziów; z zaniepokojeniem odnotowuje ciągły paraliż Sądu Konstytucyjnego Ukrainy i wzywa do szybkiego mianowania pozostałych sędziów i obsadzenia wolnych stanowisk w </w:t>
      </w:r>
      <w:r w:rsidRPr="00512371">
        <w:lastRenderedPageBreak/>
        <w:t>Wyższej Radzie Sądownictwa; wzywa ponadto Radę Najwyższą Ukrainy do przyjęcia ustawy o trybunale konstytucyjnym zgodnie z opiniami Komisji Weneckiej, a ponadto wzywa Ukrainę do przyjęcia planu działania i reform wewnętrznych, aby zapobiec nadmiernej ingerencji i wzmocnić etykę sądową; podkreśla szczególne znaczenie ochrony niezależności instytucjonalnej Wyższej Komisji Kwalifikacyjnej Sędziów również w świetle zobowiązań podjętych w ramach umów międzynarodowych, w tym umowy z Międzynarodowym Funduszem Walutowym; podkreśla potrzebę zintensyfikowania walki z korupcją i partykularnymi interesami w sądownictwie, co jest niezbędne do budowania zaufania publicznego i przyspieszenia procesu akcesyjnego Ukrainy; podkreśla, jak ważne są przejrzyste i oparte na osiągnięciach procesy wyboru do organów odpowiedzialnych za zarządzanie wymiarem sprawiedliwości oraz na stanowiska kierownicze, w tym zaangażowanie niezależnych ekspertów krajowych i międzynarodowych; podkreśla potrzebę odpolitycznienia nominacji sędziowskich, gwarancji integralności funkcjonalnej, przejrzystości, uczciwości, rozliczalności i wzmocnionych międzynarodowych mechanizmów monitorowania, aby zapobiec wybiórczemu wymierzaniu sprawiedliwości i zwiększyć zaufanie publiczne do wymiaru sprawiedliwości;</w:t>
      </w:r>
    </w:p>
    <w:p w14:paraId="395A0B9D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4E7C54DC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 xml:space="preserve">29. </w:t>
      </w:r>
      <w:r w:rsidRPr="00512371">
        <w:tab/>
        <w:t xml:space="preserve">z zaniepokojeniem zauważa krytyczny niedobór sędziów, nadmierną liczbę postępowań w większości sądów, znaczne luki w finansowaniu i nierównomierny podział spraw między sędziami, co obniża jakość i terminowość postępowań oraz utrudnia obywatelom dostęp do wymiaru sprawiedliwości; podkreśla, że trzeba rozwiązać te problemy, w tym poprzez wykorzystanie mechanizmów mediacji i selekcji spraw, aby zmniejszyć presję wywieraną na sądownictwo; zauważa, że Ukraina uzyskała 35 na 100 punktów i zajęła 105. miejsce na 180 krajów w zestawieniu wskaźnika postrzegania korupcji z 2024 r. opublikowanym przez </w:t>
      </w:r>
      <w:proofErr w:type="spellStart"/>
      <w:r w:rsidRPr="00512371">
        <w:t>Transparency</w:t>
      </w:r>
      <w:proofErr w:type="spellEnd"/>
      <w:r w:rsidRPr="00512371">
        <w:t xml:space="preserve"> International, co świadczy o skali bieżących wyzwań w zakresie zarządzania antykorupcyjnego; podkreśla, że podniesienie jakości kształcenia kadr wymiaru sprawiedliwości i ukończenie cyfryzacji ukraińskich sądów mają istotne znaczenie dla szerszej reformy sądownictwa w Ukrainie;</w:t>
      </w:r>
    </w:p>
    <w:p w14:paraId="12D05910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5DF565D2" w14:textId="77777777" w:rsidR="00512371" w:rsidRPr="00512371" w:rsidRDefault="00512371" w:rsidP="00512371">
      <w:pPr>
        <w:pStyle w:val="NormalHanging12a"/>
      </w:pPr>
      <w:r w:rsidRPr="00512371">
        <w:t>30.</w:t>
      </w:r>
      <w:r w:rsidRPr="00512371">
        <w:tab/>
        <w:t xml:space="preserve">z zadowoleniem przyjmuje powołanie nowego szefa Krajowej Agencji ds. Zapobiegania Korupcji oraz rozpoczęcie niezależnych audytów w celu oceny skuteczności ukraińskiego Krajowego Biura Antykorupcyjnego w zwalczaniu korupcji; z zadowoleniem odnotowuje wejście w życie znowelizowanego kodeksu karnego i kodeksu postępowania karnego, które mają zwiększyć skuteczność walki z korupcją, w szczególności poprzez udoskonalenie ram dotyczących ugody sądowej; dostrzega wzrost rocznej liczby wyroków wydanych przez Wyższy Sąd Antykorupcyjny Ukrainy oraz liczby aktów oskarżenia składanych przez Krajowe Biuro Antykorupcyjne i Wyspecjalizowaną Prokuraturę Antykorupcyjną, co wskazuje na stały postęp w działalności prokuratorskiej; z zadowoleniem przyjmuje przywrócenie procedur składania oświadczeń majątkowych i publicznego dostępu do nich, wzmocnienie przepisów dotyczących konfliktu interesów oraz poprawę niezależności instytucjonalnej Wyspecjalizowanej Prokuratury Antykorupcyjnej; pochwala przyjęcie planu działania na rzecz wdrożenia strategii odzyskiwania mienia na lata 2024–2025 i powiązanych z nim środków; wzywa do pilnej reformy Agencji ds. Odzyskiwania Mienia i Zarządzania Mieniem i popiera szybkie przyjęcie projektu ustawy nr 12374-d w celu poprawy jej funkcjonowania; z zadowoleniem przyjmuje zwiększenie liczby pracowników Wyspecjalizowanej Prokuratury ds. Środowiska w Prokuraturze Generalnej i wzywa do </w:t>
      </w:r>
      <w:r w:rsidRPr="00512371">
        <w:lastRenderedPageBreak/>
        <w:t>dalszego rozwijania polityki antykorupcyjnej w zakresie zarządzania zasobami naturalnymi;</w:t>
      </w:r>
    </w:p>
    <w:p w14:paraId="2A500D2C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 xml:space="preserve">31. </w:t>
      </w:r>
      <w:r w:rsidRPr="00512371">
        <w:tab/>
        <w:t>odnotowuje utrzymujący się niedobór sędziów Wyższego Sądu Antykorupcyjnego Ukrainy i podkreśla pilną potrzebę ogłoszenia nowego przejrzystego konkursu w celu obsadzenia wolnych stanowisk, aby sąd ten dysponował wystarczającą liczbą personelu i pomieszczeń do skutecznego funkcjonowania; podkreśla potrzebę niezwłocznego obsadzenia wakatu na stanowisku Prokuratora Generalnego oraz znaczenie wzmocnienia niezależności instytucjonalnej tego urzędu, przy jednoczesnym zapewnieniu odpowiedniej kontroli jego uprawnień;</w:t>
      </w:r>
    </w:p>
    <w:p w14:paraId="5C160954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5470CC22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32.</w:t>
      </w:r>
      <w:r w:rsidRPr="00512371">
        <w:tab/>
        <w:t xml:space="preserve">zachęca Ukrainę do ochrony niezależności i zagwarantowania skuteczności instytucji antykorupcyjnych, w tym Wyspecjalizowanej Prokuratury Antykorupcyjnej i Krajowego Biura Antykorupcyjnego, poprzez zapewnienie przejrzystych procedur powoływania ich członków, ochronę tych instytucji przed wpływami politycznymi oraz wzmocnienie ich autonomii instytucjonalnej; podkreśla znaczenie przyznania Wyspecjalizowanej Prokuraturze Antykorupcyjnej większej niezależności od Prokuratury Generalnej oraz wyposażenia Krajowego Biura Antykorupcyjnego w środki umożliwiające mu szybki dostęp do wiedzy kryminalistycznej oraz samodzielne stosowanie podsłuchów, co pozwoli mu prowadzić skuteczne dochodzenia; wyraża uznanie dla Ukrainy za zwiększenie liczby pracowników Wyspecjalizowanej Prokuratury Antykorupcyjnej i podkreśla, że potrzebne są odpowiednie zasoby finansowe i techniczne, aby zagwarantować jej zdolność operacyjną; </w:t>
      </w:r>
      <w:r w:rsidRPr="00512371">
        <w:rPr>
          <w:bCs/>
          <w:iCs/>
        </w:rPr>
        <w:t>zachęca Ukrainę, by rozważyła reformę strukturalną Państwowego Biura Śledczego w celu wzmocnienia jego niezależności i skuteczności, aby zapobiec nadużyciom w kontekście powojennych zmian politycznych w Ukrainie, szczególnie w związku z kampaniami wyborczymi;</w:t>
      </w:r>
    </w:p>
    <w:p w14:paraId="06540E6B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rPr>
          <w:bCs/>
          <w:iCs/>
        </w:rPr>
        <w:t>33.</w:t>
      </w:r>
      <w:r w:rsidRPr="00512371">
        <w:rPr>
          <w:bCs/>
          <w:iCs/>
        </w:rPr>
        <w:tab/>
        <w:t>wyraża zaniepokojenie nieudaną próbą podważenia przez władze ukraińskie niezależności instytucji antykorupcyjnych; z zadowoleniem przyjmuje zdecydowany sprzeciw społeczeństwa obywatelskiego wobec tych niedopuszczalnych prób, który zmusił władze do wycofania się; uważa ten krok władz za niebezpieczną próbę podważenia osiągnięć prawdziwej walki z korupcją; podkreśla, że – gdyby ten krok się powiódł – przyniósłby korzyści jedynie wrogom Ukrainy; zaznacza, że powinno to stanowić wyraźne ostrzeżenie dla wszystkich osób na Ukrainie, które kierując się wąskimi interesami, nie wahają się narażać przyszłości kraju na niebezpieczeństwo;</w:t>
      </w:r>
      <w:r w:rsidRPr="00512371">
        <w:rPr>
          <w:b/>
          <w:i/>
        </w:rPr>
        <w:t xml:space="preserve"> </w:t>
      </w:r>
      <w:r w:rsidRPr="00512371">
        <w:rPr>
          <w:bCs/>
          <w:iCs/>
        </w:rPr>
        <w:t>podkreśla, że walka z korupcją wymaga długoterminowego zaangażowania i kompleksowych wysiłków na rzecz ustanowienia dobrych rządów ze sprawnie funkcjonującymi mechanizmami kontroli i równowagi; popiera stanowisko Komisji, zgodnie z którym instytucje te mają kluczowe znaczenie dla ukraińskiego programu reform i muszą działać niezależnie w celu zwalczania korupcji i utrzymania zaufania społeczeństwa;</w:t>
      </w:r>
    </w:p>
    <w:p w14:paraId="61B9DF15" w14:textId="77777777" w:rsidR="00512371" w:rsidRPr="00512371" w:rsidRDefault="00512371" w:rsidP="00512371">
      <w:pPr>
        <w:pStyle w:val="NormalHanging12a"/>
      </w:pPr>
      <w:r w:rsidRPr="00512371">
        <w:t>34.</w:t>
      </w:r>
      <w:r w:rsidRPr="00512371">
        <w:tab/>
        <w:t xml:space="preserve">z zadowoleniem przyjmuje uchwalenie ustawy o lobbingu jako części programu Ukrainy na rzecz </w:t>
      </w:r>
      <w:proofErr w:type="spellStart"/>
      <w:r w:rsidRPr="00512371">
        <w:t>deoligarchizacji</w:t>
      </w:r>
      <w:proofErr w:type="spellEnd"/>
      <w:r w:rsidRPr="00512371">
        <w:t xml:space="preserve">; podkreśla, że potrzebna jest odnowiona i kompleksowa strategia przeciwdziałania wpływom oligarchów, która zagwarantuje zaangażowanie krajowych zainteresowanych stron, międzynarodowych ekspertów oraz organizacji społeczeństwa obywatelskiego; zachęca władze Ukrainy do kontynuowania prac nad reformą zarządzania przedsiębiorstwami państwowymi zgodnie z wytycznymi OECD, aby zminimalizować możliwość rozdawania stanowisk publicznych i zapobiegać korupcji, w tym poprzez publikację wszystkich danych dotyczących rzeczywistej własności przedsiębiorstw państwowych i dopilnowanie, by wszystkie </w:t>
      </w:r>
      <w:r w:rsidRPr="00512371">
        <w:lastRenderedPageBreak/>
        <w:t>duże przedsiębiorstwa państwowe miały niezależne zarządy, w których panuje równowaga płci;</w:t>
      </w:r>
    </w:p>
    <w:p w14:paraId="32B01C05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 xml:space="preserve">35. </w:t>
      </w:r>
      <w:r w:rsidRPr="00512371">
        <w:tab/>
        <w:t>podkreśla znaczenie dalszej reformy kontroli finansowej, w tym poprawy skuteczności monitorowania przez Państwową Służbę Kontroli i właściwego wdrożenia reformy Izby Obrachunkowej w celu zabezpieczenia wydatków krajowych;</w:t>
      </w:r>
    </w:p>
    <w:p w14:paraId="292FBB2B" w14:textId="77777777" w:rsidR="00512371" w:rsidRPr="00512371" w:rsidRDefault="00512371" w:rsidP="00512371">
      <w:pPr>
        <w:pStyle w:val="NormalHanging12a"/>
      </w:pPr>
      <w:r w:rsidRPr="00512371">
        <w:t>36.</w:t>
      </w:r>
      <w:r w:rsidRPr="00512371">
        <w:tab/>
        <w:t xml:space="preserve">przyjmuje do wiadomości ustalenia zawarte w </w:t>
      </w:r>
      <w:proofErr w:type="spellStart"/>
      <w:r w:rsidRPr="00512371">
        <w:t>addendum</w:t>
      </w:r>
      <w:proofErr w:type="spellEnd"/>
      <w:r w:rsidRPr="00512371">
        <w:t xml:space="preserve"> do drugiego sprawozdania dotyczącego zgodności przyjętego 22 listopada 2024 r. przez Grupę Państw Przeciwko Korupcji Rady Europy, zgodnie z którymi Ukraina wdrożyła lub uwzględniła w zadowalający sposób 18 z 31 zaleceń zawartych w tym sprawozdaniu; zachęca Ukrainę, aby w pełni wdrożyła pozostałe zalecenia, w szczególności poprzez wprowadzenie systemu losowego przydzielania spraw prokuratorom, doprecyzowanie definicji przewinień dyscyplinarnych, a także rozszerzenie zakresu sankcji dyscyplinarnych w celu zapewnienia proporcjonalności i skuteczności, z uwzględnieniem szczególnych okoliczności, w jakich znajduje się Ukraina;</w:t>
      </w:r>
    </w:p>
    <w:p w14:paraId="272C21D0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37.</w:t>
      </w:r>
      <w:r w:rsidRPr="00512371">
        <w:tab/>
        <w:t>apeluje do Ukrainy, by priorytetowo potraktowała kwestie wzmocnienia praworządności, reformy sądownictwa i walki z korupcją oraz wzywa UE i państwa członkowskie do zwiększenia wsparcia dla tych wysiłków, ponieważ postępy w tych obszarach są niezbędne nie tylko dla członkostwa w UE, ale również dla udanej odbudowy i zaufania gospodarczego; zaleca przyjęcie mocnych ram prawnych w zakresie ochrony sygnalistów zgodnie z dorobkiem prawnym UE; zauważa, że obecne ramy polityki antykorupcyjnej Ukrainy wygasają w 2025 r., i podkreśla, że trzeba odnowić państwowy program antykorupcyjny, aby uwzględniał on wkład społeczeństwa obywatelskiego i określał ambitne cele, wymierne kryteria i jasne ramy czasowe;</w:t>
      </w:r>
    </w:p>
    <w:p w14:paraId="6319DD16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38.</w:t>
      </w:r>
      <w:r w:rsidRPr="00512371">
        <w:tab/>
        <w:t>wzywa Komisję do uwzględnienia Ukrainy w unijnym zestawie narzędzi na rzecz praworządności, co pozwoli wzmocnić wdrażanie reform demokratycznych przed jej przystąpieniem do UE; zachęca do zwiększenia zdolności organów ścigania w dziedzinie przestępstw finansowych poprzez opracowanie wytycznych metodologicznych i doprecyzowanie zakresu ich odpowiedzialności, w tym bardziej zdecydowane reagowanie na zorganizowane praktyki przestępcze, takie jak wykorzystywanie „słupów”;</w:t>
      </w:r>
    </w:p>
    <w:p w14:paraId="72437B7E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39.</w:t>
      </w:r>
      <w:r w:rsidRPr="00512371">
        <w:tab/>
        <w:t>zauważa, że rosyjska wojna napastnicza wywiera ogromną presję na ukraiński system sądowy, w tym ze względu na dużą liczbę spraw dotyczących „kolaboracji”; w związku z tym wzywa do starannego stosowania przepisów dotyczących „kolaboracji”, chroniących prawa podstawowe i sprawiedliwość w sądownictwie, oraz wzywa do przyjęcia jednolitego modelu działania prokuratury opartego na jasności prawa i merytorycznej staranności, co ma zasadnicze znaczenie dla reintegracji wyzwolonych terytoriów; w związku z tym zachęca władze Ukrainy do skupienia się na ściganiu przestępstw najpoważniejszych i mających znaczenie dla bezpieczeństwa państwa, zgodnie z czwartą konwencją genewską; apeluje o większą przejrzystość i publiczny dostęp do danych na temat takich działań organów ścigania;</w:t>
      </w:r>
    </w:p>
    <w:p w14:paraId="21E57D32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7C00BAB5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40.</w:t>
      </w:r>
      <w:r w:rsidRPr="00512371">
        <w:tab/>
        <w:t xml:space="preserve">wzywa Ukrainę do uregulowania aktywów wirtualnych poprzez przyjęcie kompleksowych przepisów, wyznaczenie organu nadzorczego, przeprowadzenie oceny ryzyka i wspieranie wykrywania przestępstw finansowych związanych z aktywami wirtualnymi; w związku z tym z zadowoleniem przyjmuje niedawne przyjęcie przez </w:t>
      </w:r>
      <w:r w:rsidRPr="00512371">
        <w:lastRenderedPageBreak/>
        <w:t xml:space="preserve">Radę Najwyższą Ukrainy projektu ustawy nr 11290 i apeluje o przyjęcie projektu ustawy nr 12207, która między innymi wprowadza europejskie systemy certyfikacji </w:t>
      </w:r>
      <w:proofErr w:type="spellStart"/>
      <w:r w:rsidRPr="00512371">
        <w:t>cyberbezpieczeństwa</w:t>
      </w:r>
      <w:proofErr w:type="spellEnd"/>
      <w:r w:rsidRPr="00512371">
        <w:t xml:space="preserve"> i ma na celu dostosowanie ukraińskiego ustawodawstwa do standardów UE; </w:t>
      </w:r>
    </w:p>
    <w:p w14:paraId="43079FE6" w14:textId="77777777" w:rsidR="00512371" w:rsidRPr="00512371" w:rsidRDefault="00512371" w:rsidP="00512371">
      <w:pPr>
        <w:pStyle w:val="Normal12a24b"/>
      </w:pPr>
      <w:r w:rsidRPr="00512371">
        <w:rPr>
          <w:rStyle w:val="BoldItalic"/>
        </w:rPr>
        <w:t>Podstawowe wolności i prawa człowieka</w:t>
      </w:r>
    </w:p>
    <w:p w14:paraId="168E14FF" w14:textId="77777777" w:rsidR="00512371" w:rsidRPr="00512371" w:rsidRDefault="00512371" w:rsidP="00512371">
      <w:pPr>
        <w:pStyle w:val="NormalHanging12a"/>
      </w:pPr>
      <w:r w:rsidRPr="00512371">
        <w:t>41.</w:t>
      </w:r>
      <w:r w:rsidRPr="00512371">
        <w:tab/>
        <w:t>pochwala zaangażowanie Ukrainy w przestrzeganie praw podstawowych w kontekście i pomimo trwającej rosyjskiej wojny napastniczej; podkreśla zasadniczą rolę społeczeństwa obywatelskiego w procesie reform i procesie przystąpienia do UE; podkreśla potrzebę utrzymania bezpiecznego i sprzyjającego środowiska zapewniającego udział organizacji społeczeństwa obywatelskiego, w tym obrońców praw człowieka i działaczy na rzecz praw człowieka; wzywa do pilnej aktualizacji krajowej strategii w zakresie praw człowieka oraz do opracowania kompleksowego planu jej wdrożenia; zachęca do konstruktywnego dialogu obywatelskiego we wszystkich obszarach życia publicznego i politycznego oraz apeluje o utrzymanie politycznej jedności w sprawie europejskiej ścieżki Ukrainy; zachęca do dostosowania przepisów określających mandat Rzecznika Praw Obywatelskich Ukrainy do dorobku prawnego UE;</w:t>
      </w:r>
    </w:p>
    <w:p w14:paraId="63C83754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42.</w:t>
      </w:r>
      <w:r w:rsidRPr="00512371">
        <w:tab/>
        <w:t xml:space="preserve">dostrzega wyzwania związane z utrzymaniem pluralistycznych mediów w warunkach wojny, w tym załamanie rynku, ograniczenia dotyczące bezpieczeństwa i niedobór pracowników; </w:t>
      </w:r>
      <w:r w:rsidRPr="00512371">
        <w:rPr>
          <w:bCs/>
          <w:iCs/>
        </w:rPr>
        <w:t>uważa, że dynamiczna przestrzeń informacyjna Ukrainy i wolność mediów to jeden z największych atutów tego kraju w przeciwstawianiu się rosyjskiej inwazji i propagandzie; apeluje o przywrócenie pełnego zasięgu nadawczego dla dostawców mediów w całym kraju jako kwestii politycznej, zdecydowanie odrzucając dalsze pogłębianie się cenzury politycznej, przy jednoczesnym stosowaniu ewentualnych niezbędnych ograniczeń spowodowanych wojną;</w:t>
      </w:r>
    </w:p>
    <w:p w14:paraId="12FF704E" w14:textId="77777777" w:rsidR="00512371" w:rsidRPr="00512371" w:rsidRDefault="00512371" w:rsidP="00512371">
      <w:pPr>
        <w:pStyle w:val="NormalHanging12a"/>
      </w:pPr>
      <w:r w:rsidRPr="00512371">
        <w:t>43.</w:t>
      </w:r>
      <w:r w:rsidRPr="00512371">
        <w:tab/>
        <w:t>wyraża uznanie dla odważnych działań ukraińskich obrońców praw człowieka i dziennikarzy, którzy dokumentują naruszenia praw człowieka w tymczasowo okupowanych regionach; uznaje strategiczną pozycję Ukrainy na pierwszej linii wojny informacyjnej i z zadowoleniem przyjmuje jej zaangażowanie w inicjatywy europejskie, takie jak Tarcza Demokracji i wspólne zobowiązania w zakresie bezpieczeństwa, mające na celu przeciwdziałanie zagranicznym manipulacjom informacjami i ingerencjom w informacje; przyznaje, że Ukraina jest jednym z najważniejszych partnerów UE w walce z zagranicznymi manipulacjami informacjami i ingerencją w informacje oraz wzywa UE i jej państwa członkowskie do zintensyfikowania walki z rosyjską dezinformacją i zagrożeniami hybrydowymi; wzywa do propagowania umiejętności cyfrowych, egzekwowania aktu o usługach cyfrowych na platformach mediów społecznościowych oraz wzmocnienia komunikacji strategicznej UE w celu przeciwdziałania rosyjskiej ingerencji i wyraźnego informowania o znacznym wsparciu UE dla Ukrainy;</w:t>
      </w:r>
    </w:p>
    <w:p w14:paraId="6C840B31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44.</w:t>
      </w:r>
      <w:r w:rsidRPr="00512371">
        <w:tab/>
        <w:t xml:space="preserve">z zadowoleniem przyjmuje inicjatywy ustawodawcze na rzecz równości osób LGBTQI+ i innych zmarginalizowanych grup, w szczególności projekty ustaw nr 5488 (przestępstwa z nienawiści), 12252 (związki partnerskie) oraz 9103 (zarejestrowane związki partnerskie); wzywa do szybkiego przyjęcia tych ustaw w celu zapewnienia zgodności ze standardami Europejskiego Trybunału Praw Człowieka; wzywa do przyjęcia nowej ustawy antydyskryminacyjnej obejmującej kwestie dotyczące orientacji </w:t>
      </w:r>
      <w:r w:rsidRPr="00512371">
        <w:lastRenderedPageBreak/>
        <w:t>seksualnej, tożsamości płciowej i niepełnosprawności oraz do dalszego wzmacniania ukraińskich ram prawnych przeciwdziałania dyskryminacji;</w:t>
      </w:r>
    </w:p>
    <w:p w14:paraId="20AE531C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45.</w:t>
      </w:r>
      <w:r w:rsidRPr="00512371">
        <w:tab/>
        <w:t>z zadowoleniem przyjmuje zmiany w ustawie o mniejszościach narodowych z lipca 2024 r. wprowadzające dwujęzyczne ścieżki kształcenia i zachęca do szybkiego wdrożenia tych reform poprzez odpowiednie finansowanie i szkolenia dla nauczycieli; z zadowoleniem odnotowuje utworzenie Rady Mniejszości Narodowych i przyjęcie planu działania na rzecz ochrony praw mniejszości narodowych do 2027 r., którego celem jest ujednolicenie przepisów z normami europejskimi; apeluje o zorganizowany i merytoryczny dialog ze społecznościami mniejszościowymi oraz o pełne wdrożenie zaleceń Komisji Weneckiej;</w:t>
      </w:r>
    </w:p>
    <w:p w14:paraId="5AB719D5" w14:textId="77777777" w:rsidR="00512371" w:rsidRPr="00512371" w:rsidRDefault="00512371" w:rsidP="00512371">
      <w:pPr>
        <w:pStyle w:val="NormalHanging12a"/>
      </w:pPr>
      <w:r w:rsidRPr="00512371">
        <w:t>46.</w:t>
      </w:r>
      <w:r w:rsidRPr="00512371">
        <w:tab/>
        <w:t>wyraża uznanie dla zdolności Ukrainy do zagwarantowania ciągłości edukacji i przeprowadzenia jej reformy, zwłaszcza za pośrednictwem narzędzi cyfrowych, programów wspieranych przez UE i rozwoju odpornej infrastruktury publicznej; zachęca Komisję do rozszerzenia wsparcia dla ukraińskich studentów i instytucji w ramach programów Erasmus+, Horyzont Europa i EU4Youth;</w:t>
      </w:r>
    </w:p>
    <w:p w14:paraId="3D66F737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47.</w:t>
      </w:r>
      <w:r w:rsidRPr="00512371">
        <w:tab/>
        <w:t>z zadowoleniem przyjmuje ratyfikację przez Ukrainę konwencji stambulskiej i utworzenie przez nią ośrodków wsparcia dla ocalałych; zachęca Ukrainę do stałego finansowania działań mających zapobiegać przemocy ze względu na płeć i wspierających jej ofiary, zwłaszcza biorąc pod uwagę zwiększone ryzyko podczas wojny; zachęca Ukrainę do ulepszenia zgodnie z normami międzynarodowymi ustawy o zasadach zapobiegania i zwalczania dyskryminacji w Ukrainie oraz kodeksu karnego Ukrainy w zakresie przestępstw z nienawiści oraz do wprowadzenia niezbędnych zmian ustawodawczych w celu wdrożenia konwencji stambulskiej;</w:t>
      </w:r>
    </w:p>
    <w:p w14:paraId="3226D5F8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16EB4E88" w14:textId="77777777" w:rsidR="00512371" w:rsidRPr="00512371" w:rsidRDefault="00512371" w:rsidP="00512371">
      <w:pPr>
        <w:pStyle w:val="NormalHanging12a"/>
      </w:pPr>
      <w:r w:rsidRPr="00512371">
        <w:t>48.</w:t>
      </w:r>
      <w:r w:rsidRPr="00512371">
        <w:tab/>
        <w:t>zwraca uwagę na zwiększone ryzyko handlu ludźmi w sytuacjach konfliktu i po konflikcie, zwłaszcza w przypadku kobiet i dzieci; apeluje do władz Ukrainy, aby przy wsparciu UE wzmocniły mechanizmy wykrywania i współpracowały ze społeczeństwem obywatelskim w celu zapewnienia ochrony i rehabilitacji ofiar zgodnie z dyrektywą UE w sprawie zwalczania handlu ludźmi</w:t>
      </w:r>
      <w:r w:rsidRPr="00512371">
        <w:rPr>
          <w:rStyle w:val="FootnoteReference"/>
        </w:rPr>
        <w:footnoteReference w:id="3"/>
      </w:r>
      <w:r w:rsidRPr="00512371">
        <w:t>;</w:t>
      </w:r>
    </w:p>
    <w:p w14:paraId="5C307D2A" w14:textId="77777777" w:rsidR="00512371" w:rsidRPr="00512371" w:rsidRDefault="00512371" w:rsidP="00512371">
      <w:pPr>
        <w:pStyle w:val="NormalHanging12a"/>
      </w:pPr>
      <w:r w:rsidRPr="00512371">
        <w:t>49.</w:t>
      </w:r>
      <w:r w:rsidRPr="00512371">
        <w:tab/>
        <w:t>popiera zwiększoną pomoc UE dla Ukrainy w dziedzinie rehabilitacji fizycznej i opieki protetycznej, zwłaszcza dla rannych żołnierzy, ofiar min i osób po amputacjach; podkreśla znaczenie rozwoju krajowego systemu protetyki i rehabilitacji przy wsparciu UE i państw członkowskich; zachęca do nawiązywania partnerstw z europejskimi instytucjami medycznymi w celu zwiększenia zdolności, liczby szkoleń i dostępu do nowoczesnego sprzętu;</w:t>
      </w:r>
    </w:p>
    <w:p w14:paraId="4B3E9238" w14:textId="77777777" w:rsidR="00512371" w:rsidRPr="00512371" w:rsidRDefault="00512371" w:rsidP="00512371">
      <w:pPr>
        <w:ind w:left="567" w:hanging="567"/>
      </w:pPr>
      <w:r w:rsidRPr="00512371">
        <w:t>50.</w:t>
      </w:r>
      <w:r w:rsidRPr="00512371">
        <w:tab/>
        <w:t xml:space="preserve">odnotowuje przyjęcie ustawy, która umożliwi prawosławnym parafiom w Ukrainie odłączenie się od jurysdykcji Patriarchatu Moskiewskiego i swobodne decydowanie o nowej przynależności hierarchicznej; potępia bezprawne przywłaszczenie i wywóz dóbr dziedzictwa kulturowego z tymczasowo okupowanych terytoriów Ukrainy przez siły rosyjskie; apeluje o poszanowanie dziedzictwa religijnego i kulturowego na terenach tymczasowo okupowanych, w tym 485 już zniszczonych obiektów, miejsc </w:t>
      </w:r>
      <w:r w:rsidRPr="00512371">
        <w:lastRenderedPageBreak/>
        <w:t>kultu i miejsc świętych; podkreśla odpowiedzialność wszystkich stron za ochronę dziedzictwa kulturowego zgodnie z konwencjami międzynarodowymi;</w:t>
      </w:r>
    </w:p>
    <w:p w14:paraId="3A7C3FA4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4BA2537D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51.</w:t>
      </w:r>
      <w:r w:rsidRPr="00512371">
        <w:tab/>
        <w:t>wzywa Ukrainę do dalszego zbliżania norm pracy, w szczególności w zakresie wolności zgromadzeń i dialogu społecznego, oraz do dostosowania krajowego prawa pracy i prawa socjalnego do norm UE, zwłaszcza w dziedzinie zatrudnienia, polityki społecznej i równości szans; wzywa Komisję do zapewnienia dodatkowego wsparcia w celu przyspieszenia postępów w tym zakresie; podkreśla potrzebę szerokich konsultacji ze związkami zawodowymi i społeczeństwem obywatelskim oraz zaleca uwzględnienie wiedzy specjalistycznej Międzynarodowej Organizacji Pracy w tej kwestii;</w:t>
      </w:r>
    </w:p>
    <w:p w14:paraId="2D69C53E" w14:textId="77777777" w:rsidR="00512371" w:rsidRPr="00512371" w:rsidRDefault="00512371" w:rsidP="00512371">
      <w:pPr>
        <w:pStyle w:val="Normal12a24b"/>
      </w:pPr>
      <w:r w:rsidRPr="00512371">
        <w:rPr>
          <w:rStyle w:val="BoldItalic"/>
        </w:rPr>
        <w:t>Współpraca regionalna i stosunki dobrosąsiedzkie</w:t>
      </w:r>
    </w:p>
    <w:p w14:paraId="4DC0A567" w14:textId="77777777" w:rsidR="00512371" w:rsidRPr="00512371" w:rsidRDefault="00512371" w:rsidP="00512371">
      <w:pPr>
        <w:ind w:left="567" w:hanging="567"/>
      </w:pPr>
      <w:r w:rsidRPr="00512371">
        <w:t>52.</w:t>
      </w:r>
      <w:r w:rsidRPr="00512371">
        <w:tab/>
        <w:t>z zadowoleniem przyjmuje aktywny udział Ukrainy w inicjatywach regionalnych, na przykład jej wiodącą rolę w Forum Społeczeństwa Obywatelskiego Partnerstwa Wschodniego oraz koordynację transgranicznych projektów z państwami członkowskimi UE;</w:t>
      </w:r>
    </w:p>
    <w:p w14:paraId="72963E00" w14:textId="77777777" w:rsidR="00512371" w:rsidRPr="00512371" w:rsidRDefault="00512371" w:rsidP="00512371">
      <w:pPr>
        <w:ind w:left="567" w:hanging="567"/>
      </w:pPr>
    </w:p>
    <w:p w14:paraId="08D58130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53.</w:t>
      </w:r>
      <w:r w:rsidRPr="00512371">
        <w:tab/>
        <w:t>z zadowoleniem przyjmuje niedawny wspólny komunikat Komisji i wysokiej przedstawicielki Unii do spraw zagranicznych i polityki bezpieczeństwa pt. „Strategiczne podejście Unii Europejskiej do regionu Morza Czarnego”</w:t>
      </w:r>
      <w:r w:rsidRPr="00512371">
        <w:rPr>
          <w:rStyle w:val="FootnoteReference"/>
          <w:bCs/>
          <w:iCs/>
        </w:rPr>
        <w:footnoteReference w:id="4"/>
      </w:r>
      <w:r w:rsidRPr="00512371">
        <w:t xml:space="preserve">, a w szczególności możliwość wniesienia przez Ukrainę znaczącego wkładu w tym kontekście; zachęca Ukrainę do dalszego aktywnego udziału w Partnerstwie Wschodnim i Zgromadzeniu Parlamentarnym </w:t>
      </w:r>
      <w:proofErr w:type="spellStart"/>
      <w:r w:rsidRPr="00512371">
        <w:t>Euronest</w:t>
      </w:r>
      <w:proofErr w:type="spellEnd"/>
      <w:r w:rsidRPr="00512371">
        <w:t xml:space="preserve"> w roli „przywódcy integracji” oraz orędownika europejskich wartości i reform w całym regionie;</w:t>
      </w:r>
    </w:p>
    <w:p w14:paraId="01C9B33B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31ED9907" w14:textId="77777777" w:rsidR="00512371" w:rsidRPr="00512371" w:rsidRDefault="00512371" w:rsidP="00512371">
      <w:pPr>
        <w:pStyle w:val="NormalHanging12a"/>
      </w:pPr>
      <w:r w:rsidRPr="00512371">
        <w:t>54.</w:t>
      </w:r>
      <w:r w:rsidRPr="00512371">
        <w:tab/>
        <w:t>z zadowoleniem przyjmuje wszelkie działania podejmowane przez Ukrainę i państwa członkowskie UE na rzecz uregulowania nierozwiązanych kwestii historycznych stosunków dwustronnych i regionalnych, na przykład rzezi wołyńskiej, w duchu prawdziwego i szczerego pojednania, z poszanowaniem unijnych wartości, jakimi są godność ludzka i stosunki dobrosąsiedzkie, jak również poprzez krytyczną ocenę wydarzeń historycznych; uważa, że przy dobrej woli zainteresowanych stron proces pojednania będzie prowadzony w sposób konstruktywny i z cierpliwością, aby osiągnąć wzajemne zrozumienie; w tym kontekście z zadowoleniem przyjmuje trwające rozmowy między władzami polskimi i ukraińskimi, które doprowadziły do wznowienia ekshumacji szczątków polskich obywateli na terytorium Ukrainy w kwietniu 2025 r.; wyraża nadzieję, że proces ten będzie kontynuowany, a jego wyraźnym celem będzie zapewnienie ofiarom godnego pochówku i pamięci;</w:t>
      </w:r>
    </w:p>
    <w:p w14:paraId="03147D09" w14:textId="77777777" w:rsidR="00512371" w:rsidRPr="00512371" w:rsidRDefault="00512371" w:rsidP="00512371">
      <w:pPr>
        <w:ind w:left="567" w:hanging="567"/>
      </w:pPr>
      <w:r w:rsidRPr="00512371">
        <w:t xml:space="preserve">55. </w:t>
      </w:r>
      <w:r w:rsidRPr="00512371">
        <w:tab/>
        <w:t xml:space="preserve">jest głęboko zaniepokojony niedawnym odkryciem działalności wywiadowczej prowadzonej przez węgierskie agencje bezpieczeństwa w południowo-zachodnim regionie </w:t>
      </w:r>
      <w:proofErr w:type="spellStart"/>
      <w:r w:rsidRPr="00512371">
        <w:t>Zakarpacia</w:t>
      </w:r>
      <w:proofErr w:type="spellEnd"/>
      <w:r w:rsidRPr="00512371">
        <w:t xml:space="preserve"> w Ukrainie; wyraża ubolewanie z powodu systematycznej polityki </w:t>
      </w:r>
      <w:r w:rsidRPr="00512371">
        <w:rPr>
          <w:bCs/>
          <w:iCs/>
        </w:rPr>
        <w:t>rządu</w:t>
      </w:r>
      <w:r w:rsidRPr="00512371">
        <w:rPr>
          <w:b/>
          <w:i/>
        </w:rPr>
        <w:t xml:space="preserve"> </w:t>
      </w:r>
      <w:r w:rsidRPr="00512371">
        <w:t xml:space="preserve">Węgier mającej na celu osłabienie wysiłków Ukrainy w zakresie samoobrony i wykorzystywanie kwestii związanych z mniejszością węgierską w Ukrainie do celów politycznych, co utrudnia postęp Ukrainy w kierunku integracji z UE; </w:t>
      </w:r>
    </w:p>
    <w:p w14:paraId="440D846E" w14:textId="77777777" w:rsidR="00512371" w:rsidRPr="00512371" w:rsidRDefault="00512371" w:rsidP="00512371">
      <w:pPr>
        <w:pStyle w:val="Normal12a24b"/>
      </w:pPr>
      <w:r w:rsidRPr="00512371">
        <w:rPr>
          <w:rStyle w:val="BoldItalic"/>
        </w:rPr>
        <w:lastRenderedPageBreak/>
        <w:t>Reformy społeczno-gospodarcze</w:t>
      </w:r>
    </w:p>
    <w:p w14:paraId="559E58B6" w14:textId="77777777" w:rsidR="00512371" w:rsidRPr="00512371" w:rsidRDefault="00512371" w:rsidP="00512371">
      <w:pPr>
        <w:pStyle w:val="NormalHanging12a"/>
      </w:pPr>
      <w:r w:rsidRPr="00512371">
        <w:t>56.</w:t>
      </w:r>
      <w:r w:rsidRPr="00512371">
        <w:tab/>
        <w:t>z zadowoleniem przyjmuje wdrożenie przez Ukrainę planu działań priorytetowych na lata 2023–2024 oraz przyjęcie przez nią przepisów niezbędnych do reformy Biura Bezpieczeństwa Gospodarczego Ukrainy, co umożliwi skuteczniejszą walkę z uchylaniem się od opodatkowania i przestępczością gospodarczą;</w:t>
      </w:r>
    </w:p>
    <w:p w14:paraId="36BE2C6A" w14:textId="77777777" w:rsidR="00512371" w:rsidRPr="00512371" w:rsidRDefault="00512371" w:rsidP="00512371">
      <w:pPr>
        <w:pStyle w:val="NormalHanging12a"/>
      </w:pPr>
      <w:r w:rsidRPr="00512371">
        <w:t>57.</w:t>
      </w:r>
      <w:r w:rsidRPr="00512371">
        <w:tab/>
        <w:t>przypomina, że w 2023 r. przyjęto ustawę o lokalnych usługach publicznych i zachęca rząd Ukrainy, aby zastosował systemowe podejście do przyszłych reform administracji publicznej, opracowując jasną wizję tych reform i ustrukturyzowaną strategię ich wdrażania; podkreśla potrzebę budowania potencjału instytucjonalnego i administracyjnego niezbędnego do zapewnienia długoterminowego powodzenia i wpływu reform związanych z przystąpieniem do UE, nie tylko w ustawodawstwie, ale także w praktyce; z zadowoleniem przyjmuje niedawne przyjęcie przez Radę Najwyższą Ukrainy projektu ustawy nr 8222, która ujednolica system wynagrodzeń urzędników służby cywilnej w celu zwiększenia efektywności zarządzania przy jednoczesnym spełnieniu europejskich norm w zakresie zarządzania służbą publiczną;</w:t>
      </w:r>
    </w:p>
    <w:p w14:paraId="38BAA05F" w14:textId="77777777" w:rsidR="00512371" w:rsidRPr="00512371" w:rsidRDefault="00512371" w:rsidP="00512371">
      <w:pPr>
        <w:pStyle w:val="NormalHanging12a"/>
      </w:pPr>
      <w:r w:rsidRPr="00512371">
        <w:t>58.</w:t>
      </w:r>
      <w:r w:rsidRPr="00512371">
        <w:tab/>
        <w:t>zachęca Ukrainę do poczynienia postępów w zatwierdzaniu zmian w ustawie o lokalnej administracji publicznej, w tym w projekcie ustawy nr 4298, w celu dostosowania reform samorządu lokalnego do standardów UE; apeluje o zrównoważone ramy prawne nadzoru administracyjnego, które będą zgodne z zasadą proporcjonalności i Europejską kartą samorządu lokalnego, przy jednoczesnym zachowaniu kompetencji, prerogatyw i autonomii władz lokalnych; ponawia apel o formalne nadanie osobowości prawnej lokalnym i regionalnym organom sektora publicznego;</w:t>
      </w:r>
    </w:p>
    <w:p w14:paraId="6AA72963" w14:textId="77777777" w:rsidR="00512371" w:rsidRPr="00512371" w:rsidRDefault="00512371" w:rsidP="00512371">
      <w:pPr>
        <w:pStyle w:val="NormalHanging12a"/>
      </w:pPr>
      <w:r w:rsidRPr="00512371">
        <w:t>59.</w:t>
      </w:r>
      <w:r w:rsidRPr="00512371">
        <w:tab/>
        <w:t xml:space="preserve">apeluje o ciągły postęp w reformie decentralizacyjnej i wzmacnianiu samorządności na szczeblu lokalnym; z zadowoleniem przyjmuje rozpoczęcie fazy III programu U-LEAD wspieranego przez UE i państwa członkowskie, który koncentruje się na wzmocnieniu samorządności lokalnej i wspieraniu odpornej odbudowy na szczeblu lokalnym i regionalnym; podkreśla, jak ważne jest, by przyszłe reformy konstytucyjne lub instytucjonalne, w tym reformy wyborcze i decentralizacyjne, przeprowadzano w sposób przejrzysty, </w:t>
      </w:r>
      <w:proofErr w:type="spellStart"/>
      <w:r w:rsidRPr="00512371">
        <w:t>inkluzywny</w:t>
      </w:r>
      <w:proofErr w:type="spellEnd"/>
      <w:r w:rsidRPr="00512371">
        <w:t xml:space="preserve"> i zgodnie z zaleceniami Komisji Weneckiej;</w:t>
      </w:r>
    </w:p>
    <w:p w14:paraId="29EBA2BE" w14:textId="77777777" w:rsidR="00512371" w:rsidRPr="00512371" w:rsidRDefault="00512371" w:rsidP="00512371">
      <w:pPr>
        <w:pStyle w:val="NormalHanging12a"/>
      </w:pPr>
      <w:r w:rsidRPr="00512371">
        <w:t>60.</w:t>
      </w:r>
      <w:r w:rsidRPr="00512371">
        <w:tab/>
        <w:t>z zadowoleniem przyjmuje fakt, że Ukraina osiągnęła kluczowe kamienie milowe, i wzywa ją do poczynienia dalszych postępów we wdrażaniu Planu Ukrainy zgodnie z rozporządzeniem (UE) 2024/792, przy jednoczesnym utrzymaniu wartości i standardów, na których się opiera; podkreśla, że Komisja musi utrzymać warunkowość, zwłaszcza w odniesieniu do III filaru tego instrumentu, aby zagwarantować trwałość i rozliczalność procesu reform; podkreśla, że szybkie tempo wdrażania reform napędzają szeroki konsensus społeczny i warunkowość Instrumentu na rzecz Ukrainy;</w:t>
      </w:r>
    </w:p>
    <w:p w14:paraId="4FCF1C74" w14:textId="77777777" w:rsidR="00512371" w:rsidRPr="00512371" w:rsidRDefault="00512371" w:rsidP="00512371">
      <w:pPr>
        <w:ind w:left="567" w:hanging="567"/>
      </w:pPr>
      <w:r w:rsidRPr="00512371">
        <w:t>61.</w:t>
      </w:r>
      <w:r w:rsidRPr="00512371">
        <w:tab/>
        <w:t xml:space="preserve">z zadowoleniem przyjmuje stałe wsparcie dla organizacji społeczeństwa obywatelskiego za pośrednictwem komponentu Instrumentu na rzecz Ukrainy dotyczącego społeczeństwa obywatelskiego i zachęca Ukrainę do dopilnowania, by wymogi w zakresie sprawozdawczości finansowej nie ograniczały nadmiernie działalności organizacji społeczeństwa obywatelskiego; </w:t>
      </w:r>
      <w:bookmarkStart w:id="10" w:name="_Hlk204185250"/>
      <w:r w:rsidRPr="00512371">
        <w:t>podkreśla znaczenie konstruktywnej współpracy ze społeczeństwem obywatelskim i władzami lokalnymi w celu zapewnienia skutecznego wdrożenia wysokiej jakości reform w ramach Planu Ukrainy;</w:t>
      </w:r>
      <w:bookmarkEnd w:id="10"/>
      <w:r w:rsidRPr="00512371">
        <w:t xml:space="preserve"> zachęca organy sądownicze Ukrainy do wzmocnienia istniejących </w:t>
      </w:r>
      <w:r w:rsidRPr="00512371">
        <w:lastRenderedPageBreak/>
        <w:t xml:space="preserve">mechanizmów, w tym poprzez działania sądowe, w celu ochrony działaczy społeczeństwa obywatelskiego; wzywa Ukrainę do dopilnowania, by wymogi dotyczące sprawozdawczości finansowej i regulacja beneficjentów rzeczywistych osób prawnych nie wpływały w nieuzasadniony sposób na funkcjonowanie i niezależność organizacji społeczeństwa obywatelskiego; z zadowoleniem przyjmuje stałe wsparcie dla organizacji społeczeństwa obywatelskiego w ramach komponentu Instrumentu na rzecz Ukrainy dotyczącego społeczeństwa obywatelskiego; </w:t>
      </w:r>
    </w:p>
    <w:p w14:paraId="57836847" w14:textId="77777777" w:rsidR="00512371" w:rsidRPr="00512371" w:rsidRDefault="00512371" w:rsidP="00512371">
      <w:pPr>
        <w:ind w:left="567" w:hanging="567"/>
      </w:pPr>
    </w:p>
    <w:p w14:paraId="67445956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62.</w:t>
      </w:r>
      <w:r w:rsidRPr="00512371">
        <w:tab/>
        <w:t xml:space="preserve">podkreśla, że odbudowa Ukrainy musi łączyć się ściśle z reformami związanymi z jej przystąpieniem do UE i opierać się na zasadach sprawiedliwości społecznej, zrównoważonego rozwoju, przejrzystości i odpowiedzialności lokalnej; podkreśla ponadto, że odbudowa Ukrainy musi opierać się na silnym państwie prawa, przejrzystym sprawowaniu rządów i włączeniu demokratycznym; podkreśla, że reforma sądownictwa, działania antykorupcyjne i usprawnienia administracji publicznej są nie tylko warunkami przystąpienia do UE, ale mają również zasadnicze znaczenie dla przyciągnięcia inwestycji i przywrócenia zaufania wśród partnerów Ukrainy i jej obywateli; wzywa do przyjęcia podejścia uwzględniającego aspekt płci we wszystkich działaniach na rzecz odbudowy, w tym do zwiększenia reprezentacji kobiet i mniejszości w procesach decyzyjnych; wzywa rząd Ukrainy, aby zagwarantował przejrzystość we wdrażaniu Instrumentu </w:t>
      </w:r>
      <w:proofErr w:type="spellStart"/>
      <w:r w:rsidRPr="00512371">
        <w:t>RebuildUkraine</w:t>
      </w:r>
      <w:proofErr w:type="spellEnd"/>
      <w:r w:rsidRPr="00512371">
        <w:t xml:space="preserve"> z uwzględnieniem konsultacji i partycypacji społeczeństwa obywatelskiego oraz grup szczególnie narażonych, w szczególności w odniesieniu do poszanowania praw podstawowych i praworządności, a także niedyskryminacyjnego podziału i wykorzystania funduszy UE;</w:t>
      </w:r>
    </w:p>
    <w:p w14:paraId="44242783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3A0C9C50" w14:textId="77777777" w:rsidR="00512371" w:rsidRPr="00512371" w:rsidRDefault="00512371" w:rsidP="00512371">
      <w:pPr>
        <w:ind w:left="567" w:hanging="567"/>
      </w:pPr>
      <w:r w:rsidRPr="00512371">
        <w:t>63.</w:t>
      </w:r>
      <w:r w:rsidRPr="00512371">
        <w:tab/>
        <w:t xml:space="preserve">podkreśla zasadniczą rolę Instrumentu na rzecz Ukrainy i programu pożyczek przyspieszających wykorzystanie nadzwyczajnych przychodów, które w 2025 r. łącznie dostarczają ponad 30 mld EUR wsparcia na rzecz ukraińskich usług publicznych, stabilności </w:t>
      </w:r>
      <w:proofErr w:type="spellStart"/>
      <w:r w:rsidRPr="00512371">
        <w:t>makrofinansowej</w:t>
      </w:r>
      <w:proofErr w:type="spellEnd"/>
      <w:r w:rsidRPr="00512371">
        <w:t xml:space="preserve"> i programu reform; apeluje o utrzymanie i zwiększenie wsparcia finansowego dla Ukrainy w latach 2026 i 2027, w tym za pośrednictwem nowego pakietu pomocy </w:t>
      </w:r>
      <w:proofErr w:type="spellStart"/>
      <w:r w:rsidRPr="00512371">
        <w:t>makrofinansowej</w:t>
      </w:r>
      <w:proofErr w:type="spellEnd"/>
      <w:r w:rsidRPr="00512371">
        <w:t xml:space="preserve"> w celu pokrycia spodziewanego deficytu budżetowego Ukrainy w wysokości 39 mld EUR; ponadto zauważa, że odporność finansowa i gospodarcza Ukrainy pozostaje podstawowym warunkiem utrzymania jej zdolności obronnych i procesu reform; w związku z tym wzywa do rozważenia rozwiązań mających na celu zmniejszenie obciążenia Ukrainy długiem zagranicznym; </w:t>
      </w:r>
    </w:p>
    <w:p w14:paraId="10D58D18" w14:textId="77777777" w:rsidR="00512371" w:rsidRPr="00512371" w:rsidRDefault="00512371" w:rsidP="00512371">
      <w:pPr>
        <w:ind w:left="567" w:hanging="567"/>
      </w:pPr>
    </w:p>
    <w:p w14:paraId="6B929800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64.</w:t>
      </w:r>
      <w:r w:rsidRPr="00512371">
        <w:tab/>
        <w:t xml:space="preserve">odnotowuje porozumienie o partnerstwie gospodarczym w sprawie minerałów krytycznych między Stanami Zjednoczonymi i Ukrainą, uznaje zawarte w nim potwierdzenie długoterminowego wsparcia Stanów Zjednoczonych dla bezpieczeństwa i odbudowy Ukrainy oraz odnotowuje wyrażony w tym porozumieniu zamiar zabezpieczenia procesu przystąpienia Ukrainy do UE i związanych z tym zobowiązań, a także zapewnienia zgodności z zobowiązaniami Ukrainy wobec międzynarodowych instytucji finansowych lub innych oficjalnych wierzycieli; apeluje do Komisji, aby zwróciła się do obu stron o doprecyzowanie, w jaki sposób zostaną wdrożone przepisy mające na celu ochronę procesu integracji Ukrainy z UE, oraz o regularne składanie sprawozdań na temat zgodności tych przepisów z prawem Unii; uważa, że eksploatacja minerałów w ramach tego porozumienia musi odbywać się z poszanowaniem wysokich standardów społecznych i ekologicznych oraz że trzeba zagwarantować ich przestrzeganie za pomocą odpowiednich mechanizmów kontroli; ponadto oczekuje, że Ukraina w pełni włączy do krajowych ram prawnych stosowne przepisy UE w zakresie </w:t>
      </w:r>
      <w:r w:rsidRPr="00512371">
        <w:lastRenderedPageBreak/>
        <w:t>ochrony środowiska, w tym ramową dyrektywę wodną</w:t>
      </w:r>
      <w:r w:rsidRPr="00512371">
        <w:rPr>
          <w:rStyle w:val="FootnoteReference"/>
          <w:bCs/>
          <w:iCs/>
        </w:rPr>
        <w:footnoteReference w:id="5"/>
      </w:r>
      <w:r w:rsidRPr="00512371">
        <w:t xml:space="preserve"> i dyrektywę w sprawie gospodarowania odpadami pochodzącymi z przemysłu wydobywczego</w:t>
      </w:r>
      <w:r w:rsidRPr="00512371">
        <w:rPr>
          <w:rStyle w:val="FootnoteReference"/>
          <w:bCs/>
          <w:iCs/>
        </w:rPr>
        <w:footnoteReference w:id="6"/>
      </w:r>
      <w:r w:rsidRPr="00512371">
        <w:t>;</w:t>
      </w:r>
    </w:p>
    <w:p w14:paraId="71DE205F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718CDDC3" w14:textId="77777777" w:rsidR="00512371" w:rsidRPr="00512371" w:rsidRDefault="00512371" w:rsidP="00512371">
      <w:pPr>
        <w:pStyle w:val="NormalHanging12a"/>
      </w:pPr>
      <w:r w:rsidRPr="00512371">
        <w:t>65.</w:t>
      </w:r>
      <w:r w:rsidRPr="00512371">
        <w:tab/>
        <w:t>przypomina, że rozszerzenie UE musi gwarantować, iż przystąpienie nie doprowadzi do eksploatacji zasobów naturalnych krajów kandydujących ani nie przyczyni się do nierówności społecznych i degradacji środowiska;</w:t>
      </w:r>
    </w:p>
    <w:p w14:paraId="4424686B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66.</w:t>
      </w:r>
      <w:r w:rsidRPr="00512371">
        <w:tab/>
        <w:t>z zadowoleniem przyjmuje postępy Ukrainy w częściowym przyjęciu ustawodawstwa dotyczącego dobrostanu zwierząt, choć ze znacznymi opóźnieniami w realizacji zobowiązań podjętych w ramach pogłębionej i kompleksowej strefy wolnego handlu; zachęca Ukrainę do dalszych postępów w zakresie przyjęcia rozporządzenia Rady (WE) nr 1/2005</w:t>
      </w:r>
      <w:r w:rsidRPr="00512371">
        <w:rPr>
          <w:rStyle w:val="FootnoteReference"/>
          <w:bCs/>
          <w:iCs/>
        </w:rPr>
        <w:footnoteReference w:id="7"/>
      </w:r>
      <w:r w:rsidRPr="00512371">
        <w:t xml:space="preserve"> w sprawie ochrony zwierząt podczas transportu, przy uwzględnieniu trwającego przeglądu tego ustawodawstwa w UE, co ma zasadnicze znaczenie dla spełnienia norm produkcyjnych UE i umożliwienia zwiększenia wywozu produktów pochodzenia zwierzęcego do UE; wzywa UE i jej państwa członkowskie do udzielenia Ukrainie pomocy finansowej i technicznej w tym zakresie;</w:t>
      </w:r>
    </w:p>
    <w:p w14:paraId="43C69DF9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35A72FC6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67.</w:t>
      </w:r>
      <w:r w:rsidRPr="00512371">
        <w:tab/>
        <w:t>podkreśla odporność i znaczenie sektora rolnego (19 % PKB, 53 % wywozu towarów), ale także potrzebę dywersyfikacji łańcuchów wartości i korzyści płynące z szybkiego przyjęcia unijnych norm fitosanitarnych; podkreśla, jak ważne dla zagwarantowania ekologicznej odbudowy Ukrainy są zabezpieczenia środowiskowe; wzywa Komisję do dalszego wspierania Ukrainy we wdrażaniu procedur oceny oddziaływania na środowisko, w szczególności w sektorach leśnictwa i rolnictwa, oraz procedur strategicznej oceny oddziaływania na środowisko; ponadto apeluje do Komisji, by nadal wspierała Ukrainę w budowaniu zdolności administracyjnych na rzecz pełnego wdrożenia dorobku prawnego UE w zakresie ochrony środowiska, w tym udziału społeczeństwa w podejmowaniu decyzji, oraz w dostosowywaniu jej przepisów do dyrektywy w sprawie energii odnawialnej</w:t>
      </w:r>
      <w:r w:rsidRPr="00512371">
        <w:rPr>
          <w:rStyle w:val="FootnoteReference"/>
          <w:bCs/>
          <w:iCs/>
        </w:rPr>
        <w:footnoteReference w:id="8"/>
      </w:r>
      <w:r w:rsidRPr="00512371">
        <w:t>, w szczególności do kryteriów zrównoważonego rozwoju w odniesieniu do bioenergii;</w:t>
      </w:r>
    </w:p>
    <w:p w14:paraId="69E0A25B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69C17EAF" w14:textId="77777777" w:rsidR="00512371" w:rsidRPr="00512371" w:rsidRDefault="00512371" w:rsidP="00512371">
      <w:pPr>
        <w:pStyle w:val="NormalHanging12a"/>
      </w:pPr>
      <w:r w:rsidRPr="00512371">
        <w:t>68.</w:t>
      </w:r>
      <w:r w:rsidRPr="00512371">
        <w:tab/>
        <w:t xml:space="preserve">wzywa Radę Najwyższą i rząd Ukrainy do zmiany ustawy nr 12089, która umożliwia legalizację własności gruntów, w tym lasów i zbiorników wodnych, nielegalnie wycofanych z własności państwowej i przekazanych osobom prywatnym, co nie jest </w:t>
      </w:r>
      <w:r w:rsidRPr="00512371">
        <w:lastRenderedPageBreak/>
        <w:t>zgodne z dorobkiem prawnym UE, ponieważ ustawa w obecnej formie zawiera niejasności prawne, które uniemożliwią zwrot takich gruntów państwu;</w:t>
      </w:r>
    </w:p>
    <w:p w14:paraId="3F25E28E" w14:textId="77777777" w:rsidR="00512371" w:rsidRPr="00512371" w:rsidRDefault="00512371" w:rsidP="00512371">
      <w:pPr>
        <w:pStyle w:val="Normal12a24b"/>
      </w:pPr>
      <w:r w:rsidRPr="00512371">
        <w:rPr>
          <w:rStyle w:val="BoldItalic"/>
        </w:rPr>
        <w:t>Energia, środowisko, zrównoważony rozwój i łączność</w:t>
      </w:r>
    </w:p>
    <w:p w14:paraId="2B713967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69.</w:t>
      </w:r>
      <w:r w:rsidRPr="00512371">
        <w:tab/>
        <w:t>z zadowoleniem przyjmuje znaczne postępy poczynione w zakresie reform sektora energetycznego i dostosowanie się Ukrainy do celów Europejskiego Zielonego Ładu i apeluje do niej, aby nie robiła kroku wstecz w tej kwestii; podkreśla potrzebę dalszego wzmacniania bezpieczeństwa energetycznego Ukrainy poprzez pogłębianie jej integracji z rynkiem energetycznym UE – w tym poprzez synchronizację ukraińskiej sieci elektroenergetycznej z Europą kontynentalną i zacieśnienie współpracy w zakresie magazynowania i dostaw gazu – a także poprzez przyspieszenie wdrażania odnawialnych źródeł energii i środków na rzecz efektywności energetycznej; podkreśla, że zwiększenie odporności krytycznej infrastruktury energetycznej ma nadal zasadnicze znaczenie dla stabilności gospodarczej Ukrainy i jej strategicznej autonomii;</w:t>
      </w:r>
    </w:p>
    <w:p w14:paraId="31B3F9C3" w14:textId="77777777" w:rsidR="00512371" w:rsidRPr="00512371" w:rsidRDefault="00512371" w:rsidP="00512371">
      <w:pPr>
        <w:rPr>
          <w:b/>
          <w:bCs/>
          <w:i/>
          <w:iCs/>
        </w:rPr>
      </w:pPr>
    </w:p>
    <w:p w14:paraId="60818368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70.</w:t>
      </w:r>
      <w:r w:rsidRPr="00512371">
        <w:tab/>
        <w:t>podkreśla znaczny potencjał Ukrainy jako dostawcy energii i produktów energochłonnych dla reszty Europy; zachęca zatem Ukrainę do dalszego rozwijania połączeń energetycznych z sąsiadującymi państwami członkowskimi i partnerami regionalnymi, takimi jak Republika Mołdawii, w celu dalszej integracji z rynkiem energetycznym UE; zauważa, że rosyjska wojna napastnicza jest wymierzona w istotne sieci i zakłady oraz prowadzi do ich niszczenia; wzywa zatem Ukrainę do wykorzystania procesu odbudowy, aby stworzyć lepszą przyszłość, wykorzystując tam, gdzie to możliwe, technologie i procesy najbardziej przyjazne dla klimatu, inwestując w odnawialne źródła energii i efektywność energetyczną oraz minimalizując wpływ na środowisko w całym łańcuchu produkcyjnym; z zadowoleniem przyjmuje stałe zaangażowanie Komisji w tej dziedzinie w celu wsparcia reformy sektora energetycznego Ukrainy, w tym odbudowy i zielonej transformacji; apeluje o przyspieszenie realizacji istniejących zobowiązań w ramach Planu Ukrainy i pakietów Wspólnoty Energetycznej, w tym o rozdzielenie regionalnych przedsiębiorstw dystrybucji energii;</w:t>
      </w:r>
    </w:p>
    <w:p w14:paraId="639B1741" w14:textId="77777777" w:rsidR="00512371" w:rsidRPr="00512371" w:rsidRDefault="00512371" w:rsidP="00512371">
      <w:pPr>
        <w:rPr>
          <w:bCs/>
          <w:iCs/>
        </w:rPr>
      </w:pPr>
    </w:p>
    <w:p w14:paraId="4FD7F6B9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71.</w:t>
      </w:r>
      <w:r w:rsidRPr="00512371">
        <w:tab/>
        <w:t>zachęca Ukrainę aby po atakach Rosji na jej infrastrukturę energetyczną rozważyła najbardziej opłacalne i niezawodne rozwiązania dla ukraińskiego sektora energetycznego, na przykład zastąpienie elektrowni zasilanych paliwami kopalnymi zdecentralizowanymi i zrównoważonymi technologiami energetycznymi tam, gdzie to możliwe w trakcie wojny; wzywa Komisję i władze Ukrainy do strategicznego wykorzystania środków w ramach Instrumentu na rzecz Ukrainy poprzez priorytetowe traktowanie inwestycji w odnawialne źródła energii, które mają zasadnicze znaczenie dla zapewnienia długoterminowego bezpieczeństwa energetycznego, zrównoważenia środowiskowego i odporności gospodarczej zarówno w Ukrainie, jak i na całym kontynencie;</w:t>
      </w:r>
    </w:p>
    <w:p w14:paraId="2B20F671" w14:textId="77777777" w:rsidR="00512371" w:rsidRPr="00512371" w:rsidRDefault="00512371" w:rsidP="00512371">
      <w:pPr>
        <w:rPr>
          <w:bCs/>
          <w:iCs/>
        </w:rPr>
      </w:pPr>
    </w:p>
    <w:p w14:paraId="2A9B21B9" w14:textId="77777777" w:rsidR="00512371" w:rsidRPr="00512371" w:rsidRDefault="00512371" w:rsidP="00512371">
      <w:pPr>
        <w:ind w:left="567" w:hanging="567"/>
      </w:pPr>
      <w:r w:rsidRPr="00512371">
        <w:t>72.</w:t>
      </w:r>
      <w:r w:rsidRPr="00512371">
        <w:tab/>
        <w:t>wyraża poważne zaniepokojenie szkodliwym wpływem Rosji w Międzynarodowej Agencji Energii Atomowej (MAEA), pomimo tego, że wielokrotnie naruszyła ona podstawowe zasady MAEA dotyczące bezpieczeństwa jądrowego i nieingerencji; wzywa UE i jej państwa członkowskie do opowiadania się za większą kontrolą roli Rosji w MAEA i do rozważenia reform, aby uniemożliwić państwom agresorom podważanie neutralności i wiarygodności międzynarodowego nadzoru jądrowego;</w:t>
      </w:r>
    </w:p>
    <w:p w14:paraId="1C69736D" w14:textId="77777777" w:rsidR="00512371" w:rsidRPr="00512371" w:rsidRDefault="00512371" w:rsidP="00512371">
      <w:pPr>
        <w:ind w:left="567" w:hanging="567"/>
      </w:pPr>
    </w:p>
    <w:p w14:paraId="147DDF70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  <w:r w:rsidRPr="00512371">
        <w:lastRenderedPageBreak/>
        <w:t>73.</w:t>
      </w:r>
      <w:r w:rsidRPr="00512371">
        <w:tab/>
        <w:t xml:space="preserve">podkreśla, że rosyjska wojna napastnicza stanowi </w:t>
      </w:r>
      <w:proofErr w:type="spellStart"/>
      <w:r w:rsidRPr="00512371">
        <w:t>ekobójstwo</w:t>
      </w:r>
      <w:proofErr w:type="spellEnd"/>
      <w:r w:rsidRPr="00512371">
        <w:t>, które powoduje poważne i długotrwałe szkody w środowisku Ukrainy, w tym poprzez niszczenie ekosystemów, skażenie wody i gleby oraz ataki na infrastrukturę przemysłową i energetyczną; uważa, że trzeba uznać spowodowanie tych szkód za zbrodnię wojenną na arenie międzynarodowej, aby dopilnować, że Rosja poniesie pełną odpowiedzialność prawną, a Ukraina otrzyma wynikające z tego odszkodowanie, oraz wzywa UE do wspierania kompleksowej strategii odbudowy środowiska w ramach działań na rzecz odbudowy Ukrainy; wzywa UE i jej państwa członkowskie do udzielenia pełnego wsparcia wszystkim inicjatywom dokumentującym degradację środowiska spowodowaną rosyjską wojną oraz do poparcia działań na rzecz rozliczalności i odszkodowań przed zagranicznymi sądami;</w:t>
      </w:r>
    </w:p>
    <w:p w14:paraId="3BF18010" w14:textId="77777777" w:rsidR="00512371" w:rsidRPr="00512371" w:rsidRDefault="00512371" w:rsidP="00512371">
      <w:pPr>
        <w:rPr>
          <w:b/>
          <w:bCs/>
          <w:i/>
          <w:iCs/>
        </w:rPr>
      </w:pPr>
    </w:p>
    <w:p w14:paraId="3ACABE61" w14:textId="77777777" w:rsidR="00512371" w:rsidRPr="00512371" w:rsidRDefault="00512371" w:rsidP="00512371">
      <w:pPr>
        <w:pStyle w:val="NormalHanging12a"/>
      </w:pPr>
      <w:r w:rsidRPr="00512371">
        <w:t>74.</w:t>
      </w:r>
      <w:r w:rsidRPr="00512371">
        <w:tab/>
        <w:t>pochwala Ukrainę za przyjęcie krajowego planu w dziedzinie energii i klimatu oraz koordynację i planowanie polityk energetycznych i klimatycznych do 2030 r. ze szczególnymi celami obejmującymi znaczącą redukcję emisji gazów cieplarnianych i zwiększony udział energii odnawialnej; popiera obecne działania w ramach funduszu efektywności energetycznej i nowo utworzonego funduszu na rzecz dekarbonizacji; wzywa UE i państwa członkowskie do zagwarantowania finansowej stabilności tych instrumentów, zwłaszcza w kontekście odbudowy i integracji odnawialnych źródeł energii w budownictwie mieszkaniowym; zachęca Ukrainę do uwzględnienia zasady sprawiedliwej transformacji w reformach energetycznych w celu złagodzenia skutków społecznych i wsparcia grup słabszych grup społecznych;</w:t>
      </w:r>
    </w:p>
    <w:p w14:paraId="0EF65D8B" w14:textId="77777777" w:rsidR="00512371" w:rsidRPr="00512371" w:rsidRDefault="00512371" w:rsidP="00512371">
      <w:pPr>
        <w:pStyle w:val="NormalHanging12a"/>
      </w:pPr>
      <w:r w:rsidRPr="00512371">
        <w:t>75.</w:t>
      </w:r>
      <w:r w:rsidRPr="00512371">
        <w:tab/>
        <w:t>wzywa Komisję i państwa członkowskie, aby uwzględniły bezpieczeństwo jądrowe jako centralny element strategii odbudowy i integracji Ukrainy z UE, zapewniając dostosowanie do dorobku prawnego UE w zakresie energii jądrowej i ochrony przed promieniowaniem w ramach Euratomu; popiera wzmocnienie ukraińskich zdolności w zakresie bezpieczeństwa jądrowego i reagowania na zdarzenia radiacyjne, które są centralnym elementem odbudowy Ukrainy i strategii integracji z UE, w tym poprzez pomoc techniczną i finansową ze strony UE i partnerów międzynarodowych; apeluje o ustanowienie inicjatywy kierowanej przez UE w celu wzmocnienia jądrowego bezpieczeństwa, ochrony krytycznej infrastruktury i zapobiegania incydentom radiologicznym wynikającym z rosyjskiej agresji; wyraża poważne zaniepokojenie podejmowanymi przez Federację Rosyjską próbami faktycznej aneksji ukraińskiej infrastruktury krytycznej, w tym wiarygodnymi doniesieniami publicznymi, że zamierza ona odciąć elektrownię jądrową w Zaporożu od ukraińskiej sieci elektroenergetycznej i przymusowo włączyć ją do rosyjskiego systemu energetycznego, co naruszyłoby suwerenność Ukrainy i prawo międzynarodowe oraz stanowiłoby poważne zagrożenie dla bezpieczeństwa jądrowego; wzywa do natychmiastowego i bezwarunkowego wycofania całego rosyjskiego personelu wojskowego i sprzętu z terenu elektrowni jądrowej w Zaporożu i wszystkich innych obiektów jądrowych w Ukrainie i apeluje do Międzynarodowej Agencji Energii Atomowej o publiczny i jednoznaczny sprzeciw wobec wszelkich planów w tym kierunku; podkreśla, że​integralność i odporność ukraińskiej infrastruktury jądrowej nie jest wyłącznie kwestią krajową, ale wspólną odpowiedzialnością europejską; apeluje o skoordynowane planowanie awaryjne i zacieśnienie współpracy transgranicznej między państwami członkowskimi UE w celu reagowania na potencjalne zagrożenia jądrowe wynikające z działań Rosji w Ukrainie;</w:t>
      </w:r>
    </w:p>
    <w:p w14:paraId="1C6F49DB" w14:textId="77777777" w:rsidR="00512371" w:rsidRPr="00512371" w:rsidRDefault="00512371" w:rsidP="00512371">
      <w:pPr>
        <w:ind w:left="567" w:hanging="567"/>
      </w:pPr>
      <w:r w:rsidRPr="00512371">
        <w:t>76.</w:t>
      </w:r>
      <w:r w:rsidRPr="00512371">
        <w:tab/>
        <w:t xml:space="preserve">wzywa Ukrainę do skutecznej walki z nielegalnym pozyskiwaniem drewna zgodnie z zasadami zrównoważonej gospodarki leśnej i normami ochrony środowiska, m.in. </w:t>
      </w:r>
      <w:r w:rsidRPr="00512371">
        <w:lastRenderedPageBreak/>
        <w:t xml:space="preserve">z nielegalnym pozyskiwaniem drewna w karpackich lasach pierwotnych; wzywa UE, aby przyczyniła się do zapobiegania nielegalnemu pozyskiwaniu drewna w związku z nielegalnym projektem kurortu narciarskiego Świdowiec; zachęca Ukrainę do inwestowania w zrównoważoną infrastrukturę turystyczną bezpieczną pod względem ekologicznym i środowiskowym; </w:t>
      </w:r>
    </w:p>
    <w:p w14:paraId="74711E69" w14:textId="77777777" w:rsidR="00512371" w:rsidRPr="00512371" w:rsidRDefault="00512371" w:rsidP="00512371">
      <w:pPr>
        <w:ind w:left="567" w:hanging="567"/>
      </w:pPr>
    </w:p>
    <w:p w14:paraId="32A8A9C4" w14:textId="77777777" w:rsidR="00512371" w:rsidRPr="00512371" w:rsidRDefault="00512371" w:rsidP="00512371">
      <w:pPr>
        <w:ind w:left="567" w:hanging="567"/>
      </w:pPr>
      <w:r w:rsidRPr="00512371">
        <w:t>77.</w:t>
      </w:r>
      <w:r w:rsidRPr="00512371">
        <w:tab/>
        <w:t xml:space="preserve">wzywa Komisję do udzielenia Ukrainie pomocy w utrzymaniu postępów w kierunku osiągnięcia wysokiego stopnia wystarczalności sieci </w:t>
      </w:r>
      <w:proofErr w:type="spellStart"/>
      <w:r w:rsidRPr="00512371">
        <w:t>Emerald</w:t>
      </w:r>
      <w:proofErr w:type="spellEnd"/>
      <w:r w:rsidRPr="00512371">
        <w:t xml:space="preserve"> w odniesieniu do obszarów o szczególnym znaczeniu dla ochrony; </w:t>
      </w:r>
    </w:p>
    <w:p w14:paraId="0B85955B" w14:textId="77777777" w:rsidR="00512371" w:rsidRPr="00512371" w:rsidRDefault="00512371" w:rsidP="00512371">
      <w:pPr>
        <w:ind w:left="567" w:hanging="567"/>
        <w:rPr>
          <w:b/>
          <w:i/>
        </w:rPr>
      </w:pPr>
    </w:p>
    <w:p w14:paraId="1EBF6CAC" w14:textId="77777777" w:rsidR="00512371" w:rsidRPr="00512371" w:rsidRDefault="00512371" w:rsidP="00512371">
      <w:pPr>
        <w:pStyle w:val="NormalHanging12a"/>
      </w:pPr>
      <w:r w:rsidRPr="00512371">
        <w:t>78.</w:t>
      </w:r>
      <w:r w:rsidRPr="00512371">
        <w:tab/>
        <w:t>z zadowoleniem przyjmuje fakt, że w 2024 r. wywóz przeznaczony na rynek UE stanowił 63 % całkowitego wywozu, w porównaniu z 42 % w 2021 r., co pokazuje pomyślną reorientację handlu;</w:t>
      </w:r>
    </w:p>
    <w:p w14:paraId="30B8C732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79.</w:t>
      </w:r>
      <w:r w:rsidRPr="00512371">
        <w:tab/>
        <w:t>zwraca uwagę na strategiczne znaczenie rozwoju i rozbudowy korytarzy kolejowych łączących Ukrainę z UE za pośrednictwem transeuropejskiej sieci transportowej (TEN-T), służących zarówno cywilnym, jak i wojskowym celom logistycznym w ramach szerszej strategii infrastruktury podwójnego zastosowania; zachęca do dalszych działań na rzecz dostosowania standardów cyfrowych i transportowych Ukrainy do standardów UE, co ułatwi handel, mobilność i bezpieczną komunikację; podkreśla, że poprawa łączności przyczyni się do ożywienia gospodarczego i integracji Ukrainy;</w:t>
      </w:r>
    </w:p>
    <w:p w14:paraId="3BBE924B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18FF2BE1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80.</w:t>
      </w:r>
      <w:r w:rsidRPr="00512371">
        <w:tab/>
        <w:t xml:space="preserve">wzywa Komisję i państwa członkowskie do przeznaczenia wszystkich niezbędnych środków na poprawę planowanej łączności transportowej i odporności systemu transportu w Ukrainie do 2050 r., w tym na dalszą aktualizację map TEN-T; z zadowoleniem przyjmuje pomyślny rozwój i wdrożenie korytarzy solidarnościowych, które umożliwiły Ukrainie ominięcie rosyjskiej blokady Morza Czarnego i eksportowanie różnych towarów na rynki światowe za pośrednictwem sąsiednich państw członkowskich UE i Mołdawii; pochwala fakt, że pomimo okrucieństw wojennych, których doświadczyła i znacznego spadku produkcji zboża, Ukraina odegrała zasadniczą rolę w zapobieganiu światowemu kryzysowi żywnościowemu, ponieważ za pośrednictwem humanitarnego programu żywnościowego „Zboże z Ukrainy”, uruchomionego przez prezydenta </w:t>
      </w:r>
      <w:proofErr w:type="spellStart"/>
      <w:r w:rsidRPr="00512371">
        <w:t>Zełenskiego</w:t>
      </w:r>
      <w:proofErr w:type="spellEnd"/>
      <w:r w:rsidRPr="00512371">
        <w:t xml:space="preserve"> w 2022 r., dostarczono ponad 170 000 ton pszenicy do krajów dotkniętych najgorszymi kryzysami żywnościowymi, w szczególności w Afryce; zauważa, że zdecydowana większość ukraińskiego wywozu zboża jest przeznaczona dla krajów rozwijających się;</w:t>
      </w:r>
    </w:p>
    <w:p w14:paraId="1043080B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76985566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81.</w:t>
      </w:r>
      <w:r w:rsidRPr="00512371">
        <w:tab/>
        <w:t xml:space="preserve">dostrzega postępy Ukrainy w integracji z unijnymi inicjatywami w zakresie transportu i łączności cyfrowej oraz podkreśla znaczenie dostosowania jej przepisów do dorobku prawnego UE w tych obszarach; z zadowoleniem przyjmuje w szczególności działania podjęte w celu włączenia Ukrainy do unijnego obszaru wolnego </w:t>
      </w:r>
      <w:proofErr w:type="spellStart"/>
      <w:r w:rsidRPr="00512371">
        <w:t>roamingu</w:t>
      </w:r>
      <w:proofErr w:type="spellEnd"/>
      <w:r w:rsidRPr="00512371">
        <w:t xml:space="preserve"> poprzez wyeliminowanie opłat za </w:t>
      </w:r>
      <w:proofErr w:type="spellStart"/>
      <w:r w:rsidRPr="00512371">
        <w:t>roaming</w:t>
      </w:r>
      <w:proofErr w:type="spellEnd"/>
      <w:r w:rsidRPr="00512371">
        <w:t xml:space="preserve"> w sieciach komórkowych między Ukrainą a UE dla obywateli i przedsiębiorstw;</w:t>
      </w:r>
    </w:p>
    <w:p w14:paraId="4D112E3A" w14:textId="77777777" w:rsidR="00512371" w:rsidRPr="00512371" w:rsidRDefault="00512371" w:rsidP="00512371">
      <w:pPr>
        <w:ind w:left="720" w:hanging="720"/>
        <w:rPr>
          <w:bCs/>
          <w:iCs/>
        </w:rPr>
      </w:pPr>
    </w:p>
    <w:p w14:paraId="272750CC" w14:textId="77777777" w:rsidR="00512371" w:rsidRPr="00512371" w:rsidRDefault="00512371" w:rsidP="00512371">
      <w:pPr>
        <w:ind w:left="567" w:hanging="567"/>
      </w:pPr>
      <w:r w:rsidRPr="00512371">
        <w:t>82.</w:t>
      </w:r>
      <w:r w:rsidRPr="00512371">
        <w:tab/>
        <w:t xml:space="preserve">podkreśla znaczenie wzmocnienia łączności, interoperacyjności i przepustowości systemów cyfrowych i informatycznych między UE a Ukrainą zgodnie z układem o stowarzyszeniu; apeluje o dalsze wysiłki na rzecz harmonizacji polityki cyfrowej, rozszerzenia współpracy w dziedzinie </w:t>
      </w:r>
      <w:proofErr w:type="spellStart"/>
      <w:r w:rsidRPr="00512371">
        <w:t>cyberbezpieczeństwa</w:t>
      </w:r>
      <w:proofErr w:type="spellEnd"/>
      <w:r w:rsidRPr="00512371">
        <w:t xml:space="preserve"> oraz odpornej i bezpiecznej infrastruktury cyfrowej; z zadowoleniem przyjmuje tym kontekście zawarcie w grudniu 2023 r. porozumienia roboczego między Agencją Unii Europejskiej ds. </w:t>
      </w:r>
      <w:proofErr w:type="spellStart"/>
      <w:r w:rsidRPr="00512371">
        <w:lastRenderedPageBreak/>
        <w:t>Cyberbezpieczeństwa</w:t>
      </w:r>
      <w:proofErr w:type="spellEnd"/>
      <w:r w:rsidRPr="00512371">
        <w:t xml:space="preserve"> a ukraińskimi organami ds. </w:t>
      </w:r>
      <w:proofErr w:type="spellStart"/>
      <w:r w:rsidRPr="00512371">
        <w:t>cyberbezpieczeństwa</w:t>
      </w:r>
      <w:proofErr w:type="spellEnd"/>
      <w:r w:rsidRPr="00512371">
        <w:t>;</w:t>
      </w:r>
    </w:p>
    <w:p w14:paraId="2A5360E7" w14:textId="77777777" w:rsidR="00512371" w:rsidRPr="00512371" w:rsidRDefault="00512371" w:rsidP="00512371">
      <w:pPr>
        <w:ind w:left="567" w:hanging="567"/>
      </w:pPr>
    </w:p>
    <w:p w14:paraId="5BB939A2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  <w:r w:rsidRPr="00512371">
        <w:rPr>
          <w:b/>
          <w:i/>
        </w:rPr>
        <w:t>Negocjacje akcesyjne</w:t>
      </w:r>
    </w:p>
    <w:p w14:paraId="6BE4F323" w14:textId="77777777" w:rsidR="00512371" w:rsidRPr="00512371" w:rsidRDefault="00512371" w:rsidP="00512371"/>
    <w:p w14:paraId="49506626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83.</w:t>
      </w:r>
      <w:r w:rsidRPr="00512371">
        <w:tab/>
        <w:t>przypomina o decyzji Rady Europejskiej z 14–15 grudnia 2023 r. o otwarciu negocjacji akcesyjnych z Ukrainą, co stanowi historyczny kamień milowy na drodze Ukrainy do członkostwa w UE; pochwala szybkie zwołanie pierwszej międzyrządowej konferencji akcesyjnej UE–Ukraina na 25 czerwca 2024 r., podczas której oficjalnie rozpoczęto proces negocjacji i z zadowoleniem przyjmuje ocenę komisarz Kos, zgodnie z którą wszystkie kontrole mogłyby zakończyć się do jesieni 2025 r.;</w:t>
      </w:r>
    </w:p>
    <w:p w14:paraId="2C6B90F4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35A4AF9E" w14:textId="77777777" w:rsidR="00512371" w:rsidRPr="00512371" w:rsidRDefault="00512371" w:rsidP="00512371">
      <w:pPr>
        <w:pStyle w:val="NormalHanging12a"/>
        <w:rPr>
          <w:bCs/>
          <w:iCs/>
        </w:rPr>
      </w:pPr>
      <w:r w:rsidRPr="00512371">
        <w:t>84.</w:t>
      </w:r>
      <w:r w:rsidRPr="00512371">
        <w:tab/>
        <w:t>uznaje znaczące reformy i zaangażowanie Ukrainy i zaleca zatem, by Komisja szybko otworzyła klastry negocjacyjne z Ukrainą w celu maksymalnego przyspieszenia jej procesu akcesyjnego do UE, pod warunkiem że będzie ona nadal wdrażała dorobek prawny UE i ukończy podjęte reformy; zaznacza, że negocjacje akcesyjne powinny przebiegać zgodnie z jasną i przejrzystą procedurą, w oparciu o obiektywne i wymierne kryteria; podkreśla, że muszą one obejmować gruntowne reformy we wszystkich podstawowych obszarach oraz istnienie stabilnych instytucji gwarantujących demokrację, praworządność, przestrzeganie praw człowieka, a w szczególności poszanowanie i ochronę mniejszości; podkreśla zalecenia Komisji na nadchodzący rok;</w:t>
      </w:r>
    </w:p>
    <w:p w14:paraId="09F2051C" w14:textId="77777777" w:rsidR="00512371" w:rsidRPr="00512371" w:rsidRDefault="00512371" w:rsidP="00512371">
      <w:pPr>
        <w:ind w:left="567" w:hanging="567"/>
      </w:pPr>
      <w:r w:rsidRPr="00512371">
        <w:t>85.</w:t>
      </w:r>
      <w:r w:rsidRPr="00512371">
        <w:tab/>
      </w:r>
      <w:bookmarkStart w:id="11" w:name="_Hlk204187147"/>
      <w:bookmarkStart w:id="12" w:name="_Hlk204186804"/>
      <w:r w:rsidRPr="00512371">
        <w:t>wzywa rząd Węgier i państwa członkowskie do działania w dobrej wierze przy rozwiązywaniu wszelkich kwestii podobnych do tych związanych z ukraińską ustawą o mniejszościach narodowych</w:t>
      </w:r>
      <w:bookmarkEnd w:id="11"/>
      <w:r w:rsidRPr="00512371">
        <w:t xml:space="preserve"> </w:t>
      </w:r>
      <w:bookmarkStart w:id="13" w:name="_Hlk204187133"/>
      <w:r w:rsidRPr="00512371">
        <w:t xml:space="preserve">oraz do powstrzymania się od wykorzystywania </w:t>
      </w:r>
      <w:bookmarkStart w:id="14" w:name="_Hlk204187250"/>
      <w:r w:rsidRPr="00512371">
        <w:t>takich kwestii jako powodu do zablokowania przystąpienia Ukrainy</w:t>
      </w:r>
      <w:bookmarkEnd w:id="13"/>
      <w:bookmarkEnd w:id="14"/>
      <w:r w:rsidRPr="00512371">
        <w:t xml:space="preserve"> do UE; </w:t>
      </w:r>
      <w:bookmarkEnd w:id="12"/>
      <w:r w:rsidRPr="00512371">
        <w:t>w związku z tym apeluje do rządu Węgier, by nie blokował już rozpoczęcia pierwszych klastrów negocjacji i umożliwił Ukrainie i sąsiadującej z nią Mołdawii dalsze wspólne postępy na drodze do członkostwa w UE;</w:t>
      </w:r>
    </w:p>
    <w:p w14:paraId="24BACC4E" w14:textId="77777777" w:rsidR="00512371" w:rsidRPr="00512371" w:rsidRDefault="00512371" w:rsidP="00512371">
      <w:pPr>
        <w:ind w:left="567" w:hanging="567"/>
      </w:pPr>
    </w:p>
    <w:p w14:paraId="2D3C8A9A" w14:textId="77777777" w:rsidR="00512371" w:rsidRPr="00512371" w:rsidRDefault="00512371" w:rsidP="00512371">
      <w:pPr>
        <w:tabs>
          <w:tab w:val="left" w:pos="1560"/>
        </w:tabs>
        <w:ind w:left="567" w:hanging="567"/>
        <w:rPr>
          <w:b/>
          <w:bCs/>
          <w:i/>
          <w:iCs/>
        </w:rPr>
      </w:pPr>
      <w:r w:rsidRPr="00512371">
        <w:t>86.</w:t>
      </w:r>
      <w:r w:rsidRPr="00512371">
        <w:tab/>
        <w:t>przypomina, że procesu rozszerzenia nie można wykorzystywać do rozstrzygania sporów dwustronnych lub opóźniania działań związanych z podejściem opartym na osiągnięciach oraz że kwestie te powinno się rozwiązywać niezależnie od procesu przystąpienia do UE, w drodze konstruktywnego dialogu i prawdziwej współpracy; przypomina, że nadmierne opóźnienia na drodze do pełnego członkostwa w UE wiążą się z ryzykiem osłabienia poparcia społecznego, jak i determinacji politycznej kraju kandydującego;</w:t>
      </w:r>
    </w:p>
    <w:p w14:paraId="069E0D9E" w14:textId="77777777" w:rsidR="00512371" w:rsidRPr="00512371" w:rsidRDefault="00512371" w:rsidP="00512371">
      <w:pPr>
        <w:ind w:left="567" w:hanging="567"/>
        <w:rPr>
          <w:b/>
          <w:bCs/>
          <w:i/>
          <w:iCs/>
        </w:rPr>
      </w:pPr>
    </w:p>
    <w:p w14:paraId="787D0770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87.</w:t>
      </w:r>
      <w:r w:rsidRPr="00512371">
        <w:tab/>
        <w:t xml:space="preserve">w ramach przygotowań do negocjacji apeluje o stałe wsparcie UE, zwłaszcza w formie pomocy eksperckiej, aby zrekompensować wszelkie niedociągnięcia administracyjne wynikające z trwającej agresji wobec Ukrainy; ponadto wzywa UE do udzielenia Ukrainie wsparcia technicznego, co pomoże jej skutecznie spełnić wszystkie wymogi akcesyjne; wyraża ubolewanie z powodu decyzji rządu Stanów Zjednoczonych o wycofaniu finansowania z Agencji Stanów Zjednoczonych ds. Rozwoju Międzynarodowego (USAID), co bezpośrednio wpływa na wsparcie najważniejszych procesów reform w Ukrainie, w tym tych dotyczących praworządności, walki z korupcją, zarządzania finansami publicznymi, rozwoju gospodarczego, bezpieczeństwa energetycznego oraz dostarczania pomocy humanitarnej; z zadowoleniem przyjmuje działania Komisji i partnerów międzynarodowych mające na celu usunięcie największych braków wynikających z wycofania tego finansowania; </w:t>
      </w:r>
    </w:p>
    <w:p w14:paraId="6F9357DC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029E7CA6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lastRenderedPageBreak/>
        <w:t>88.</w:t>
      </w:r>
      <w:r w:rsidRPr="00512371">
        <w:tab/>
        <w:t>podkreśla, że przed przystąpieniem Ukrainy do UE potrzebne jest zwiększone wsparcie UE, aby przyspieszyć integrację Ukrainy za pomocą ukierunkowanych programów pomocy finansowej i technicznej, oraz że zarówno Ukraina, jak i UE skorzystałyby na stopniowym włączaniu tego kraju do polityki i programów UE równolegle z formalnymi negocjacjami akcesyjnymi;</w:t>
      </w:r>
    </w:p>
    <w:p w14:paraId="1520AB2C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215379AD" w14:textId="77777777" w:rsidR="00512371" w:rsidRPr="00512371" w:rsidRDefault="00512371" w:rsidP="00512371">
      <w:pPr>
        <w:ind w:left="567" w:hanging="567"/>
        <w:rPr>
          <w:bCs/>
          <w:iCs/>
        </w:rPr>
      </w:pPr>
      <w:r w:rsidRPr="00512371">
        <w:t>89.</w:t>
      </w:r>
      <w:r w:rsidRPr="00512371">
        <w:tab/>
        <w:t>zauważa, że ze względu na rozmiar Ukrainy i trwającą wojnę złożoność integracji Ukrainy z UE stwarza wyzwania w najważniejszych obszarach, takich jak rolnictwo, co wymaga znacznych reform instytucjonalnych i finansowych w UE, aby zapewnić jej zdolność do przyjęcia Ukrainy; wzywa zatem UE i jej państwa członkowskie, by aktywnie stawiały czoła tym wyzwaniom, jasno przedstawiły obywatelom UE korzyści wynikające z integracji Ukrainy, znalazły trwałe i uczciwe rozwiązania dla wrażliwych sektorów i kontynuowały niezbędne reformy wewnętrzne równolegle z trwającymi negocjacjami akcesyjnymi; apeluje do Komisji o wsparcie sektorów najbardziej narażonych na skutki liberalizacji handlu w kontekście akcesji Ukrainy; biorąc pod uwagę poprzednie rundy rozszerzenia zauważa jednocześnie, że w wybranych sektorach, w których dorobek prawny UE nie obowiązuje jeszcze w pełnym zakresie, mogą być potrzebne okresy przejściowe, co umożliwi obecnym państwom członkowskim dostosowanie się; ponawia apel do państw członkowskich, by wykazały wyraźne i jednoznaczne zaangażowanie polityczne w proces rozszerzenia i nie wykorzystywały go do rozwiązywania sporów dwustronnych, które należy rozstrzygać niezależnie od procesu akcesyjnego;</w:t>
      </w:r>
    </w:p>
    <w:p w14:paraId="1A6F9F4B" w14:textId="77777777" w:rsidR="00512371" w:rsidRPr="00512371" w:rsidRDefault="00512371" w:rsidP="00512371">
      <w:pPr>
        <w:ind w:left="567" w:hanging="567"/>
        <w:rPr>
          <w:bCs/>
          <w:iCs/>
        </w:rPr>
      </w:pPr>
    </w:p>
    <w:p w14:paraId="473EB1A0" w14:textId="77777777" w:rsidR="00512371" w:rsidRPr="00512371" w:rsidRDefault="00512371" w:rsidP="00512371">
      <w:pPr>
        <w:ind w:left="567" w:hanging="567"/>
      </w:pPr>
      <w:r w:rsidRPr="00512371">
        <w:t>90.</w:t>
      </w:r>
      <w:r w:rsidRPr="00512371">
        <w:tab/>
        <w:t xml:space="preserve">ponawia apele o zwiększenie zdolności UE do działania w drodze reformy procesu decyzyjnego, w tym </w:t>
      </w:r>
      <w:bookmarkStart w:id="15" w:name="_Hlk204186408"/>
      <w:r w:rsidRPr="00512371">
        <w:t xml:space="preserve">przez wprowadzenie głosowania większością kwalifikowaną w Radzie </w:t>
      </w:r>
      <w:bookmarkEnd w:id="15"/>
      <w:r w:rsidRPr="00512371">
        <w:t>na pośrednich etapach procesu akcesyjnego, w szczególności w sprawie rozpoczęcia negocjacji oraz otwarcia i zamknięcia poszczególnych klastrów i rozdziałów negocjacyjnych;</w:t>
      </w:r>
    </w:p>
    <w:p w14:paraId="4B311580" w14:textId="77777777" w:rsidR="00512371" w:rsidRPr="00512371" w:rsidRDefault="00512371" w:rsidP="00512371">
      <w:pPr>
        <w:ind w:left="567" w:hanging="567"/>
      </w:pPr>
    </w:p>
    <w:p w14:paraId="3512A931" w14:textId="77777777" w:rsidR="00512371" w:rsidRPr="00512371" w:rsidRDefault="00512371" w:rsidP="00512371">
      <w:pPr>
        <w:pStyle w:val="NormalCenter12a"/>
      </w:pPr>
      <w:r w:rsidRPr="00512371">
        <w:t>°</w:t>
      </w:r>
    </w:p>
    <w:p w14:paraId="27F1808A" w14:textId="77777777" w:rsidR="00512371" w:rsidRPr="00512371" w:rsidRDefault="00512371" w:rsidP="00512371">
      <w:pPr>
        <w:pStyle w:val="NormalCenter12a"/>
      </w:pPr>
      <w:r w:rsidRPr="00512371">
        <w:t>°</w:t>
      </w:r>
      <w:r w:rsidRPr="00512371">
        <w:tab/>
        <w:t>°</w:t>
      </w:r>
    </w:p>
    <w:p w14:paraId="76DCE966" w14:textId="77777777" w:rsidR="00512371" w:rsidRPr="00512371" w:rsidRDefault="00512371" w:rsidP="00512371">
      <w:pPr>
        <w:pStyle w:val="NormalHanging12a"/>
      </w:pPr>
      <w:r w:rsidRPr="00512371">
        <w:t>91.</w:t>
      </w:r>
      <w:r w:rsidRPr="00512371">
        <w:tab/>
        <w:t>zobowiązuje swoją przewodniczącą do przekazania niniejszej rezolucji prezydentowi, rządowi i parlamentowi Ukrainy, rządom i parlamentom państw członkowskich UE, Radzie i Komisji.</w:t>
      </w:r>
    </w:p>
    <w:p w14:paraId="13F2E1E6" w14:textId="77777777" w:rsidR="00512371" w:rsidRPr="00512371" w:rsidRDefault="00512371" w:rsidP="00512371"/>
    <w:p w14:paraId="67D0E123" w14:textId="77777777" w:rsidR="00512371" w:rsidRPr="00512371" w:rsidRDefault="00512371" w:rsidP="00512371"/>
    <w:p w14:paraId="604EFBD4" w14:textId="40059B30" w:rsidR="00E365E1" w:rsidRPr="00512371" w:rsidRDefault="00E365E1" w:rsidP="00512371">
      <w:pPr>
        <w:pStyle w:val="ATHeading1"/>
      </w:pPr>
    </w:p>
    <w:sectPr w:rsidR="00E365E1" w:rsidRPr="00512371" w:rsidSect="007636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6C4FD3" w14:textId="77777777" w:rsidR="00C05FED" w:rsidRPr="0076360D" w:rsidRDefault="00C05FED">
      <w:r w:rsidRPr="0076360D">
        <w:separator/>
      </w:r>
    </w:p>
  </w:endnote>
  <w:endnote w:type="continuationSeparator" w:id="0">
    <w:p w14:paraId="0EA86724" w14:textId="77777777" w:rsidR="00C05FED" w:rsidRPr="0076360D" w:rsidRDefault="00C05FED">
      <w:r w:rsidRPr="007636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E8D0C" w14:textId="77777777" w:rsidR="00064002" w:rsidRPr="0076360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39523" w14:textId="77777777" w:rsidR="00064002" w:rsidRPr="0076360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6976E" w14:textId="77777777" w:rsidR="00064002" w:rsidRPr="0076360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5F7EEF" w14:textId="77777777" w:rsidR="00C05FED" w:rsidRPr="0076360D" w:rsidRDefault="00C05FED">
      <w:r w:rsidRPr="0076360D">
        <w:separator/>
      </w:r>
    </w:p>
  </w:footnote>
  <w:footnote w:type="continuationSeparator" w:id="0">
    <w:p w14:paraId="68CBD815" w14:textId="77777777" w:rsidR="00C05FED" w:rsidRPr="0076360D" w:rsidRDefault="00C05FED">
      <w:r w:rsidRPr="0076360D">
        <w:continuationSeparator/>
      </w:r>
    </w:p>
  </w:footnote>
  <w:footnote w:id="1">
    <w:p w14:paraId="5359D87A" w14:textId="77777777" w:rsidR="00512371" w:rsidRPr="00345D2E" w:rsidRDefault="00512371" w:rsidP="00512371">
      <w:pPr>
        <w:pStyle w:val="FootnoteText"/>
        <w:ind w:left="567" w:hanging="567"/>
        <w:rPr>
          <w:sz w:val="24"/>
          <w:lang w:val="fi-FI"/>
        </w:rPr>
      </w:pPr>
      <w:r w:rsidRPr="0076360D">
        <w:rPr>
          <w:rStyle w:val="FootnoteReference"/>
          <w:sz w:val="24"/>
          <w:lang w:val="pl-PL"/>
        </w:rPr>
        <w:footnoteRef/>
      </w:r>
      <w:r w:rsidRPr="00345D2E">
        <w:rPr>
          <w:sz w:val="24"/>
          <w:lang w:val="fi-FI"/>
        </w:rPr>
        <w:t xml:space="preserve"> </w:t>
      </w:r>
      <w:r w:rsidRPr="00345D2E">
        <w:rPr>
          <w:sz w:val="24"/>
          <w:lang w:val="fi-FI"/>
        </w:rPr>
        <w:tab/>
      </w:r>
      <w:proofErr w:type="spellStart"/>
      <w:r w:rsidRPr="00345D2E">
        <w:rPr>
          <w:sz w:val="24"/>
          <w:lang w:val="fi-FI"/>
        </w:rPr>
        <w:t>Dz.U</w:t>
      </w:r>
      <w:proofErr w:type="spellEnd"/>
      <w:r w:rsidRPr="00345D2E">
        <w:rPr>
          <w:sz w:val="24"/>
          <w:lang w:val="fi-FI"/>
        </w:rPr>
        <w:t xml:space="preserve">. L, 2024/792, 29.2.2024, ELI: </w:t>
      </w:r>
      <w:hyperlink r:id="rId1" w:history="1">
        <w:r w:rsidRPr="00345D2E">
          <w:rPr>
            <w:rStyle w:val="Hyperlink"/>
            <w:sz w:val="24"/>
            <w:lang w:val="fi-FI"/>
          </w:rPr>
          <w:t>https://eur-lex.europa.eu/eli/reg/2024/792/oj</w:t>
        </w:r>
      </w:hyperlink>
      <w:r w:rsidRPr="00345D2E">
        <w:rPr>
          <w:sz w:val="24"/>
          <w:lang w:val="fi-FI"/>
        </w:rPr>
        <w:t>.</w:t>
      </w:r>
    </w:p>
  </w:footnote>
  <w:footnote w:id="2">
    <w:p w14:paraId="38D29537" w14:textId="77777777" w:rsidR="00512371" w:rsidRPr="00345D2E" w:rsidRDefault="00512371" w:rsidP="00512371">
      <w:pPr>
        <w:pStyle w:val="FootnoteText"/>
        <w:ind w:left="567" w:hanging="567"/>
        <w:rPr>
          <w:sz w:val="24"/>
          <w:lang w:val="fi-FI"/>
        </w:rPr>
      </w:pPr>
      <w:r w:rsidRPr="0076360D">
        <w:rPr>
          <w:rStyle w:val="FootnoteReference"/>
          <w:sz w:val="24"/>
          <w:lang w:val="pl-PL"/>
        </w:rPr>
        <w:footnoteRef/>
      </w:r>
      <w:r w:rsidRPr="00345D2E">
        <w:rPr>
          <w:sz w:val="24"/>
          <w:lang w:val="fi-FI"/>
        </w:rPr>
        <w:t xml:space="preserve"> </w:t>
      </w:r>
      <w:r w:rsidRPr="00345D2E">
        <w:rPr>
          <w:sz w:val="24"/>
          <w:lang w:val="fi-FI"/>
        </w:rPr>
        <w:tab/>
      </w:r>
      <w:proofErr w:type="spellStart"/>
      <w:r w:rsidRPr="00345D2E">
        <w:rPr>
          <w:sz w:val="24"/>
          <w:lang w:val="fi-FI"/>
        </w:rPr>
        <w:t>Dz.U</w:t>
      </w:r>
      <w:proofErr w:type="spellEnd"/>
      <w:r w:rsidRPr="00345D2E">
        <w:rPr>
          <w:sz w:val="24"/>
          <w:lang w:val="fi-FI"/>
        </w:rPr>
        <w:t xml:space="preserve">. C, C/2025/3151, 20.6.2025, ELI: </w:t>
      </w:r>
      <w:hyperlink r:id="rId2" w:history="1">
        <w:r w:rsidRPr="00345D2E">
          <w:rPr>
            <w:rStyle w:val="Hyperlink"/>
            <w:sz w:val="24"/>
            <w:lang w:val="fi-FI"/>
          </w:rPr>
          <w:t>http://data.europa.eu/eli/C/2025/3151/oj</w:t>
        </w:r>
      </w:hyperlink>
      <w:r w:rsidRPr="00345D2E">
        <w:rPr>
          <w:sz w:val="24"/>
          <w:lang w:val="fi-FI"/>
        </w:rPr>
        <w:t>.</w:t>
      </w:r>
    </w:p>
  </w:footnote>
  <w:footnote w:id="3">
    <w:p w14:paraId="01B3311B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 xml:space="preserve">Dyrektywa Parlamentu Europejskiego i Rady (UE) 2024/1712 z dnia 13 czerwca 2024 r. w sprawie zmiany dyrektywy 2011/36/UE w sprawie zapobiegania handlowi ludźmi i zwalczania tego procederu oraz ochrony ofiar (Dz.U. L, 2024/1712, </w:t>
      </w:r>
      <w:proofErr w:type="gramStart"/>
      <w:r w:rsidRPr="0076360D">
        <w:rPr>
          <w:sz w:val="24"/>
          <w:lang w:val="pl-PL"/>
        </w:rPr>
        <w:t>24.6.2024</w:t>
      </w:r>
      <w:proofErr w:type="gramEnd"/>
      <w:r w:rsidRPr="0076360D">
        <w:rPr>
          <w:sz w:val="24"/>
          <w:lang w:val="pl-PL"/>
        </w:rPr>
        <w:t xml:space="preserve">, ELI: </w:t>
      </w:r>
      <w:hyperlink r:id="rId3" w:history="1">
        <w:r w:rsidRPr="0076360D">
          <w:rPr>
            <w:rStyle w:val="Hyperlink"/>
            <w:sz w:val="24"/>
            <w:lang w:val="pl-PL"/>
          </w:rPr>
          <w:t>http://data.europa.eu/eli/dir/2024/1712/oj</w:t>
        </w:r>
      </w:hyperlink>
      <w:r w:rsidRPr="0076360D">
        <w:rPr>
          <w:sz w:val="24"/>
          <w:lang w:val="pl-PL"/>
        </w:rPr>
        <w:t>).</w:t>
      </w:r>
    </w:p>
  </w:footnote>
  <w:footnote w:id="4">
    <w:p w14:paraId="526F8F48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>Wspólny komunikat Komisji i wysokiej przedstawicielki Unii do spraw zagranicznych i polityki bezpieczeństwa z 28 maja 2025 r. pt. „Strategiczne podejście Unii Europejskiej do regionu Morza Czarnego” (</w:t>
      </w:r>
      <w:proofErr w:type="gramStart"/>
      <w:r w:rsidRPr="0076360D">
        <w:rPr>
          <w:sz w:val="24"/>
          <w:lang w:val="pl-PL"/>
        </w:rPr>
        <w:t>JOIN(</w:t>
      </w:r>
      <w:proofErr w:type="gramEnd"/>
      <w:r w:rsidRPr="0076360D">
        <w:rPr>
          <w:sz w:val="24"/>
          <w:lang w:val="pl-PL"/>
        </w:rPr>
        <w:t>2025)0135).</w:t>
      </w:r>
    </w:p>
  </w:footnote>
  <w:footnote w:id="5">
    <w:p w14:paraId="1CD89906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 xml:space="preserve">Dyrektywa 2000/60/WE Parlamentu Europejskiego i Rady z dnia 23 października 2000 r. ustanawiająca ramy wspólnotowego działania w dziedzinie polityki wodnej (Dz.U. L 327 z 22.12.2000, s. 1, ELI: </w:t>
      </w:r>
      <w:hyperlink r:id="rId4" w:history="1">
        <w:r w:rsidRPr="0076360D">
          <w:rPr>
            <w:rStyle w:val="Hyperlink"/>
            <w:sz w:val="24"/>
            <w:lang w:val="pl-PL"/>
          </w:rPr>
          <w:t>http://data.europa.eu/eli/dir/2000/60/oj</w:t>
        </w:r>
      </w:hyperlink>
      <w:r w:rsidRPr="0076360D">
        <w:rPr>
          <w:sz w:val="24"/>
          <w:lang w:val="pl-PL"/>
        </w:rPr>
        <w:t>).</w:t>
      </w:r>
    </w:p>
  </w:footnote>
  <w:footnote w:id="6">
    <w:p w14:paraId="3C7339D2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>Dyrektywa 2006/21/WE Parlamentu Europejskiego i Rady z dnia 15 marca 2006 r. w sprawie gospodarowania odpadami pochodzącymi z przemysłu wydobywczego oraz zmieniająca dyrektywę 2004/35/WE (Dz.U. L 102 z </w:t>
      </w:r>
      <w:proofErr w:type="gramStart"/>
      <w:r w:rsidRPr="0076360D">
        <w:rPr>
          <w:sz w:val="24"/>
          <w:lang w:val="pl-PL"/>
        </w:rPr>
        <w:t>11.4.2006</w:t>
      </w:r>
      <w:proofErr w:type="gramEnd"/>
      <w:r w:rsidRPr="0076360D">
        <w:rPr>
          <w:sz w:val="24"/>
          <w:lang w:val="pl-PL"/>
        </w:rPr>
        <w:t xml:space="preserve">, s. 15, ELI: </w:t>
      </w:r>
      <w:hyperlink r:id="rId5" w:history="1">
        <w:r w:rsidRPr="0076360D">
          <w:rPr>
            <w:rStyle w:val="Hyperlink"/>
            <w:sz w:val="24"/>
            <w:lang w:val="pl-PL"/>
          </w:rPr>
          <w:t>http://data.europa.eu/eli/dir/2006/21/oj</w:t>
        </w:r>
      </w:hyperlink>
      <w:r w:rsidRPr="0076360D">
        <w:rPr>
          <w:sz w:val="24"/>
          <w:lang w:val="pl-PL"/>
        </w:rPr>
        <w:t>).</w:t>
      </w:r>
    </w:p>
  </w:footnote>
  <w:footnote w:id="7">
    <w:p w14:paraId="2B7E016F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 xml:space="preserve">Rozporządzenie Rady (WE) nr 1/2005 z dnia 22 grudnia 2004 r. w sprawie ochrony zwierząt podczas transportu i związanych z tym działań oraz zmieniające dyrektywy 64/432/EWG i 93/119/WE oraz rozporządzenie (WE) nr 1255/97 (Dz.U. L 3 z </w:t>
      </w:r>
      <w:proofErr w:type="gramStart"/>
      <w:r w:rsidRPr="0076360D">
        <w:rPr>
          <w:sz w:val="24"/>
          <w:lang w:val="pl-PL"/>
        </w:rPr>
        <w:t>5.1.2005</w:t>
      </w:r>
      <w:proofErr w:type="gramEnd"/>
      <w:r w:rsidRPr="0076360D">
        <w:rPr>
          <w:sz w:val="24"/>
          <w:lang w:val="pl-PL"/>
        </w:rPr>
        <w:t xml:space="preserve">, s. 1, ELI: </w:t>
      </w:r>
      <w:hyperlink r:id="rId6" w:history="1">
        <w:r w:rsidRPr="0076360D">
          <w:rPr>
            <w:rStyle w:val="Hyperlink"/>
            <w:sz w:val="24"/>
            <w:lang w:val="pl-PL"/>
          </w:rPr>
          <w:t>http://data.europa.eu/eli/reg/2005/1/oj</w:t>
        </w:r>
      </w:hyperlink>
      <w:r w:rsidRPr="0076360D">
        <w:rPr>
          <w:sz w:val="24"/>
          <w:lang w:val="pl-PL"/>
        </w:rPr>
        <w:t>).</w:t>
      </w:r>
    </w:p>
  </w:footnote>
  <w:footnote w:id="8">
    <w:p w14:paraId="1C09D87E" w14:textId="77777777" w:rsidR="00512371" w:rsidRPr="0076360D" w:rsidRDefault="00512371" w:rsidP="00512371">
      <w:pPr>
        <w:pStyle w:val="FootnoteText"/>
        <w:ind w:left="567" w:hanging="567"/>
        <w:rPr>
          <w:sz w:val="24"/>
          <w:lang w:val="pl-PL"/>
        </w:rPr>
      </w:pPr>
      <w:r w:rsidRPr="0076360D">
        <w:rPr>
          <w:rStyle w:val="FootnoteReference"/>
          <w:sz w:val="24"/>
          <w:lang w:val="pl-PL"/>
        </w:rPr>
        <w:footnoteRef/>
      </w:r>
      <w:r w:rsidRPr="0076360D">
        <w:rPr>
          <w:sz w:val="24"/>
          <w:lang w:val="pl-PL"/>
        </w:rPr>
        <w:t xml:space="preserve"> </w:t>
      </w:r>
      <w:r w:rsidRPr="0076360D">
        <w:rPr>
          <w:sz w:val="24"/>
          <w:lang w:val="pl-PL"/>
        </w:rPr>
        <w:tab/>
        <w:t xml:space="preserve">Dyrektywa Parlamentu Europejskiego i Rady (UE) 2023/2413 z dnia 18 października 2023 r. zmieniająca dyrektywę (UE) 2018/2001, rozporządzenie (UE) 2018/1999 i dyrektywę 98/70/WE w odniesieniu do promowania energii ze źródeł odnawialnych oraz uchylająca dyrektywę Rady (UE) 2015/652 (Dz.U. L, 2023/2413, 31.10.2023, ELI: </w:t>
      </w:r>
      <w:hyperlink r:id="rId7" w:history="1">
        <w:r w:rsidRPr="0076360D">
          <w:rPr>
            <w:rStyle w:val="Hyperlink"/>
            <w:sz w:val="24"/>
            <w:lang w:val="pl-PL"/>
          </w:rPr>
          <w:t>http://data.europa.eu/eli/dir/2023/2413/oj</w:t>
        </w:r>
      </w:hyperlink>
      <w:r w:rsidRPr="0076360D">
        <w:rPr>
          <w:sz w:val="24"/>
          <w:lang w:val="pl-PL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B649E" w14:textId="77777777" w:rsidR="00064002" w:rsidRPr="0076360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1EFA0" w14:textId="77777777" w:rsidR="00064002" w:rsidRPr="0076360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FC3CC" w14:textId="77777777" w:rsidR="00064002" w:rsidRPr="0076360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7313645">
    <w:abstractNumId w:val="9"/>
  </w:num>
  <w:num w:numId="2" w16cid:durableId="918909049">
    <w:abstractNumId w:val="9"/>
  </w:num>
  <w:num w:numId="3" w16cid:durableId="140931584">
    <w:abstractNumId w:val="7"/>
  </w:num>
  <w:num w:numId="4" w16cid:durableId="86659495">
    <w:abstractNumId w:val="7"/>
  </w:num>
  <w:num w:numId="5" w16cid:durableId="817769846">
    <w:abstractNumId w:val="6"/>
  </w:num>
  <w:num w:numId="6" w16cid:durableId="1451164524">
    <w:abstractNumId w:val="6"/>
  </w:num>
  <w:num w:numId="7" w16cid:durableId="405148207">
    <w:abstractNumId w:val="5"/>
  </w:num>
  <w:num w:numId="8" w16cid:durableId="1812677344">
    <w:abstractNumId w:val="5"/>
  </w:num>
  <w:num w:numId="9" w16cid:durableId="1913848645">
    <w:abstractNumId w:val="4"/>
  </w:num>
  <w:num w:numId="10" w16cid:durableId="1413353904">
    <w:abstractNumId w:val="4"/>
  </w:num>
  <w:num w:numId="11" w16cid:durableId="1401825616">
    <w:abstractNumId w:val="8"/>
  </w:num>
  <w:num w:numId="12" w16cid:durableId="76169676">
    <w:abstractNumId w:val="8"/>
  </w:num>
  <w:num w:numId="13" w16cid:durableId="1582174522">
    <w:abstractNumId w:val="3"/>
  </w:num>
  <w:num w:numId="14" w16cid:durableId="1934236889">
    <w:abstractNumId w:val="3"/>
  </w:num>
  <w:num w:numId="15" w16cid:durableId="752822842">
    <w:abstractNumId w:val="2"/>
  </w:num>
  <w:num w:numId="16" w16cid:durableId="13507081">
    <w:abstractNumId w:val="2"/>
  </w:num>
  <w:num w:numId="17" w16cid:durableId="264115827">
    <w:abstractNumId w:val="1"/>
  </w:num>
  <w:num w:numId="18" w16cid:durableId="128010908">
    <w:abstractNumId w:val="1"/>
  </w:num>
  <w:num w:numId="19" w16cid:durableId="78988773">
    <w:abstractNumId w:val="0"/>
  </w:num>
  <w:num w:numId="20" w16cid:durableId="1952469059">
    <w:abstractNumId w:val="0"/>
  </w:num>
  <w:num w:numId="21" w16cid:durableId="1495562167">
    <w:abstractNumId w:val="9"/>
  </w:num>
  <w:num w:numId="22" w16cid:durableId="223610044">
    <w:abstractNumId w:val="7"/>
  </w:num>
  <w:num w:numId="23" w16cid:durableId="574314364">
    <w:abstractNumId w:val="6"/>
  </w:num>
  <w:num w:numId="24" w16cid:durableId="1226643560">
    <w:abstractNumId w:val="5"/>
  </w:num>
  <w:num w:numId="25" w16cid:durableId="29036874">
    <w:abstractNumId w:val="4"/>
  </w:num>
  <w:num w:numId="26" w16cid:durableId="1863548069">
    <w:abstractNumId w:val="8"/>
  </w:num>
  <w:num w:numId="27" w16cid:durableId="586042092">
    <w:abstractNumId w:val="3"/>
  </w:num>
  <w:num w:numId="28" w16cid:durableId="479201674">
    <w:abstractNumId w:val="2"/>
  </w:num>
  <w:num w:numId="29" w16cid:durableId="1275942780">
    <w:abstractNumId w:val="1"/>
  </w:num>
  <w:num w:numId="30" w16cid:durableId="1842309683">
    <w:abstractNumId w:val="0"/>
  </w:num>
  <w:num w:numId="31" w16cid:durableId="209650436">
    <w:abstractNumId w:val="9"/>
  </w:num>
  <w:num w:numId="32" w16cid:durableId="947348959">
    <w:abstractNumId w:val="7"/>
  </w:num>
  <w:num w:numId="33" w16cid:durableId="987175168">
    <w:abstractNumId w:val="6"/>
  </w:num>
  <w:num w:numId="34" w16cid:durableId="430666505">
    <w:abstractNumId w:val="5"/>
  </w:num>
  <w:num w:numId="35" w16cid:durableId="1136752001">
    <w:abstractNumId w:val="4"/>
  </w:num>
  <w:num w:numId="36" w16cid:durableId="2130777867">
    <w:abstractNumId w:val="8"/>
  </w:num>
  <w:num w:numId="37" w16cid:durableId="372310441">
    <w:abstractNumId w:val="3"/>
  </w:num>
  <w:num w:numId="38" w16cid:durableId="1643734592">
    <w:abstractNumId w:val="2"/>
  </w:num>
  <w:num w:numId="39" w16cid:durableId="1834370886">
    <w:abstractNumId w:val="1"/>
  </w:num>
  <w:num w:numId="40" w16cid:durableId="1875265133">
    <w:abstractNumId w:val="0"/>
  </w:num>
  <w:num w:numId="41" w16cid:durableId="119038082">
    <w:abstractNumId w:val="10"/>
  </w:num>
  <w:num w:numId="42" w16cid:durableId="1937396219">
    <w:abstractNumId w:val="10"/>
  </w:num>
  <w:num w:numId="43" w16cid:durableId="1636906293">
    <w:abstractNumId w:val="10"/>
  </w:num>
  <w:num w:numId="44" w16cid:durableId="96863396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4/2025"/>
    <w:docVar w:name="dvlangue" w:val="PL"/>
    <w:docVar w:name="dvnumam" w:val="0"/>
    <w:docVar w:name="dvpe" w:val="769.901"/>
    <w:docVar w:name="dvrapporteur" w:val="Sprawozdawca: "/>
    <w:docVar w:name="dvstar" w:val="??"/>
    <w:docVar w:name="dvtitre" w:val="Rezolucja Parlamentu Europejskiego z dnia  2025 r. w sprawie sprawozdań Komisji dotyczących Ukrainy za lata 2023 i 2024(2025/2026(INI))"/>
  </w:docVars>
  <w:rsids>
    <w:rsidRoot w:val="00C05FED"/>
    <w:rsid w:val="00002272"/>
    <w:rsid w:val="00020216"/>
    <w:rsid w:val="00064002"/>
    <w:rsid w:val="000677B9"/>
    <w:rsid w:val="000831BA"/>
    <w:rsid w:val="000A42CC"/>
    <w:rsid w:val="000A681F"/>
    <w:rsid w:val="000C0A44"/>
    <w:rsid w:val="000E7DD9"/>
    <w:rsid w:val="0010095E"/>
    <w:rsid w:val="00125B37"/>
    <w:rsid w:val="00142B7F"/>
    <w:rsid w:val="00187494"/>
    <w:rsid w:val="001F32AE"/>
    <w:rsid w:val="002767FF"/>
    <w:rsid w:val="002B18FE"/>
    <w:rsid w:val="002B5493"/>
    <w:rsid w:val="002C4D84"/>
    <w:rsid w:val="00343214"/>
    <w:rsid w:val="00345D2E"/>
    <w:rsid w:val="00361C00"/>
    <w:rsid w:val="003721F1"/>
    <w:rsid w:val="00395FA1"/>
    <w:rsid w:val="003E15D4"/>
    <w:rsid w:val="00411CCE"/>
    <w:rsid w:val="0041666E"/>
    <w:rsid w:val="00421060"/>
    <w:rsid w:val="00461E35"/>
    <w:rsid w:val="00471C19"/>
    <w:rsid w:val="004867E3"/>
    <w:rsid w:val="00494A28"/>
    <w:rsid w:val="004C0004"/>
    <w:rsid w:val="004C5D52"/>
    <w:rsid w:val="0050519A"/>
    <w:rsid w:val="005072A1"/>
    <w:rsid w:val="0051237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60D"/>
    <w:rsid w:val="00786EC0"/>
    <w:rsid w:val="007D1690"/>
    <w:rsid w:val="007D1CA9"/>
    <w:rsid w:val="007E22AD"/>
    <w:rsid w:val="00817416"/>
    <w:rsid w:val="00842779"/>
    <w:rsid w:val="00865F67"/>
    <w:rsid w:val="00881A7B"/>
    <w:rsid w:val="008840E5"/>
    <w:rsid w:val="00887B3E"/>
    <w:rsid w:val="008C2AC6"/>
    <w:rsid w:val="008F22AA"/>
    <w:rsid w:val="00930C23"/>
    <w:rsid w:val="0093193B"/>
    <w:rsid w:val="009509D8"/>
    <w:rsid w:val="00950B64"/>
    <w:rsid w:val="0098024B"/>
    <w:rsid w:val="00981893"/>
    <w:rsid w:val="009B7308"/>
    <w:rsid w:val="00A1687D"/>
    <w:rsid w:val="00A316AB"/>
    <w:rsid w:val="00A43E52"/>
    <w:rsid w:val="00A4678D"/>
    <w:rsid w:val="00A778C7"/>
    <w:rsid w:val="00AB441E"/>
    <w:rsid w:val="00AB6293"/>
    <w:rsid w:val="00AC78FE"/>
    <w:rsid w:val="00AE0928"/>
    <w:rsid w:val="00AF3B82"/>
    <w:rsid w:val="00B12E95"/>
    <w:rsid w:val="00B22876"/>
    <w:rsid w:val="00B558F0"/>
    <w:rsid w:val="00BD48FE"/>
    <w:rsid w:val="00BD7BD8"/>
    <w:rsid w:val="00BE6ADC"/>
    <w:rsid w:val="00C04141"/>
    <w:rsid w:val="00C05BFE"/>
    <w:rsid w:val="00C05FED"/>
    <w:rsid w:val="00C16E3E"/>
    <w:rsid w:val="00C23CD4"/>
    <w:rsid w:val="00C61C0C"/>
    <w:rsid w:val="00C941CB"/>
    <w:rsid w:val="00CC2357"/>
    <w:rsid w:val="00CE235E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8E2693"/>
  <w15:chartTrackingRefBased/>
  <w15:docId w15:val="{DF69DB9C-ADF5-44EB-81BE-04F04E08E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F22A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8F22AA"/>
    <w:pPr>
      <w:widowControl/>
      <w:spacing w:after="240"/>
      <w:ind w:left="567" w:hanging="567"/>
    </w:pPr>
    <w:rPr>
      <w:snapToGrid w:val="0"/>
      <w:lang w:eastAsia="en-US"/>
    </w:rPr>
  </w:style>
  <w:style w:type="paragraph" w:customStyle="1" w:styleId="NormalCenter12a">
    <w:name w:val="NormalCenter12a"/>
    <w:basedOn w:val="Normal"/>
    <w:rsid w:val="008F22AA"/>
    <w:pPr>
      <w:spacing w:after="240"/>
      <w:jc w:val="center"/>
    </w:pPr>
  </w:style>
  <w:style w:type="character" w:customStyle="1" w:styleId="BoldItalic">
    <w:name w:val="BoldItalic"/>
    <w:uiPriority w:val="1"/>
    <w:rsid w:val="008F22AA"/>
    <w:rPr>
      <w:b/>
      <w:i/>
      <w:u w:val="none"/>
    </w:rPr>
  </w:style>
  <w:style w:type="character" w:customStyle="1" w:styleId="Italic">
    <w:name w:val="Italic"/>
    <w:uiPriority w:val="1"/>
    <w:rsid w:val="008F22AA"/>
    <w:rPr>
      <w:i/>
    </w:rPr>
  </w:style>
  <w:style w:type="paragraph" w:customStyle="1" w:styleId="Normal12a24b">
    <w:name w:val="Normal12a24b"/>
    <w:basedOn w:val="Normal"/>
    <w:rsid w:val="008F22AA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8F22AA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F22AA"/>
    <w:rPr>
      <w:b/>
      <w:bCs/>
    </w:rPr>
  </w:style>
  <w:style w:type="paragraph" w:styleId="NormalWeb">
    <w:name w:val="Normal (Web)"/>
    <w:basedOn w:val="Normal"/>
    <w:uiPriority w:val="99"/>
    <w:unhideWhenUsed/>
    <w:rsid w:val="008F22AA"/>
    <w:pPr>
      <w:widowControl/>
      <w:spacing w:before="100" w:beforeAutospacing="1" w:after="100" w:afterAutospacing="1"/>
    </w:pPr>
    <w:rPr>
      <w:szCs w:val="24"/>
    </w:rPr>
  </w:style>
  <w:style w:type="character" w:customStyle="1" w:styleId="NormalHanging12aChar">
    <w:name w:val="NormalHanging12a Char"/>
    <w:basedOn w:val="DefaultParagraphFont"/>
    <w:link w:val="NormalHanging12a"/>
    <w:locked/>
    <w:rsid w:val="008F22AA"/>
    <w:rPr>
      <w:snapToGrid w:val="0"/>
      <w:sz w:val="24"/>
      <w:lang w:val="pl-PL" w:eastAsia="en-US"/>
    </w:rPr>
  </w:style>
  <w:style w:type="paragraph" w:styleId="Revision">
    <w:name w:val="Revision"/>
    <w:hidden/>
    <w:uiPriority w:val="99"/>
    <w:semiHidden/>
    <w:rsid w:val="00345D2E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ir/2024/1712/oj" TargetMode="External"/><Relationship Id="rId7" Type="http://schemas.openxmlformats.org/officeDocument/2006/relationships/hyperlink" Target="http://data.europa.eu/eli/dir/2023/2413/oj" TargetMode="External"/><Relationship Id="rId2" Type="http://schemas.openxmlformats.org/officeDocument/2006/relationships/hyperlink" Target="http://data.europa.eu/eli/C/2025/3151/oj" TargetMode="External"/><Relationship Id="rId1" Type="http://schemas.openxmlformats.org/officeDocument/2006/relationships/hyperlink" Target="http://data.europa.eu/eli/reg/2024/792/oj" TargetMode="External"/><Relationship Id="rId6" Type="http://schemas.openxmlformats.org/officeDocument/2006/relationships/hyperlink" Target="http://data.europa.eu/eli/reg/2005/1/oj" TargetMode="External"/><Relationship Id="rId5" Type="http://schemas.openxmlformats.org/officeDocument/2006/relationships/hyperlink" Target="http://data.europa.eu/eli/dir/2006/21/oj" TargetMode="External"/><Relationship Id="rId4" Type="http://schemas.openxmlformats.org/officeDocument/2006/relationships/hyperlink" Target="http://data.europa.eu/eli/dir/2000/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27</Pages>
  <Words>11000</Words>
  <Characters>74627</Characters>
  <Application>Microsoft Office Word</Application>
  <DocSecurity>0</DocSecurity>
  <Lines>621</Lines>
  <Paragraphs>170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2025-10-12T20:12:00Z</dcterms:created>
  <dcterms:modified xsi:type="dcterms:W3CDTF">2025-10-12T20:12:00Z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P10_TA(2025)0175_</vt:lpwstr>
  </property>
  <property fmtid="{D5CDD505-2E9C-101B-9397-08002B2CF9AE}" pid="4" name="&lt;Type&gt;">
    <vt:lpwstr>RR</vt:lpwstr>
  </property>
</Properties>
</file>