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72CA" w14:paraId="5AD962F0" w14:textId="77777777" w:rsidTr="0010095E">
        <w:trPr>
          <w:trHeight w:hRule="exact" w:val="1418"/>
        </w:trPr>
        <w:tc>
          <w:tcPr>
            <w:tcW w:w="6804" w:type="dxa"/>
            <w:shd w:val="clear" w:color="auto" w:fill="auto"/>
            <w:vAlign w:val="center"/>
          </w:tcPr>
          <w:p w14:paraId="6A0B5049" w14:textId="77777777" w:rsidR="00751A4A" w:rsidRPr="007672CA" w:rsidRDefault="00E041F0" w:rsidP="0010095E">
            <w:pPr>
              <w:pStyle w:val="EPName"/>
            </w:pPr>
            <w:r w:rsidRPr="007672CA">
              <w:t>Parlamentul European</w:t>
            </w:r>
          </w:p>
          <w:p w14:paraId="4F13E154" w14:textId="77777777" w:rsidR="00751A4A" w:rsidRPr="007672CA" w:rsidRDefault="005F1B17" w:rsidP="005F1B17">
            <w:pPr>
              <w:pStyle w:val="EPTerm"/>
              <w:rPr>
                <w:rStyle w:val="HideTWBExt"/>
                <w:noProof w:val="0"/>
                <w:vanish w:val="0"/>
                <w:color w:val="auto"/>
              </w:rPr>
            </w:pPr>
            <w:r w:rsidRPr="007672CA">
              <w:t>2024</w:t>
            </w:r>
            <w:r w:rsidR="00817416" w:rsidRPr="007672CA">
              <w:t>-202</w:t>
            </w:r>
            <w:r w:rsidRPr="007672CA">
              <w:t>9</w:t>
            </w:r>
          </w:p>
        </w:tc>
        <w:tc>
          <w:tcPr>
            <w:tcW w:w="2268" w:type="dxa"/>
            <w:shd w:val="clear" w:color="auto" w:fill="auto"/>
          </w:tcPr>
          <w:p w14:paraId="48B82111" w14:textId="77777777" w:rsidR="00751A4A" w:rsidRPr="007672CA" w:rsidRDefault="00187494" w:rsidP="0010095E">
            <w:pPr>
              <w:pStyle w:val="EPLogo"/>
            </w:pPr>
            <w:r w:rsidRPr="007672CA">
              <w:rPr>
                <w:noProof/>
                <w:lang w:eastAsia="ja-JP"/>
              </w:rPr>
              <w:drawing>
                <wp:inline distT="0" distB="0" distL="0" distR="0" wp14:anchorId="32EC73AC" wp14:editId="341E68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58241" w14:textId="77777777" w:rsidR="00D058B8" w:rsidRPr="007672CA" w:rsidRDefault="00D058B8" w:rsidP="004C5D52">
      <w:pPr>
        <w:pStyle w:val="LineTop"/>
      </w:pPr>
    </w:p>
    <w:p w14:paraId="2657CA3C" w14:textId="77777777" w:rsidR="00B15C9C" w:rsidRPr="007672CA" w:rsidRDefault="00E041F0" w:rsidP="00680577">
      <w:pPr>
        <w:pStyle w:val="EPBodyTA1"/>
      </w:pPr>
      <w:r w:rsidRPr="007672CA">
        <w:t>TEXTE ADOPTATE</w:t>
      </w:r>
    </w:p>
    <w:p w14:paraId="0A813891" w14:textId="77777777" w:rsidR="000518F3" w:rsidRPr="007672CA" w:rsidRDefault="000518F3" w:rsidP="007672CA">
      <w:pPr>
        <w:pStyle w:val="ATHeading1"/>
      </w:pPr>
      <w:bookmarkStart w:id="0" w:name="TANumber"/>
      <w:r w:rsidRPr="007672CA">
        <w:t>P10_TA(2025)0</w:t>
      </w:r>
      <w:bookmarkEnd w:id="0"/>
      <w:r w:rsidRPr="007672CA">
        <w:t>175</w:t>
      </w:r>
    </w:p>
    <w:p w14:paraId="1A63B765" w14:textId="77777777" w:rsidR="000518F3" w:rsidRPr="007672CA" w:rsidRDefault="000518F3" w:rsidP="007672CA">
      <w:pPr>
        <w:pStyle w:val="ATHeading2"/>
      </w:pPr>
      <w:bookmarkStart w:id="1" w:name="title"/>
      <w:r w:rsidRPr="007672CA">
        <w:t>Rapoartele Comisiei privind Ucraina din 2023 și 2024</w:t>
      </w:r>
      <w:bookmarkEnd w:id="1"/>
    </w:p>
    <w:p w14:paraId="7E7F5150" w14:textId="77777777" w:rsidR="000518F3" w:rsidRPr="000518F3" w:rsidRDefault="000518F3" w:rsidP="000518F3">
      <w:pPr>
        <w:rPr>
          <w:i/>
          <w:vanish/>
        </w:rPr>
      </w:pPr>
      <w:r w:rsidRPr="000518F3">
        <w:rPr>
          <w:i/>
        </w:rPr>
        <w:fldChar w:fldCharType="begin"/>
      </w:r>
      <w:r w:rsidRPr="000518F3">
        <w:rPr>
          <w:i/>
        </w:rPr>
        <w:instrText xml:space="preserve"> TC"(</w:instrText>
      </w:r>
      <w:bookmarkStart w:id="2" w:name="DocNumber"/>
      <w:r w:rsidRPr="000518F3">
        <w:rPr>
          <w:i/>
        </w:rPr>
        <w:instrText>A10-0154/2025</w:instrText>
      </w:r>
      <w:bookmarkEnd w:id="2"/>
      <w:r w:rsidRPr="000518F3">
        <w:rPr>
          <w:i/>
        </w:rPr>
        <w:instrText xml:space="preserve"> - Raportor: Michael Gahler)"\l3 \n&gt; \* MERGEFORMAT </w:instrText>
      </w:r>
      <w:r w:rsidRPr="000518F3">
        <w:rPr>
          <w:i/>
        </w:rPr>
        <w:fldChar w:fldCharType="end"/>
      </w:r>
    </w:p>
    <w:p w14:paraId="755F7008" w14:textId="77777777" w:rsidR="000518F3" w:rsidRPr="000518F3" w:rsidRDefault="000518F3" w:rsidP="000518F3">
      <w:pPr>
        <w:rPr>
          <w:vanish/>
        </w:rPr>
      </w:pPr>
      <w:bookmarkStart w:id="3" w:name="Commission"/>
      <w:r w:rsidRPr="000518F3">
        <w:rPr>
          <w:vanish/>
        </w:rPr>
        <w:t>Comisia pentru afaceri externe</w:t>
      </w:r>
      <w:bookmarkEnd w:id="3"/>
    </w:p>
    <w:p w14:paraId="6959DA6A" w14:textId="77777777" w:rsidR="000518F3" w:rsidRPr="000518F3" w:rsidRDefault="000518F3" w:rsidP="000518F3">
      <w:pPr>
        <w:rPr>
          <w:vanish/>
        </w:rPr>
      </w:pPr>
      <w:bookmarkStart w:id="4" w:name="PE"/>
      <w:r w:rsidRPr="000518F3">
        <w:rPr>
          <w:vanish/>
        </w:rPr>
        <w:t>PE769.901</w:t>
      </w:r>
      <w:bookmarkEnd w:id="4"/>
    </w:p>
    <w:p w14:paraId="371D09EC" w14:textId="77777777" w:rsidR="000518F3" w:rsidRPr="007672CA" w:rsidRDefault="000518F3" w:rsidP="007672CA">
      <w:pPr>
        <w:pStyle w:val="ATHeading3"/>
      </w:pPr>
      <w:bookmarkStart w:id="5" w:name="Sujet"/>
      <w:r w:rsidRPr="007672CA">
        <w:t>Rezoluția Parlamentului European din 9 septembrie 2025 referitoare la rapoartele Comisiei privind Ucraina din 2023 și 2024</w:t>
      </w:r>
      <w:bookmarkEnd w:id="5"/>
      <w:r w:rsidRPr="007672CA">
        <w:t xml:space="preserve"> </w:t>
      </w:r>
      <w:bookmarkStart w:id="6" w:name="References"/>
      <w:r w:rsidRPr="007672CA">
        <w:t>(2025/2026(INI))</w:t>
      </w:r>
      <w:bookmarkEnd w:id="6"/>
    </w:p>
    <w:p w14:paraId="70126E69" w14:textId="77777777" w:rsidR="000518F3" w:rsidRPr="000518F3" w:rsidRDefault="000518F3" w:rsidP="000518F3">
      <w:pPr>
        <w:spacing w:before="480" w:after="240"/>
        <w:rPr>
          <w:snapToGrid w:val="0"/>
          <w:lang w:eastAsia="en-US"/>
        </w:rPr>
      </w:pPr>
      <w:r w:rsidRPr="000518F3">
        <w:rPr>
          <w:i/>
          <w:snapToGrid w:val="0"/>
          <w:lang w:eastAsia="en-US"/>
        </w:rPr>
        <w:t>Parlamentul European</w:t>
      </w:r>
      <w:r w:rsidRPr="000518F3">
        <w:rPr>
          <w:snapToGrid w:val="0"/>
          <w:lang w:eastAsia="en-US"/>
        </w:rPr>
        <w:t>,</w:t>
      </w:r>
    </w:p>
    <w:p w14:paraId="0E229D85" w14:textId="77777777" w:rsidR="000518F3" w:rsidRPr="000518F3" w:rsidRDefault="000518F3" w:rsidP="000518F3">
      <w:pPr>
        <w:widowControl/>
        <w:spacing w:after="240"/>
        <w:ind w:left="567" w:hanging="567"/>
        <w:rPr>
          <w:snapToGrid w:val="0"/>
          <w:lang w:eastAsia="en-US"/>
        </w:rPr>
      </w:pPr>
      <w:r w:rsidRPr="000518F3">
        <w:rPr>
          <w:snapToGrid w:val="0"/>
          <w:lang w:eastAsia="en-US"/>
        </w:rPr>
        <w:t>–</w:t>
      </w:r>
      <w:r w:rsidRPr="000518F3">
        <w:rPr>
          <w:snapToGrid w:val="0"/>
          <w:lang w:eastAsia="en-US"/>
        </w:rPr>
        <w:tab/>
        <w:t>având în vedere rezoluțiile sale anterioare referitoare la Ucraina,</w:t>
      </w:r>
    </w:p>
    <w:p w14:paraId="6101B608" w14:textId="77777777" w:rsidR="000518F3" w:rsidRPr="000518F3" w:rsidRDefault="000518F3" w:rsidP="000518F3">
      <w:pPr>
        <w:widowControl/>
        <w:spacing w:after="240"/>
        <w:ind w:left="567" w:hanging="567"/>
        <w:rPr>
          <w:snapToGrid w:val="0"/>
          <w:lang w:eastAsia="en-US"/>
        </w:rPr>
      </w:pPr>
      <w:r w:rsidRPr="000518F3">
        <w:rPr>
          <w:snapToGrid w:val="0"/>
          <w:lang w:eastAsia="en-US"/>
        </w:rPr>
        <w:t>–</w:t>
      </w:r>
      <w:r w:rsidRPr="000518F3">
        <w:rPr>
          <w:snapToGrid w:val="0"/>
          <w:lang w:eastAsia="en-US"/>
        </w:rPr>
        <w:tab/>
        <w:t>având în vedere documentul de lucru al serviciilor Comisiei intitulat „Raportul din 2024 privind Ucraina” (SWD(2024)0699), care însoțește Comunicarea din 2024 a Comisiei privind politica de extindere a UE (COM(2024)0690),</w:t>
      </w:r>
    </w:p>
    <w:p w14:paraId="19B12C06"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având în vedere documentul de lucru al serviciilor Comisiei intitulat „</w:t>
      </w:r>
      <w:proofErr w:type="spellStart"/>
      <w:r w:rsidRPr="000518F3">
        <w:rPr>
          <w:szCs w:val="24"/>
        </w:rPr>
        <w:t>Ukraine</w:t>
      </w:r>
      <w:proofErr w:type="spellEnd"/>
      <w:r w:rsidRPr="000518F3">
        <w:rPr>
          <w:szCs w:val="24"/>
        </w:rPr>
        <w:t xml:space="preserve"> 2023 Report” (Raportul din 2023 privind Ucraina) (SWD(2023)0699), care însoțește Comunicarea din 2023 a Comisiei privind politica de extindere a UE (COM(2023)0690), </w:t>
      </w:r>
    </w:p>
    <w:p w14:paraId="3CF290DC"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r>
      <w:bookmarkStart w:id="7" w:name="_Hlk204183886"/>
      <w:r w:rsidRPr="000518F3">
        <w:rPr>
          <w:szCs w:val="24"/>
        </w:rPr>
        <w:t xml:space="preserve">având în vedere concluziile Consiliului European din 24 iunie 2022 de acordare a statutului de candidat Ucrainei, din 15 decembrie 2023 de aprobare a deschiderii negocierilor de aderare și din 20 martie 2025, </w:t>
      </w:r>
      <w:bookmarkEnd w:id="7"/>
    </w:p>
    <w:p w14:paraId="40AC27FB"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având în vedere Regulamentul (UE) 2024/792 al Parlamentului European și al Consiliului din 29 februarie 2024 de instituire a Mecanismului pentru Ucraina</w:t>
      </w:r>
      <w:r w:rsidRPr="000518F3">
        <w:rPr>
          <w:szCs w:val="24"/>
          <w:vertAlign w:val="superscript"/>
        </w:rPr>
        <w:footnoteReference w:id="1"/>
      </w:r>
      <w:r w:rsidRPr="000518F3">
        <w:rPr>
          <w:szCs w:val="24"/>
        </w:rPr>
        <w:t>,</w:t>
      </w:r>
    </w:p>
    <w:p w14:paraId="27869CC8"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raportul Organizației pentru Cooperare și Dezvoltare Economică (OCDE) din 2021 intitulat „Raportul OCDE privind guvernanța corporativă a întreprinderilor de stat: Ucraina” și dialogurile ulterioare de monitorizare din 2024, </w:t>
      </w:r>
    </w:p>
    <w:p w14:paraId="72395AE7"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cea de a opta evaluare a Fondului Monetar Internațional privind mecanismul extins de finanțare pentru Ucraina pentru perioada 2023-2026, </w:t>
      </w:r>
    </w:p>
    <w:p w14:paraId="1D613D3E"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r>
      <w:bookmarkStart w:id="8" w:name="_Hlk204245553"/>
      <w:r w:rsidRPr="000518F3">
        <w:rPr>
          <w:szCs w:val="24"/>
        </w:rPr>
        <w:t xml:space="preserve">având în vedere avizele Comisiei de la Veneția a Consiliului Europei, în special avizul urgent de monitorizare subsecvent avizelor vizând Legea privind modificarea anumitor acte legislative ale Ucrainei în vederea clarificării dispozițiilor privind selecția competitivă a candidaților pentru funcția de judecător la Curtea Constituțională a Ucrainei din 9 octombrie 2023, precum și avizul de monitorizare subsecvent avizului vizând legea privind minoritățile naționale (comunitățile) din 9 octombrie 2023, </w:t>
      </w:r>
      <w:bookmarkEnd w:id="8"/>
    </w:p>
    <w:p w14:paraId="36772799" w14:textId="77777777" w:rsidR="000518F3" w:rsidRPr="000518F3" w:rsidRDefault="000518F3" w:rsidP="000518F3">
      <w:pPr>
        <w:widowControl/>
        <w:spacing w:before="100" w:beforeAutospacing="1" w:after="100" w:afterAutospacing="1"/>
        <w:ind w:left="567" w:hanging="567"/>
        <w:rPr>
          <w:szCs w:val="24"/>
        </w:rPr>
      </w:pPr>
      <w:r w:rsidRPr="000518F3">
        <w:rPr>
          <w:szCs w:val="24"/>
        </w:rPr>
        <w:lastRenderedPageBreak/>
        <w:t>–</w:t>
      </w:r>
      <w:r w:rsidRPr="000518F3">
        <w:rPr>
          <w:szCs w:val="24"/>
        </w:rPr>
        <w:tab/>
        <w:t xml:space="preserve">având în vedere rapoartele Grupului de state împotriva corupției (GRECO) privind Ucraina, în special Runda a patra de evaluare și </w:t>
      </w:r>
      <w:proofErr w:type="spellStart"/>
      <w:r w:rsidRPr="000518F3">
        <w:rPr>
          <w:szCs w:val="24"/>
        </w:rPr>
        <w:t>addendumul</w:t>
      </w:r>
      <w:proofErr w:type="spellEnd"/>
      <w:r w:rsidRPr="000518F3">
        <w:rPr>
          <w:szCs w:val="24"/>
        </w:rPr>
        <w:t xml:space="preserve"> la al doilea raport de conformitate privind prevenirea corupției în ceea ce privește membrii parlamentului, judecătorii și procurorii din Ucraina din 22 noiembrie 2024, </w:t>
      </w:r>
    </w:p>
    <w:p w14:paraId="1436FBA4" w14:textId="77777777" w:rsidR="000518F3" w:rsidRPr="000518F3" w:rsidRDefault="000518F3" w:rsidP="000518F3">
      <w:pPr>
        <w:widowControl/>
        <w:spacing w:before="120" w:after="120"/>
        <w:ind w:left="567" w:hanging="567"/>
        <w:rPr>
          <w:szCs w:val="24"/>
        </w:rPr>
      </w:pPr>
      <w:r w:rsidRPr="000518F3">
        <w:rPr>
          <w:szCs w:val="24"/>
        </w:rPr>
        <w:t>–</w:t>
      </w:r>
      <w:r w:rsidRPr="000518F3">
        <w:rPr>
          <w:szCs w:val="24"/>
        </w:rPr>
        <w:tab/>
        <w:t xml:space="preserve">având în vedere raportul prezentat de Ucraina în temeiul articolului 68 alineatul (1) din Convenția Consiliului Europei privind prevenirea și combaterea violenței împotriva femeilor și a violenței domestice (raport privind situația de referință) din 3 iulie 2025 și informațiile suplimentare primite de Grupul de experți în intervenția contra violenței împotriva femeilor și a violenței domestice de la organizații ale societății civile ucrainene, </w:t>
      </w:r>
    </w:p>
    <w:p w14:paraId="1C607B00"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rapoartele </w:t>
      </w:r>
      <w:proofErr w:type="spellStart"/>
      <w:r w:rsidRPr="000518F3">
        <w:rPr>
          <w:szCs w:val="24"/>
        </w:rPr>
        <w:t>Human</w:t>
      </w:r>
      <w:proofErr w:type="spellEnd"/>
      <w:r w:rsidRPr="000518F3">
        <w:rPr>
          <w:szCs w:val="24"/>
        </w:rPr>
        <w:t xml:space="preserve"> </w:t>
      </w:r>
      <w:proofErr w:type="spellStart"/>
      <w:r w:rsidRPr="000518F3">
        <w:rPr>
          <w:szCs w:val="24"/>
        </w:rPr>
        <w:t>Rights</w:t>
      </w:r>
      <w:proofErr w:type="spellEnd"/>
      <w:r w:rsidRPr="000518F3">
        <w:rPr>
          <w:szCs w:val="24"/>
        </w:rPr>
        <w:t xml:space="preserve"> Watch privind Ucraina, inclusiv raportul său din 5 decembrie 2024 intitulat „</w:t>
      </w:r>
      <w:proofErr w:type="spellStart"/>
      <w:r w:rsidRPr="000518F3">
        <w:rPr>
          <w:szCs w:val="24"/>
        </w:rPr>
        <w:t>All</w:t>
      </w:r>
      <w:proofErr w:type="spellEnd"/>
      <w:r w:rsidRPr="000518F3">
        <w:rPr>
          <w:szCs w:val="24"/>
        </w:rPr>
        <w:t xml:space="preserve"> </w:t>
      </w:r>
      <w:proofErr w:type="spellStart"/>
      <w:r w:rsidRPr="000518F3">
        <w:rPr>
          <w:szCs w:val="24"/>
        </w:rPr>
        <w:t>She</w:t>
      </w:r>
      <w:proofErr w:type="spellEnd"/>
      <w:r w:rsidRPr="000518F3">
        <w:rPr>
          <w:szCs w:val="24"/>
        </w:rPr>
        <w:t xml:space="preserve"> </w:t>
      </w:r>
      <w:proofErr w:type="spellStart"/>
      <w:r w:rsidRPr="000518F3">
        <w:rPr>
          <w:szCs w:val="24"/>
        </w:rPr>
        <w:t>Did</w:t>
      </w:r>
      <w:proofErr w:type="spellEnd"/>
      <w:r w:rsidRPr="000518F3">
        <w:rPr>
          <w:szCs w:val="24"/>
        </w:rPr>
        <w:t xml:space="preserve"> </w:t>
      </w:r>
      <w:proofErr w:type="spellStart"/>
      <w:r w:rsidRPr="000518F3">
        <w:rPr>
          <w:szCs w:val="24"/>
        </w:rPr>
        <w:t>Was</w:t>
      </w:r>
      <w:proofErr w:type="spellEnd"/>
      <w:r w:rsidRPr="000518F3">
        <w:rPr>
          <w:szCs w:val="24"/>
        </w:rPr>
        <w:t xml:space="preserve"> </w:t>
      </w:r>
      <w:proofErr w:type="spellStart"/>
      <w:r w:rsidRPr="000518F3">
        <w:rPr>
          <w:szCs w:val="24"/>
        </w:rPr>
        <w:t>Help</w:t>
      </w:r>
      <w:proofErr w:type="spellEnd"/>
      <w:r w:rsidRPr="000518F3">
        <w:rPr>
          <w:szCs w:val="24"/>
        </w:rPr>
        <w:t xml:space="preserve"> </w:t>
      </w:r>
      <w:proofErr w:type="spellStart"/>
      <w:r w:rsidRPr="000518F3">
        <w:rPr>
          <w:szCs w:val="24"/>
        </w:rPr>
        <w:t>People</w:t>
      </w:r>
      <w:proofErr w:type="spellEnd"/>
      <w:r w:rsidRPr="000518F3">
        <w:rPr>
          <w:szCs w:val="24"/>
        </w:rPr>
        <w:t xml:space="preserve"> – </w:t>
      </w:r>
      <w:proofErr w:type="spellStart"/>
      <w:r w:rsidRPr="000518F3">
        <w:rPr>
          <w:szCs w:val="24"/>
        </w:rPr>
        <w:t>Flawed</w:t>
      </w:r>
      <w:proofErr w:type="spellEnd"/>
      <w:r w:rsidRPr="000518F3">
        <w:rPr>
          <w:szCs w:val="24"/>
        </w:rPr>
        <w:t xml:space="preserve"> Anti-</w:t>
      </w:r>
      <w:proofErr w:type="spellStart"/>
      <w:r w:rsidRPr="000518F3">
        <w:rPr>
          <w:szCs w:val="24"/>
        </w:rPr>
        <w:t>Collaboration</w:t>
      </w:r>
      <w:proofErr w:type="spellEnd"/>
      <w:r w:rsidRPr="000518F3">
        <w:rPr>
          <w:szCs w:val="24"/>
        </w:rPr>
        <w:t xml:space="preserve"> </w:t>
      </w:r>
      <w:proofErr w:type="spellStart"/>
      <w:r w:rsidRPr="000518F3">
        <w:rPr>
          <w:szCs w:val="24"/>
        </w:rPr>
        <w:t>Legislation</w:t>
      </w:r>
      <w:proofErr w:type="spellEnd"/>
      <w:r w:rsidRPr="000518F3">
        <w:rPr>
          <w:szCs w:val="24"/>
        </w:rPr>
        <w:t xml:space="preserve"> in </w:t>
      </w:r>
      <w:proofErr w:type="spellStart"/>
      <w:r w:rsidRPr="000518F3">
        <w:rPr>
          <w:szCs w:val="24"/>
        </w:rPr>
        <w:t>Ukraine</w:t>
      </w:r>
      <w:proofErr w:type="spellEnd"/>
      <w:r w:rsidRPr="000518F3">
        <w:rPr>
          <w:szCs w:val="24"/>
        </w:rPr>
        <w:t xml:space="preserve">” („Nu a făcut altceva decât să ajute oameni - legislație defectuoasă de combatere a colaborării în Ucraina”), </w:t>
      </w:r>
    </w:p>
    <w:p w14:paraId="3C5B8039"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având în vedere rezoluția sa din 12 martie 2025 referitoare la Cartea albă privind viitorul apărării europene</w:t>
      </w:r>
      <w:r w:rsidRPr="000518F3">
        <w:rPr>
          <w:szCs w:val="24"/>
          <w:vertAlign w:val="superscript"/>
        </w:rPr>
        <w:footnoteReference w:id="2"/>
      </w:r>
      <w:r w:rsidRPr="000518F3">
        <w:rPr>
          <w:szCs w:val="24"/>
        </w:rPr>
        <w:t xml:space="preserve">, </w:t>
      </w:r>
    </w:p>
    <w:p w14:paraId="1D52E0A7"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declarațiile liderilor Finlandei, Franței, Germaniei, Italiei, Regatului Unit și Ucrainei în urma reuniunii cu președintele SUA, Donald </w:t>
      </w:r>
      <w:proofErr w:type="spellStart"/>
      <w:r w:rsidRPr="000518F3">
        <w:rPr>
          <w:szCs w:val="24"/>
        </w:rPr>
        <w:t>Trump</w:t>
      </w:r>
      <w:proofErr w:type="spellEnd"/>
      <w:r w:rsidRPr="000518F3">
        <w:rPr>
          <w:szCs w:val="24"/>
        </w:rPr>
        <w:t>, care a avut loc la Washington DC la 18 august 2025,</w:t>
      </w:r>
    </w:p>
    <w:p w14:paraId="0F812742"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declarația președintei Comisiei, Ursula von </w:t>
      </w:r>
      <w:proofErr w:type="spellStart"/>
      <w:r w:rsidRPr="000518F3">
        <w:rPr>
          <w:szCs w:val="24"/>
        </w:rPr>
        <w:t>der</w:t>
      </w:r>
      <w:proofErr w:type="spellEnd"/>
      <w:r w:rsidRPr="000518F3">
        <w:rPr>
          <w:szCs w:val="24"/>
        </w:rPr>
        <w:t xml:space="preserve"> </w:t>
      </w:r>
      <w:proofErr w:type="spellStart"/>
      <w:r w:rsidRPr="000518F3">
        <w:rPr>
          <w:szCs w:val="24"/>
        </w:rPr>
        <w:t>Leyen</w:t>
      </w:r>
      <w:proofErr w:type="spellEnd"/>
      <w:r w:rsidRPr="000518F3">
        <w:rPr>
          <w:szCs w:val="24"/>
        </w:rPr>
        <w:t xml:space="preserve">, și a președintelui Ucrainei, </w:t>
      </w:r>
      <w:proofErr w:type="spellStart"/>
      <w:r w:rsidRPr="000518F3">
        <w:rPr>
          <w:szCs w:val="24"/>
        </w:rPr>
        <w:t>Volodîmîr</w:t>
      </w:r>
      <w:proofErr w:type="spellEnd"/>
      <w:r w:rsidRPr="000518F3">
        <w:rPr>
          <w:szCs w:val="24"/>
        </w:rPr>
        <w:t xml:space="preserve"> </w:t>
      </w:r>
      <w:proofErr w:type="spellStart"/>
      <w:r w:rsidRPr="000518F3">
        <w:rPr>
          <w:szCs w:val="24"/>
        </w:rPr>
        <w:t>Zelenski</w:t>
      </w:r>
      <w:proofErr w:type="spellEnd"/>
      <w:r w:rsidRPr="000518F3">
        <w:rPr>
          <w:szCs w:val="24"/>
        </w:rPr>
        <w:t>, în urma reuniunii lor din 17 august 2025 de la Bruxelles,</w:t>
      </w:r>
    </w:p>
    <w:p w14:paraId="68CBD87B"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declarația comună din 16 august 2025 a liderilor Franței, Italiei, Germaniei, Regatului Unit, Finlandei, Poloniei, președintelui Consiliului European, </w:t>
      </w:r>
      <w:proofErr w:type="spellStart"/>
      <w:r w:rsidRPr="000518F3">
        <w:rPr>
          <w:szCs w:val="24"/>
        </w:rPr>
        <w:t>António</w:t>
      </w:r>
      <w:proofErr w:type="spellEnd"/>
      <w:r w:rsidRPr="000518F3">
        <w:rPr>
          <w:szCs w:val="24"/>
        </w:rPr>
        <w:t xml:space="preserve"> Costa, și președintei Comisiei, Ursula von </w:t>
      </w:r>
      <w:proofErr w:type="spellStart"/>
      <w:r w:rsidRPr="000518F3">
        <w:rPr>
          <w:szCs w:val="24"/>
        </w:rPr>
        <w:t>der</w:t>
      </w:r>
      <w:proofErr w:type="spellEnd"/>
      <w:r w:rsidRPr="000518F3">
        <w:rPr>
          <w:szCs w:val="24"/>
        </w:rPr>
        <w:t xml:space="preserve"> </w:t>
      </w:r>
      <w:proofErr w:type="spellStart"/>
      <w:r w:rsidRPr="000518F3">
        <w:rPr>
          <w:szCs w:val="24"/>
        </w:rPr>
        <w:t>Leyen</w:t>
      </w:r>
      <w:proofErr w:type="spellEnd"/>
      <w:r w:rsidRPr="000518F3">
        <w:rPr>
          <w:szCs w:val="24"/>
        </w:rPr>
        <w:t xml:space="preserve">, în urma întâlnirii dintre președintele SUA, Donald </w:t>
      </w:r>
      <w:proofErr w:type="spellStart"/>
      <w:r w:rsidRPr="000518F3">
        <w:rPr>
          <w:szCs w:val="24"/>
        </w:rPr>
        <w:t>Trump</w:t>
      </w:r>
      <w:proofErr w:type="spellEnd"/>
      <w:r w:rsidRPr="000518F3">
        <w:rPr>
          <w:szCs w:val="24"/>
        </w:rPr>
        <w:t xml:space="preserve">, și președintele Federației Ruse, Vladimir Putin, la </w:t>
      </w:r>
      <w:proofErr w:type="spellStart"/>
      <w:r w:rsidRPr="000518F3">
        <w:rPr>
          <w:szCs w:val="24"/>
        </w:rPr>
        <w:t>Anchorage</w:t>
      </w:r>
      <w:proofErr w:type="spellEnd"/>
      <w:r w:rsidRPr="000518F3">
        <w:rPr>
          <w:szCs w:val="24"/>
        </w:rPr>
        <w:t>, Alaska, la 15 august 2025,</w:t>
      </w:r>
    </w:p>
    <w:p w14:paraId="6F3CC7CA"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 xml:space="preserve">având în vedere declarațiile anterioare, inclusiv declarația comună a liderilor Franței, Germaniei, Poloniei, Regatului Unit și Ucrainei în urma reuniunii de la Kiev din 10 mai 2025 și declarația comună a grupului Weimar+ privind Ucraina și securitatea euro-atlantică din 12 mai 2025, </w:t>
      </w:r>
    </w:p>
    <w:p w14:paraId="09C979D0" w14:textId="77777777" w:rsidR="000518F3" w:rsidRPr="000518F3" w:rsidRDefault="000518F3" w:rsidP="000518F3">
      <w:pPr>
        <w:widowControl/>
        <w:spacing w:before="100" w:beforeAutospacing="1" w:after="100" w:afterAutospacing="1"/>
        <w:ind w:left="567" w:hanging="567"/>
        <w:rPr>
          <w:szCs w:val="24"/>
        </w:rPr>
      </w:pPr>
      <w:r w:rsidRPr="000518F3">
        <w:rPr>
          <w:szCs w:val="24"/>
        </w:rPr>
        <w:t>–</w:t>
      </w:r>
      <w:r w:rsidRPr="000518F3">
        <w:rPr>
          <w:szCs w:val="24"/>
        </w:rPr>
        <w:tab/>
        <w:t>având în vedere declarația comună a mai multor deputați în Parlamentul European din 11 august 2025 referitoare la negocierile pentru o pace justă pentru Ucraina, bazată pe dreptul internațional și pe voința poporului ucrainean,</w:t>
      </w:r>
    </w:p>
    <w:p w14:paraId="1152C38F" w14:textId="77777777" w:rsidR="000518F3" w:rsidRPr="000518F3" w:rsidRDefault="000518F3" w:rsidP="000518F3">
      <w:pPr>
        <w:widowControl/>
        <w:spacing w:after="240"/>
        <w:ind w:left="567" w:hanging="567"/>
        <w:rPr>
          <w:snapToGrid w:val="0"/>
          <w:lang w:eastAsia="en-US"/>
        </w:rPr>
      </w:pPr>
      <w:r w:rsidRPr="000518F3">
        <w:rPr>
          <w:snapToGrid w:val="0"/>
          <w:lang w:eastAsia="en-US"/>
        </w:rPr>
        <w:t>–</w:t>
      </w:r>
      <w:r w:rsidRPr="000518F3">
        <w:rPr>
          <w:snapToGrid w:val="0"/>
          <w:lang w:eastAsia="en-US"/>
        </w:rPr>
        <w:tab/>
        <w:t>având în vedere articolul 55 din Regulamentul său de procedură,</w:t>
      </w:r>
    </w:p>
    <w:p w14:paraId="2F24F1C2" w14:textId="77777777" w:rsidR="000518F3" w:rsidRPr="000518F3" w:rsidRDefault="000518F3" w:rsidP="000518F3">
      <w:pPr>
        <w:widowControl/>
        <w:spacing w:after="240"/>
        <w:ind w:left="567" w:hanging="567"/>
        <w:rPr>
          <w:snapToGrid w:val="0"/>
          <w:lang w:eastAsia="en-US"/>
        </w:rPr>
      </w:pPr>
      <w:r w:rsidRPr="000518F3">
        <w:rPr>
          <w:snapToGrid w:val="0"/>
          <w:lang w:eastAsia="en-US"/>
        </w:rPr>
        <w:t>–</w:t>
      </w:r>
      <w:r w:rsidRPr="000518F3">
        <w:rPr>
          <w:snapToGrid w:val="0"/>
          <w:lang w:eastAsia="en-US"/>
        </w:rPr>
        <w:tab/>
        <w:t>având în vedere raportul Comisiei pentru afaceri externe (A10-0154/2025),</w:t>
      </w:r>
    </w:p>
    <w:p w14:paraId="375B6AC8" w14:textId="77777777" w:rsidR="000518F3" w:rsidRPr="000518F3" w:rsidRDefault="000518F3" w:rsidP="000518F3">
      <w:pPr>
        <w:widowControl/>
        <w:spacing w:before="120" w:after="120"/>
        <w:ind w:left="567" w:hanging="567"/>
        <w:rPr>
          <w:rFonts w:eastAsiaTheme="majorEastAsia"/>
          <w:bCs/>
          <w:iCs/>
          <w:snapToGrid w:val="0"/>
          <w:lang w:eastAsia="en-US"/>
        </w:rPr>
      </w:pPr>
      <w:r w:rsidRPr="000518F3">
        <w:rPr>
          <w:snapToGrid w:val="0"/>
          <w:lang w:eastAsia="en-US"/>
        </w:rPr>
        <w:t>A.</w:t>
      </w:r>
      <w:r w:rsidRPr="000518F3">
        <w:rPr>
          <w:snapToGrid w:val="0"/>
          <w:lang w:eastAsia="en-US"/>
        </w:rPr>
        <w:tab/>
        <w:t xml:space="preserve">întrucât Parlamentul condamnă în termenii cei mai fermi războiul de agresiune </w:t>
      </w:r>
      <w:r w:rsidRPr="000518F3">
        <w:rPr>
          <w:bCs/>
          <w:snapToGrid w:val="0"/>
          <w:lang w:eastAsia="en-US"/>
        </w:rPr>
        <w:t>ilegal, nejustificat și neprovocat</w:t>
      </w:r>
      <w:r w:rsidRPr="000518F3">
        <w:rPr>
          <w:snapToGrid w:val="0"/>
          <w:lang w:eastAsia="en-US"/>
        </w:rPr>
        <w:t xml:space="preserve"> al Rusiei împotriva Ucrainei și sprijină dreptul Ucrainei la </w:t>
      </w:r>
      <w:r w:rsidRPr="000518F3">
        <w:rPr>
          <w:snapToGrid w:val="0"/>
          <w:lang w:eastAsia="en-US"/>
        </w:rPr>
        <w:lastRenderedPageBreak/>
        <w:t xml:space="preserve">suveranitate, independență și integritate teritorială în cadrul frontierelor sale recunoscute la nivel internațional; </w:t>
      </w:r>
      <w:r w:rsidRPr="000518F3">
        <w:rPr>
          <w:bCs/>
          <w:snapToGrid w:val="0"/>
          <w:lang w:eastAsia="en-US"/>
        </w:rPr>
        <w:t>întrucât Rusia a invadat Ucraina și, prin urmare, cea mai simplă și singura cale corectă către pace în Ucraina constă în retragerea forțelor Rusiei de pe întregul teritoriu ucrainean și plata despăgubirilor pentru daunele pe care le-a provocat pe parcursul războiului său ilegal de agresiune;</w:t>
      </w:r>
    </w:p>
    <w:p w14:paraId="491C4330" w14:textId="77777777" w:rsidR="000518F3" w:rsidRPr="000518F3" w:rsidRDefault="000518F3" w:rsidP="000518F3">
      <w:pPr>
        <w:widowControl/>
        <w:spacing w:before="120" w:after="120"/>
        <w:ind w:left="567" w:hanging="567"/>
        <w:rPr>
          <w:bCs/>
          <w:szCs w:val="24"/>
        </w:rPr>
      </w:pPr>
      <w:r w:rsidRPr="000518F3">
        <w:rPr>
          <w:szCs w:val="24"/>
        </w:rPr>
        <w:t>B.</w:t>
      </w:r>
      <w:r w:rsidRPr="000518F3">
        <w:rPr>
          <w:szCs w:val="24"/>
        </w:rPr>
        <w:tab/>
      </w:r>
      <w:r w:rsidRPr="000518F3">
        <w:rPr>
          <w:bCs/>
          <w:szCs w:val="24"/>
        </w:rPr>
        <w:t>întrucât Rusia, cu</w:t>
      </w:r>
      <w:r w:rsidRPr="000518F3">
        <w:rPr>
          <w:szCs w:val="24"/>
        </w:rPr>
        <w:t xml:space="preserve"> sprijinul politic, material și militar oferit de aliații săi – în special Belarus, Iran și Coreea de Nord</w:t>
      </w:r>
      <w:r w:rsidRPr="000518F3">
        <w:rPr>
          <w:bCs/>
          <w:szCs w:val="24"/>
        </w:rPr>
        <w:t xml:space="preserve"> – poartă un război de agresiune la scară largă ilegal, neprovocat și nejustificat împotriva Ucrainei începând cu 24 februarie 2022; întrucât războiul Rusiei împotriva Ucrainei a început totuși în 2014 cu ocuparea și anexarea ilegală a </w:t>
      </w:r>
      <w:proofErr w:type="spellStart"/>
      <w:r w:rsidRPr="000518F3">
        <w:rPr>
          <w:bCs/>
          <w:szCs w:val="24"/>
        </w:rPr>
        <w:t>Crimeei</w:t>
      </w:r>
      <w:proofErr w:type="spellEnd"/>
      <w:r w:rsidRPr="000518F3">
        <w:rPr>
          <w:bCs/>
          <w:szCs w:val="24"/>
        </w:rPr>
        <w:t xml:space="preserve"> și ocuparea ulterioară a unor părți din regiunile Donețk și </w:t>
      </w:r>
      <w:proofErr w:type="spellStart"/>
      <w:r w:rsidRPr="000518F3">
        <w:rPr>
          <w:bCs/>
          <w:szCs w:val="24"/>
        </w:rPr>
        <w:t>Luhansk</w:t>
      </w:r>
      <w:proofErr w:type="spellEnd"/>
      <w:r w:rsidRPr="000518F3">
        <w:rPr>
          <w:bCs/>
          <w:szCs w:val="24"/>
        </w:rPr>
        <w:t>; întrucât acest război de agresiune constituie o încălcare flagrantă și evidentă a Cartei ONU și a principiilor fundamentale ale dreptului internațional și ale dreptului internațional umanitar, astfel cum au fost stabilite prin Convențiile de la Geneva din 1949;</w:t>
      </w:r>
    </w:p>
    <w:p w14:paraId="5C4A5BAE" w14:textId="77777777" w:rsidR="000518F3" w:rsidRPr="000518F3" w:rsidRDefault="000518F3" w:rsidP="000518F3">
      <w:pPr>
        <w:widowControl/>
        <w:spacing w:before="120" w:after="120"/>
        <w:ind w:left="567" w:hanging="567"/>
        <w:rPr>
          <w:rFonts w:eastAsiaTheme="majorEastAsia"/>
          <w:bCs/>
          <w:iCs/>
          <w:szCs w:val="24"/>
        </w:rPr>
      </w:pPr>
      <w:r w:rsidRPr="000518F3">
        <w:rPr>
          <w:rFonts w:eastAsiaTheme="majorEastAsia"/>
          <w:bCs/>
          <w:iCs/>
          <w:szCs w:val="24"/>
        </w:rPr>
        <w:t>C.</w:t>
      </w:r>
      <w:r w:rsidRPr="000518F3">
        <w:rPr>
          <w:rFonts w:eastAsiaTheme="majorEastAsia"/>
          <w:bCs/>
          <w:iCs/>
          <w:szCs w:val="24"/>
        </w:rPr>
        <w:tab/>
        <w:t>întrucât în iunie și iulie 2025 s-a înregistrat o creștere drastică a numărului de atacuri cu rachete rusești și cu vehicule aeriene fără pilot, care au vizat infrastructura civilă, inclusiv spitale, școli, clădiri rezidențiale și instituții culturale, provocând cel mai mare număr de victime civile din mai 2022; întrucât, potrivit datelor misiunii ONU de monitorizare a drepturilor omului în Ucraina, cel puțin 232 de civili au fost uciși și 1 343 răniți în iunie 2025, în timp ce în iulie 2025, 286 de civili au fost uciși și 1 388 răniți, ceea ce reprezintă cel mai mare bilanț lunar de victime civile din mai 2022;</w:t>
      </w:r>
    </w:p>
    <w:p w14:paraId="2BAC1AD9" w14:textId="77777777" w:rsidR="000518F3" w:rsidRPr="000518F3" w:rsidRDefault="000518F3" w:rsidP="000518F3">
      <w:pPr>
        <w:widowControl/>
        <w:spacing w:before="120" w:after="120"/>
        <w:ind w:left="567" w:hanging="567"/>
        <w:rPr>
          <w:rFonts w:eastAsiaTheme="majorEastAsia"/>
          <w:bCs/>
          <w:iCs/>
          <w:szCs w:val="24"/>
        </w:rPr>
      </w:pPr>
      <w:r w:rsidRPr="000518F3">
        <w:rPr>
          <w:rFonts w:eastAsiaTheme="majorEastAsia"/>
          <w:bCs/>
          <w:iCs/>
          <w:szCs w:val="24"/>
        </w:rPr>
        <w:t>D.</w:t>
      </w:r>
      <w:r w:rsidRPr="000518F3">
        <w:rPr>
          <w:rFonts w:eastAsiaTheme="majorEastAsia"/>
          <w:bCs/>
          <w:iCs/>
          <w:szCs w:val="24"/>
        </w:rPr>
        <w:tab/>
        <w:t xml:space="preserve">întrucât Rusia comite asasinate și acte de sabotaj îndreptate împotriva personalităților publice importante, militarilor și a infrastructurilor critice din Ucraina; întrucât </w:t>
      </w:r>
      <w:proofErr w:type="spellStart"/>
      <w:r w:rsidRPr="000518F3">
        <w:rPr>
          <w:rFonts w:eastAsiaTheme="majorEastAsia"/>
          <w:bCs/>
          <w:iCs/>
          <w:szCs w:val="24"/>
        </w:rPr>
        <w:t>Andrii</w:t>
      </w:r>
      <w:proofErr w:type="spellEnd"/>
      <w:r w:rsidRPr="000518F3">
        <w:rPr>
          <w:rFonts w:eastAsiaTheme="majorEastAsia"/>
          <w:bCs/>
          <w:iCs/>
          <w:szCs w:val="24"/>
        </w:rPr>
        <w:t xml:space="preserve"> </w:t>
      </w:r>
      <w:proofErr w:type="spellStart"/>
      <w:r w:rsidRPr="000518F3">
        <w:rPr>
          <w:rFonts w:eastAsiaTheme="majorEastAsia"/>
          <w:bCs/>
          <w:iCs/>
          <w:szCs w:val="24"/>
        </w:rPr>
        <w:t>Parubii</w:t>
      </w:r>
      <w:proofErr w:type="spellEnd"/>
      <w:r w:rsidRPr="000518F3">
        <w:rPr>
          <w:rFonts w:eastAsiaTheme="majorEastAsia"/>
          <w:bCs/>
          <w:iCs/>
          <w:szCs w:val="24"/>
        </w:rPr>
        <w:t xml:space="preserve">, fost președinte al Radei Supreme și fost secretar al Consiliului Național de Securitate și Apărare, a fost asasinat cu brutalitate la </w:t>
      </w:r>
      <w:proofErr w:type="spellStart"/>
      <w:r w:rsidRPr="000518F3">
        <w:rPr>
          <w:rFonts w:eastAsiaTheme="majorEastAsia"/>
          <w:bCs/>
          <w:iCs/>
          <w:szCs w:val="24"/>
        </w:rPr>
        <w:t>Liov</w:t>
      </w:r>
      <w:proofErr w:type="spellEnd"/>
      <w:r w:rsidRPr="000518F3">
        <w:rPr>
          <w:rFonts w:eastAsiaTheme="majorEastAsia"/>
          <w:bCs/>
          <w:iCs/>
          <w:szCs w:val="24"/>
        </w:rPr>
        <w:t xml:space="preserve"> la 30 august 2025;</w:t>
      </w:r>
    </w:p>
    <w:p w14:paraId="048EBB3F" w14:textId="77777777" w:rsidR="000518F3" w:rsidRPr="000518F3" w:rsidRDefault="000518F3" w:rsidP="000518F3">
      <w:pPr>
        <w:widowControl/>
        <w:spacing w:before="120" w:after="120"/>
        <w:ind w:left="567" w:hanging="567"/>
        <w:rPr>
          <w:bCs/>
          <w:snapToGrid w:val="0"/>
          <w:lang w:eastAsia="en-US"/>
        </w:rPr>
      </w:pPr>
      <w:r w:rsidRPr="000518F3">
        <w:rPr>
          <w:snapToGrid w:val="0"/>
          <w:lang w:eastAsia="en-US"/>
        </w:rPr>
        <w:t>E.</w:t>
      </w:r>
      <w:r w:rsidRPr="000518F3">
        <w:rPr>
          <w:snapToGrid w:val="0"/>
          <w:lang w:eastAsia="en-US"/>
        </w:rPr>
        <w:tab/>
      </w:r>
      <w:r w:rsidRPr="000518F3">
        <w:rPr>
          <w:bCs/>
          <w:snapToGrid w:val="0"/>
          <w:lang w:eastAsia="en-US"/>
        </w:rPr>
        <w:t>întrucât Rusia a comis crime de război și deportări documentate în toate teritoriile ucrainene pe care le ocupă ilegal și s-a bazat în mare măsură pe manipularea informațiilor, dezinformare și răspândirea propagandei pentru a menține intenționat populația dezinformată și neinformată;</w:t>
      </w:r>
    </w:p>
    <w:p w14:paraId="72B20D2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F.</w:t>
      </w:r>
      <w:r w:rsidRPr="000518F3">
        <w:rPr>
          <w:snapToGrid w:val="0"/>
          <w:lang w:eastAsia="en-US"/>
        </w:rPr>
        <w:tab/>
        <w:t xml:space="preserve">întrucât, la 28 august 2025, Rusia a lansat un alt atac brutal cu </w:t>
      </w:r>
      <w:proofErr w:type="spellStart"/>
      <w:r w:rsidRPr="000518F3">
        <w:rPr>
          <w:snapToGrid w:val="0"/>
          <w:lang w:eastAsia="en-US"/>
        </w:rPr>
        <w:t>drone</w:t>
      </w:r>
      <w:proofErr w:type="spellEnd"/>
      <w:r w:rsidRPr="000518F3">
        <w:rPr>
          <w:snapToGrid w:val="0"/>
          <w:lang w:eastAsia="en-US"/>
        </w:rPr>
        <w:t xml:space="preserve"> și rachete asupra mai multor clădiri din Kiev, ucigând cel puțin 23 de persoane și rănind peste 63 de persoane, inclusiv copii; întrucât sediul Delegației UE în Ucraina a fost grav afectat în atac, ceea ce constituie o încălcare gravă a Convenției de la Viena cu privire la relațiile diplomatice; întrucât birourile de la Kiev ale Consiliului Britanic au fost, de asemenea, lovite în timpul atacului, cauzând daune grave și rănirea unei persoane;</w:t>
      </w:r>
    </w:p>
    <w:p w14:paraId="33AF1331" w14:textId="77777777" w:rsidR="000518F3" w:rsidRPr="000518F3" w:rsidRDefault="000518F3" w:rsidP="000518F3">
      <w:pPr>
        <w:widowControl/>
        <w:spacing w:before="120" w:after="120"/>
        <w:ind w:left="567" w:hanging="567"/>
        <w:rPr>
          <w:bCs/>
          <w:szCs w:val="24"/>
        </w:rPr>
      </w:pPr>
      <w:r w:rsidRPr="000518F3">
        <w:rPr>
          <w:szCs w:val="24"/>
        </w:rPr>
        <w:t>G.</w:t>
      </w:r>
      <w:r w:rsidRPr="000518F3">
        <w:rPr>
          <w:szCs w:val="24"/>
        </w:rPr>
        <w:tab/>
      </w:r>
      <w:r w:rsidRPr="000518F3">
        <w:rPr>
          <w:bCs/>
          <w:szCs w:val="24"/>
        </w:rPr>
        <w:t xml:space="preserve">întrucât, ca răspuns la războiul de agresiune al Rusiei, a fost lansat în ianuarie 2023 Grupul-nucleu privind crearea unui tribunal special pentru crima de agresiune împotriva Ucrainei; întrucât în martie 2023 a fost înființat la Haga Centrul internațional pentru urmărirea în justiție a crimei de agresiune împotriva Ucrainei, în cadrul </w:t>
      </w:r>
      <w:proofErr w:type="spellStart"/>
      <w:r w:rsidRPr="000518F3">
        <w:rPr>
          <w:bCs/>
          <w:szCs w:val="24"/>
        </w:rPr>
        <w:t>Eurojust</w:t>
      </w:r>
      <w:proofErr w:type="spellEnd"/>
      <w:r w:rsidRPr="000518F3">
        <w:rPr>
          <w:bCs/>
          <w:szCs w:val="24"/>
        </w:rPr>
        <w:t xml:space="preserve">; întrucât Grupul-nucleu a finalizat cadrul juridic al Tribunalului în martie 2025; întrucât peste 40 de țări au aprobat crearea acestuia prin declarația comună a reuniunii miniștrilor de externe din 9 mai 2025 privind încheierea activității Grupului-nucleu (Declarația de la </w:t>
      </w:r>
      <w:proofErr w:type="spellStart"/>
      <w:r w:rsidRPr="000518F3">
        <w:rPr>
          <w:bCs/>
          <w:szCs w:val="24"/>
        </w:rPr>
        <w:t>Liov</w:t>
      </w:r>
      <w:proofErr w:type="spellEnd"/>
      <w:r w:rsidRPr="000518F3">
        <w:rPr>
          <w:bCs/>
          <w:szCs w:val="24"/>
        </w:rPr>
        <w:t>); întrucât, la</w:t>
      </w:r>
      <w:r w:rsidRPr="000518F3">
        <w:rPr>
          <w:szCs w:val="24"/>
        </w:rPr>
        <w:t xml:space="preserve"> 25 iunie 2025, președintele Ucrainei, </w:t>
      </w:r>
      <w:proofErr w:type="spellStart"/>
      <w:r w:rsidRPr="000518F3">
        <w:rPr>
          <w:szCs w:val="24"/>
        </w:rPr>
        <w:t>Volodîmîr</w:t>
      </w:r>
      <w:proofErr w:type="spellEnd"/>
      <w:r w:rsidRPr="000518F3">
        <w:rPr>
          <w:szCs w:val="24"/>
        </w:rPr>
        <w:t xml:space="preserve"> </w:t>
      </w:r>
      <w:proofErr w:type="spellStart"/>
      <w:r w:rsidRPr="000518F3">
        <w:rPr>
          <w:szCs w:val="24"/>
        </w:rPr>
        <w:t>Zelenski</w:t>
      </w:r>
      <w:proofErr w:type="spellEnd"/>
      <w:r w:rsidRPr="000518F3">
        <w:rPr>
          <w:szCs w:val="24"/>
        </w:rPr>
        <w:t xml:space="preserve">, și Secretarul General al Consiliului Europei, Alain </w:t>
      </w:r>
      <w:proofErr w:type="spellStart"/>
      <w:r w:rsidRPr="000518F3">
        <w:rPr>
          <w:szCs w:val="24"/>
        </w:rPr>
        <w:t>Berset</w:t>
      </w:r>
      <w:proofErr w:type="spellEnd"/>
      <w:r w:rsidRPr="000518F3">
        <w:rPr>
          <w:szCs w:val="24"/>
        </w:rPr>
        <w:t>, au semnat la Strasbourg acordul oficial de instituire a Tribunalului special pentru crima de agresiune împotriva Ucrainei</w:t>
      </w:r>
      <w:r w:rsidRPr="000518F3">
        <w:rPr>
          <w:bCs/>
          <w:szCs w:val="24"/>
        </w:rPr>
        <w:t>;</w:t>
      </w:r>
    </w:p>
    <w:p w14:paraId="5E80150B" w14:textId="77777777" w:rsidR="000518F3" w:rsidRPr="000518F3" w:rsidRDefault="000518F3" w:rsidP="000518F3">
      <w:pPr>
        <w:widowControl/>
        <w:spacing w:before="120" w:after="120"/>
        <w:ind w:left="567" w:hanging="567"/>
        <w:rPr>
          <w:rFonts w:eastAsiaTheme="majorEastAsia"/>
          <w:bCs/>
          <w:iCs/>
          <w:szCs w:val="24"/>
        </w:rPr>
      </w:pPr>
      <w:r w:rsidRPr="000518F3">
        <w:rPr>
          <w:rFonts w:eastAsiaTheme="majorEastAsia"/>
          <w:bCs/>
          <w:iCs/>
          <w:szCs w:val="24"/>
        </w:rPr>
        <w:t>H.</w:t>
      </w:r>
      <w:r w:rsidRPr="000518F3">
        <w:rPr>
          <w:rFonts w:eastAsiaTheme="majorEastAsia"/>
          <w:bCs/>
          <w:iCs/>
          <w:szCs w:val="24"/>
        </w:rPr>
        <w:tab/>
        <w:t xml:space="preserve">întrucât președintele SUA, Donald </w:t>
      </w:r>
      <w:proofErr w:type="spellStart"/>
      <w:r w:rsidRPr="000518F3">
        <w:rPr>
          <w:rFonts w:eastAsiaTheme="majorEastAsia"/>
          <w:bCs/>
          <w:iCs/>
          <w:szCs w:val="24"/>
        </w:rPr>
        <w:t>Trump</w:t>
      </w:r>
      <w:proofErr w:type="spellEnd"/>
      <w:r w:rsidRPr="000518F3">
        <w:rPr>
          <w:rFonts w:eastAsiaTheme="majorEastAsia"/>
          <w:bCs/>
          <w:iCs/>
          <w:szCs w:val="24"/>
        </w:rPr>
        <w:t xml:space="preserve">, și președintele Federației Ruse, Vladimir Putin, au organizat un summit bilateral la </w:t>
      </w:r>
      <w:proofErr w:type="spellStart"/>
      <w:r w:rsidRPr="000518F3">
        <w:rPr>
          <w:rFonts w:eastAsiaTheme="majorEastAsia"/>
          <w:bCs/>
          <w:iCs/>
          <w:szCs w:val="24"/>
        </w:rPr>
        <w:t>Anchorage</w:t>
      </w:r>
      <w:proofErr w:type="spellEnd"/>
      <w:r w:rsidRPr="000518F3">
        <w:rPr>
          <w:rFonts w:eastAsiaTheme="majorEastAsia"/>
          <w:bCs/>
          <w:iCs/>
          <w:szCs w:val="24"/>
        </w:rPr>
        <w:t xml:space="preserve">, Alaska, la 15 august 2025; </w:t>
      </w:r>
      <w:r w:rsidRPr="000518F3">
        <w:rPr>
          <w:rFonts w:eastAsiaTheme="majorEastAsia"/>
          <w:bCs/>
          <w:iCs/>
          <w:szCs w:val="24"/>
        </w:rPr>
        <w:lastRenderedPageBreak/>
        <w:t xml:space="preserve">întrucât acest summit a fost urmat de reuniuni între președintele </w:t>
      </w:r>
      <w:proofErr w:type="spellStart"/>
      <w:r w:rsidRPr="000518F3">
        <w:rPr>
          <w:rFonts w:eastAsiaTheme="majorEastAsia"/>
          <w:bCs/>
          <w:iCs/>
          <w:szCs w:val="24"/>
        </w:rPr>
        <w:t>Trump</w:t>
      </w:r>
      <w:proofErr w:type="spellEnd"/>
      <w:r w:rsidRPr="000518F3">
        <w:rPr>
          <w:rFonts w:eastAsiaTheme="majorEastAsia"/>
          <w:bCs/>
          <w:iCs/>
          <w:szCs w:val="24"/>
        </w:rPr>
        <w:t xml:space="preserve"> și președintele </w:t>
      </w:r>
      <w:proofErr w:type="spellStart"/>
      <w:r w:rsidRPr="000518F3">
        <w:rPr>
          <w:rFonts w:eastAsiaTheme="majorEastAsia"/>
          <w:bCs/>
          <w:iCs/>
          <w:szCs w:val="24"/>
        </w:rPr>
        <w:t>Zelenski</w:t>
      </w:r>
      <w:proofErr w:type="spellEnd"/>
      <w:r w:rsidRPr="000518F3">
        <w:rPr>
          <w:rFonts w:eastAsiaTheme="majorEastAsia"/>
          <w:bCs/>
          <w:iCs/>
          <w:szCs w:val="24"/>
        </w:rPr>
        <w:t>, precum și cu liderii europeni, la 18 august 2025, la Washington DC;</w:t>
      </w:r>
    </w:p>
    <w:p w14:paraId="72B4237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I.</w:t>
      </w:r>
      <w:r w:rsidRPr="000518F3">
        <w:rPr>
          <w:snapToGrid w:val="0"/>
          <w:lang w:eastAsia="en-US"/>
        </w:rPr>
        <w:tab/>
        <w:t xml:space="preserve">întrucât Ucraina a dat dovadă de o reziliență și un angajament remarcabile față de calea sa europeană și a făcut progrese concrete în acest sens, în pofida războiului de agresiune al Rusiei </w:t>
      </w:r>
      <w:r w:rsidRPr="000518F3">
        <w:rPr>
          <w:bCs/>
          <w:snapToGrid w:val="0"/>
          <w:lang w:eastAsia="en-US"/>
        </w:rPr>
        <w:t>care continuă și care a dus la moartea a mii de oameni, a provocat traume profunde veteranilor și familiilor acestora, a lăsat multe orașe și infrastructură civilă vitală în ruine și a dus la ocuparea continuă a unor părți din teritoriul său de către forțele ruse;</w:t>
      </w:r>
    </w:p>
    <w:p w14:paraId="03C11EE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J.</w:t>
      </w:r>
      <w:r w:rsidRPr="000518F3">
        <w:rPr>
          <w:snapToGrid w:val="0"/>
          <w:lang w:eastAsia="en-US"/>
        </w:rPr>
        <w:tab/>
      </w:r>
      <w:r w:rsidRPr="000518F3">
        <w:rPr>
          <w:bCs/>
          <w:snapToGrid w:val="0"/>
          <w:lang w:eastAsia="en-US"/>
        </w:rPr>
        <w:t>întrucât, ca urmare a invaziei ruse, peste 4 milioane de ucraineni locuiesc în prezent în statele membre ale UE în cadrul mecanismului de protecție temporară și beneficiază de drepturi de ședere, acces la piața muncii, locuință,</w:t>
      </w:r>
      <w:r w:rsidRPr="000518F3">
        <w:rPr>
          <w:snapToGrid w:val="0"/>
          <w:lang w:eastAsia="en-US"/>
        </w:rPr>
        <w:t xml:space="preserve"> asistență medicală, asistență socială și educație pentru copiii lor</w:t>
      </w:r>
      <w:r w:rsidRPr="000518F3">
        <w:rPr>
          <w:bCs/>
          <w:snapToGrid w:val="0"/>
          <w:lang w:eastAsia="en-US"/>
        </w:rPr>
        <w:t>;</w:t>
      </w:r>
    </w:p>
    <w:p w14:paraId="22CACD26"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K.</w:t>
      </w:r>
      <w:r w:rsidRPr="000518F3">
        <w:rPr>
          <w:snapToGrid w:val="0"/>
          <w:lang w:eastAsia="en-US"/>
        </w:rPr>
        <w:tab/>
      </w:r>
      <w:r w:rsidRPr="000518F3">
        <w:rPr>
          <w:bCs/>
          <w:snapToGrid w:val="0"/>
          <w:lang w:eastAsia="en-US"/>
        </w:rPr>
        <w:t>î</w:t>
      </w:r>
      <w:r w:rsidRPr="000518F3">
        <w:rPr>
          <w:snapToGrid w:val="0"/>
          <w:lang w:eastAsia="en-US"/>
        </w:rPr>
        <w:t>ntrucât procesul de aderare a Ucrainei la UE constituie o contribuție importantă și o cale către pace și prosperitate pentru Ucraina, un răspuns strategic la agresiunea Rusiei și o garanție credibilă de securitate pentru Ucraina, consolidând reziliența geopolitică a UE;</w:t>
      </w:r>
    </w:p>
    <w:p w14:paraId="592CE6BF"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L.</w:t>
      </w:r>
      <w:r w:rsidRPr="000518F3">
        <w:rPr>
          <w:snapToGrid w:val="0"/>
          <w:lang w:eastAsia="en-US"/>
        </w:rPr>
        <w:tab/>
        <w:t>întrucât reformele legislative inițiate de Ucraina reflectă angajamentul său de a se alinia la acquis-</w:t>
      </w:r>
      <w:proofErr w:type="spellStart"/>
      <w:r w:rsidRPr="000518F3">
        <w:rPr>
          <w:snapToGrid w:val="0"/>
          <w:lang w:eastAsia="en-US"/>
        </w:rPr>
        <w:t>ul</w:t>
      </w:r>
      <w:proofErr w:type="spellEnd"/>
      <w:r w:rsidRPr="000518F3">
        <w:rPr>
          <w:snapToGrid w:val="0"/>
          <w:lang w:eastAsia="en-US"/>
        </w:rPr>
        <w:t xml:space="preserve"> UE;</w:t>
      </w:r>
    </w:p>
    <w:p w14:paraId="2A9D133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M.</w:t>
      </w:r>
      <w:r w:rsidRPr="000518F3">
        <w:rPr>
          <w:snapToGrid w:val="0"/>
          <w:lang w:eastAsia="en-US"/>
        </w:rPr>
        <w:tab/>
      </w:r>
      <w:r w:rsidRPr="000518F3">
        <w:rPr>
          <w:bCs/>
          <w:snapToGrid w:val="0"/>
          <w:lang w:eastAsia="en-US"/>
        </w:rPr>
        <w:t xml:space="preserve">întrucât GRECO continuă să recunoască angajamentul ferm demonstrat de Ucraina în ceea ce privește eforturile de combatere a corupției într-un moment extrem de dificil pentru această țară; întrucât GRECO a recunoscut în special progresele Ucrainei în prevenirea corupției în rândul parlamentarilor, judecătorilor și procurorilor; </w:t>
      </w:r>
      <w:r w:rsidRPr="000518F3">
        <w:rPr>
          <w:snapToGrid w:val="0"/>
          <w:lang w:eastAsia="en-US"/>
        </w:rPr>
        <w:t>întrucât, în ciuda progreselor înregistrate în domenii precum independența sistemului judiciar și corupția sistemică, există în continuare probleme care trebuie soluționate printr-o mai mare asumare a răspunderii de către guvern</w:t>
      </w:r>
      <w:r w:rsidRPr="000518F3">
        <w:rPr>
          <w:bCs/>
          <w:snapToGrid w:val="0"/>
          <w:lang w:eastAsia="en-US"/>
        </w:rPr>
        <w:t>, prin continuarea consolidării capacităților instituționale</w:t>
      </w:r>
      <w:r w:rsidRPr="000518F3">
        <w:rPr>
          <w:snapToGrid w:val="0"/>
          <w:lang w:eastAsia="en-US"/>
        </w:rPr>
        <w:t xml:space="preserve"> și prin supraveghere internațională;</w:t>
      </w:r>
    </w:p>
    <w:p w14:paraId="66F6F90C" w14:textId="77777777" w:rsidR="000518F3" w:rsidRPr="000518F3" w:rsidRDefault="000518F3" w:rsidP="000518F3">
      <w:pPr>
        <w:widowControl/>
        <w:spacing w:before="120" w:after="120"/>
        <w:ind w:left="567" w:hanging="567"/>
        <w:rPr>
          <w:bCs/>
          <w:snapToGrid w:val="0"/>
          <w:lang w:eastAsia="en-US"/>
        </w:rPr>
      </w:pPr>
      <w:r w:rsidRPr="000518F3">
        <w:rPr>
          <w:snapToGrid w:val="0"/>
          <w:lang w:eastAsia="en-US"/>
        </w:rPr>
        <w:t>N.</w:t>
      </w:r>
      <w:r w:rsidRPr="000518F3">
        <w:rPr>
          <w:snapToGrid w:val="0"/>
          <w:lang w:eastAsia="en-US"/>
        </w:rPr>
        <w:tab/>
      </w:r>
      <w:r w:rsidRPr="000518F3">
        <w:rPr>
          <w:bCs/>
          <w:snapToGrid w:val="0"/>
          <w:lang w:eastAsia="en-US"/>
        </w:rPr>
        <w:t>întrucât OCDE a observat că Ucraina a făcut progrese semnificative în reformarea cadrului său anticorupție în ultimul deceniu, prin sporirea transparenței, a responsabilității și a integrității prin intermediul datelor deschise, al digitalizării și al consolidării independenței organismelor anticorupție;</w:t>
      </w:r>
    </w:p>
    <w:p w14:paraId="2BBD39EC" w14:textId="77777777" w:rsidR="000518F3" w:rsidRPr="000518F3" w:rsidRDefault="000518F3" w:rsidP="000518F3">
      <w:pPr>
        <w:widowControl/>
        <w:spacing w:before="120" w:after="120"/>
        <w:ind w:left="567" w:hanging="567"/>
        <w:rPr>
          <w:bCs/>
          <w:snapToGrid w:val="0"/>
          <w:lang w:eastAsia="en-US"/>
        </w:rPr>
      </w:pPr>
      <w:r w:rsidRPr="000518F3">
        <w:rPr>
          <w:bCs/>
          <w:snapToGrid w:val="0"/>
          <w:lang w:eastAsia="en-US"/>
        </w:rPr>
        <w:t>O.</w:t>
      </w:r>
      <w:r w:rsidRPr="000518F3">
        <w:rPr>
          <w:bCs/>
          <w:snapToGrid w:val="0"/>
          <w:lang w:eastAsia="en-US"/>
        </w:rPr>
        <w:tab/>
        <w:t>întrucât, la jumătatea lunii iulie 2025, autoritățile ucrainene au încercat să submineze independența Biroului Național Anticorupție al Ucrainei și a Parchetului Specializat Anticorupție prin adoptarea Legii 12414, acordând procurorului general competențe extinse de a interveni în investigațiile lor; întrucât, la 31 august 2025, ca urmare a unor presiuni interne și externe extinse, Rada Supremă a adoptat Legea 13533 cu scopul de a restabili situația anterioară, luând astfel măsurile necesare pentru restabilirea deplină a independenței celor două instituții;</w:t>
      </w:r>
    </w:p>
    <w:p w14:paraId="1563D02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P.</w:t>
      </w:r>
      <w:r w:rsidRPr="000518F3">
        <w:rPr>
          <w:snapToGrid w:val="0"/>
          <w:lang w:eastAsia="en-US"/>
        </w:rPr>
        <w:tab/>
      </w:r>
      <w:r w:rsidRPr="000518F3">
        <w:rPr>
          <w:bCs/>
          <w:snapToGrid w:val="0"/>
          <w:lang w:eastAsia="en-US"/>
        </w:rPr>
        <w:t xml:space="preserve">întrucât Ucraina a obținut un scor de 35 de puncte din 100 și s-a clasat pe locul 105 din 180 de țări în indicele de percepție a corupției din 2024 al </w:t>
      </w:r>
      <w:proofErr w:type="spellStart"/>
      <w:r w:rsidRPr="000518F3">
        <w:rPr>
          <w:bCs/>
          <w:snapToGrid w:val="0"/>
          <w:lang w:eastAsia="en-US"/>
        </w:rPr>
        <w:t>Transparency</w:t>
      </w:r>
      <w:proofErr w:type="spellEnd"/>
      <w:r w:rsidRPr="000518F3">
        <w:rPr>
          <w:bCs/>
          <w:snapToGrid w:val="0"/>
          <w:lang w:eastAsia="en-US"/>
        </w:rPr>
        <w:t xml:space="preserve"> International</w:t>
      </w:r>
      <w:r w:rsidRPr="000518F3">
        <w:rPr>
          <w:snapToGrid w:val="0"/>
          <w:lang w:eastAsia="en-US"/>
        </w:rPr>
        <w:t xml:space="preserve"> și, deși a existat un angajament ferm față de eforturile anticorupție, mai sunt necesare reforme concrete pentru a pune în aplicare aceste intenții</w:t>
      </w:r>
      <w:r w:rsidRPr="000518F3">
        <w:rPr>
          <w:bCs/>
          <w:snapToGrid w:val="0"/>
          <w:lang w:eastAsia="en-US"/>
        </w:rPr>
        <w:t xml:space="preserve">; </w:t>
      </w:r>
      <w:r w:rsidRPr="000518F3">
        <w:rPr>
          <w:snapToGrid w:val="0"/>
          <w:lang w:eastAsia="en-US"/>
        </w:rPr>
        <w:t>întrucât reforma cuprinzătoare a administrației publice, lupta împotriva corupției, promovarea drepturilor fundamentale și funcționarea eficace a instituțiilor democratice sunt condiții esențiale pentru aderarea la UE;</w:t>
      </w:r>
    </w:p>
    <w:p w14:paraId="3136261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Q.</w:t>
      </w:r>
      <w:r w:rsidRPr="000518F3">
        <w:rPr>
          <w:snapToGrid w:val="0"/>
          <w:lang w:eastAsia="en-US"/>
        </w:rPr>
        <w:tab/>
        <w:t>întrucât Ucraina a făcut progrese în privința cooperării regionale și a reformelor socioeconomice pentru a-și alinia politicile la standardele UE;</w:t>
      </w:r>
    </w:p>
    <w:p w14:paraId="05600EBC" w14:textId="77777777" w:rsidR="000518F3" w:rsidRPr="000518F3" w:rsidRDefault="000518F3" w:rsidP="000518F3">
      <w:pPr>
        <w:widowControl/>
        <w:spacing w:before="120" w:after="120"/>
        <w:ind w:left="567" w:hanging="567"/>
        <w:rPr>
          <w:bCs/>
          <w:szCs w:val="24"/>
        </w:rPr>
      </w:pPr>
      <w:r w:rsidRPr="000518F3">
        <w:rPr>
          <w:szCs w:val="24"/>
        </w:rPr>
        <w:lastRenderedPageBreak/>
        <w:t>R.</w:t>
      </w:r>
      <w:r w:rsidRPr="000518F3">
        <w:rPr>
          <w:szCs w:val="24"/>
        </w:rPr>
        <w:tab/>
        <w:t>întrucât instituțiile democratice din Ucraina au dat dovadă de capacitate de a se adapta,</w:t>
      </w:r>
      <w:r w:rsidRPr="000518F3">
        <w:rPr>
          <w:bCs/>
          <w:szCs w:val="24"/>
        </w:rPr>
        <w:t xml:space="preserve"> evidențiind că, chiar și în contextul războiului de agresiune continuu al Rusiei și</w:t>
      </w:r>
      <w:r w:rsidRPr="000518F3">
        <w:rPr>
          <w:szCs w:val="24"/>
        </w:rPr>
        <w:t xml:space="preserve"> al legii marțiale</w:t>
      </w:r>
      <w:r w:rsidRPr="000518F3">
        <w:rPr>
          <w:bCs/>
          <w:szCs w:val="24"/>
        </w:rPr>
        <w:t xml:space="preserve">, Ucraina rămâne un stat viabil din punct de vedere instituțional, democratic și economic; întrucât, atât timp cât Ucraina se află în stare de război și sub incidența legii marțiale, alegerile sunt interzise prin lege și nu pot fi organizate; întrucât Parlamentul salută semnalele potrivit cărora pregătirile pentru alegeri ar putea începe odată cu încetarea aplicării legii marțiale; </w:t>
      </w:r>
    </w:p>
    <w:p w14:paraId="5121F59F" w14:textId="77777777" w:rsidR="000518F3" w:rsidRPr="000518F3" w:rsidRDefault="000518F3" w:rsidP="000518F3">
      <w:pPr>
        <w:widowControl/>
        <w:spacing w:before="120" w:after="120"/>
        <w:ind w:left="567" w:hanging="567"/>
        <w:rPr>
          <w:szCs w:val="24"/>
        </w:rPr>
      </w:pPr>
      <w:r w:rsidRPr="000518F3">
        <w:rPr>
          <w:szCs w:val="24"/>
        </w:rPr>
        <w:t>S.</w:t>
      </w:r>
      <w:r w:rsidRPr="000518F3">
        <w:rPr>
          <w:szCs w:val="24"/>
        </w:rPr>
        <w:tab/>
        <w:t>întrucât s-au înregistrat progrese în ceea ce privește reforma administrației publice, dar este în continuare nevoie de o mai accentuată consolidare a capacităților,</w:t>
      </w:r>
      <w:r w:rsidRPr="000518F3">
        <w:rPr>
          <w:bCs/>
          <w:szCs w:val="24"/>
        </w:rPr>
        <w:t xml:space="preserve"> de politici elaborate pe baza dovezilor</w:t>
      </w:r>
      <w:r w:rsidRPr="000518F3">
        <w:rPr>
          <w:szCs w:val="24"/>
        </w:rPr>
        <w:t xml:space="preserve"> și de îmbunătățirea gestionării resurselor umane;</w:t>
      </w:r>
    </w:p>
    <w:p w14:paraId="1ED8BEDD"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T.</w:t>
      </w:r>
      <w:r w:rsidRPr="000518F3">
        <w:rPr>
          <w:snapToGrid w:val="0"/>
          <w:lang w:eastAsia="en-US"/>
        </w:rPr>
        <w:tab/>
        <w:t>întrucât sistemul judiciar și-a reluat funcțiile-cheie, inclusiv verificarea judecătorilor și punerea în aplicare a măsurilor anticorupție, deși standardele de integritate și transparență trebuie consolidate,</w:t>
      </w:r>
      <w:r w:rsidRPr="000518F3">
        <w:rPr>
          <w:bCs/>
          <w:snapToGrid w:val="0"/>
          <w:lang w:eastAsia="en-US"/>
        </w:rPr>
        <w:t xml:space="preserve"> iar supravegherea din partea partenerilor internaționali ar trebui să fie continuă</w:t>
      </w:r>
      <w:r w:rsidRPr="000518F3">
        <w:rPr>
          <w:snapToGrid w:val="0"/>
          <w:lang w:eastAsia="en-US"/>
        </w:rPr>
        <w:t>;</w:t>
      </w:r>
    </w:p>
    <w:p w14:paraId="7C1EDF8D"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U.</w:t>
      </w:r>
      <w:r w:rsidRPr="000518F3">
        <w:rPr>
          <w:snapToGrid w:val="0"/>
          <w:lang w:eastAsia="en-US"/>
        </w:rPr>
        <w:tab/>
      </w:r>
      <w:r w:rsidRPr="000518F3">
        <w:rPr>
          <w:bCs/>
          <w:snapToGrid w:val="0"/>
          <w:lang w:eastAsia="en-US"/>
        </w:rPr>
        <w:t>întrucât consolidarea independenței sistemului judiciar a beneficiat de asistența experților internaționali din cadrul comisiilor de selecție a magistraților, ceea ce a consolidat, de asemenea, încrederea publică în sistemul judiciar;</w:t>
      </w:r>
    </w:p>
    <w:p w14:paraId="47731810" w14:textId="77777777" w:rsidR="000518F3" w:rsidRPr="000518F3" w:rsidRDefault="000518F3" w:rsidP="000518F3">
      <w:pPr>
        <w:widowControl/>
        <w:spacing w:before="120" w:after="120"/>
        <w:ind w:left="567" w:hanging="567"/>
        <w:rPr>
          <w:b/>
          <w:snapToGrid w:val="0"/>
          <w:lang w:eastAsia="en-US"/>
        </w:rPr>
      </w:pPr>
      <w:r w:rsidRPr="000518F3">
        <w:rPr>
          <w:snapToGrid w:val="0"/>
          <w:lang w:eastAsia="en-US"/>
        </w:rPr>
        <w:t>V.</w:t>
      </w:r>
      <w:r w:rsidRPr="000518F3">
        <w:rPr>
          <w:snapToGrid w:val="0"/>
          <w:lang w:eastAsia="en-US"/>
        </w:rPr>
        <w:tab/>
      </w:r>
      <w:r w:rsidRPr="000518F3">
        <w:rPr>
          <w:bCs/>
          <w:snapToGrid w:val="0"/>
          <w:lang w:eastAsia="en-US"/>
        </w:rPr>
        <w:t>întrucât implicarea experților internaționali în selecția Comisiei Superioare pentru Calificarea Judecătorilor (CSCJ) s-a finalizat la 1 iunie 2025;</w:t>
      </w:r>
    </w:p>
    <w:p w14:paraId="256EF0C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W.</w:t>
      </w:r>
      <w:r w:rsidRPr="000518F3">
        <w:rPr>
          <w:snapToGrid w:val="0"/>
          <w:lang w:eastAsia="en-US"/>
        </w:rPr>
        <w:tab/>
        <w:t>întrucât Ucraina</w:t>
      </w:r>
      <w:r w:rsidRPr="000518F3">
        <w:rPr>
          <w:bCs/>
          <w:snapToGrid w:val="0"/>
          <w:lang w:eastAsia="en-US"/>
        </w:rPr>
        <w:t>, în pofida distrugerii continue a instalațiilor energetice de către Rusia,</w:t>
      </w:r>
      <w:r w:rsidRPr="000518F3">
        <w:rPr>
          <w:snapToGrid w:val="0"/>
          <w:lang w:eastAsia="en-US"/>
        </w:rPr>
        <w:t xml:space="preserve"> și-a demonstrat angajamentul față de agenda verde prin legislația privind energia din surse regenerabile și prin alinierea la obiectivele Pactului verde european;</w:t>
      </w:r>
    </w:p>
    <w:p w14:paraId="2C171F3D" w14:textId="77777777" w:rsidR="000518F3" w:rsidRPr="000518F3" w:rsidRDefault="000518F3" w:rsidP="000518F3">
      <w:pPr>
        <w:widowControl/>
        <w:spacing w:before="120" w:after="120"/>
        <w:ind w:left="567" w:hanging="567"/>
        <w:rPr>
          <w:rFonts w:eastAsiaTheme="majorEastAsia"/>
          <w:bCs/>
          <w:iCs/>
          <w:szCs w:val="24"/>
        </w:rPr>
      </w:pPr>
      <w:r w:rsidRPr="000518F3">
        <w:rPr>
          <w:szCs w:val="24"/>
        </w:rPr>
        <w:t>X.</w:t>
      </w:r>
      <w:r w:rsidRPr="000518F3">
        <w:rPr>
          <w:szCs w:val="24"/>
        </w:rPr>
        <w:tab/>
      </w:r>
      <w:r w:rsidRPr="000518F3">
        <w:rPr>
          <w:bCs/>
          <w:szCs w:val="24"/>
        </w:rPr>
        <w:t>întrucât daunele aduse mediului de Rusia au avut consecințe devastatoare pentru resursele naturale ale Ucrainei, pentru ecosistemele critice și pentru sănătatea, mijloacele de trai și securitatea oamenilor; întrucât redresarea verde are ca scop remedierea acestor daune și plasarea Ucrainei pe o nouă cale către sustenabilitatea socială și a mediului, aliniată la legislația de mediu din acquis-</w:t>
      </w:r>
      <w:proofErr w:type="spellStart"/>
      <w:r w:rsidRPr="000518F3">
        <w:rPr>
          <w:bCs/>
          <w:szCs w:val="24"/>
        </w:rPr>
        <w:t>ul</w:t>
      </w:r>
      <w:proofErr w:type="spellEnd"/>
      <w:r w:rsidRPr="000518F3">
        <w:rPr>
          <w:bCs/>
          <w:szCs w:val="24"/>
        </w:rPr>
        <w:t xml:space="preserve"> UE; întrucât Ucraina a încetat să mai funcționeze ca țară de tranzit pentru gazul rusesc la 1 ianuarie 2025;</w:t>
      </w:r>
    </w:p>
    <w:p w14:paraId="0E163C0F"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Y.</w:t>
      </w:r>
      <w:r w:rsidRPr="000518F3">
        <w:rPr>
          <w:snapToGrid w:val="0"/>
          <w:lang w:eastAsia="en-US"/>
        </w:rPr>
        <w:tab/>
      </w:r>
      <w:r w:rsidRPr="000518F3">
        <w:rPr>
          <w:snapToGrid w:val="0"/>
          <w:lang w:eastAsia="en-US"/>
        </w:rPr>
        <w:tab/>
        <w:t>întrucât investitorii străini și corporațiile multinaționale și-au extins semnificativ controlul asupra resurselor naturale ale Ucrainei, inclusiv asupra terenurilor agricole, mineralelor și infrastructurii critice; întrucât astfel de evoluții riscă să submineze suveranitatea națională, securitatea alimentară și autodeterminarea economică;</w:t>
      </w:r>
    </w:p>
    <w:p w14:paraId="060AB736" w14:textId="77777777" w:rsidR="000518F3" w:rsidRPr="000518F3" w:rsidRDefault="000518F3" w:rsidP="000518F3">
      <w:pPr>
        <w:widowControl/>
        <w:spacing w:before="120" w:after="120"/>
        <w:ind w:left="567" w:hanging="567"/>
        <w:rPr>
          <w:rFonts w:eastAsiaTheme="majorEastAsia"/>
          <w:bCs/>
          <w:iCs/>
          <w:szCs w:val="24"/>
        </w:rPr>
      </w:pPr>
      <w:r w:rsidRPr="000518F3">
        <w:rPr>
          <w:szCs w:val="24"/>
        </w:rPr>
        <w:t>Z.</w:t>
      </w:r>
      <w:r w:rsidRPr="000518F3">
        <w:rPr>
          <w:szCs w:val="24"/>
        </w:rPr>
        <w:tab/>
      </w:r>
      <w:r w:rsidRPr="000518F3">
        <w:rPr>
          <w:szCs w:val="24"/>
        </w:rPr>
        <w:tab/>
        <w:t>întrucât, în 2024, achizițiile UE de combustibili fosili rusești au totalizat 21,9 miliarde EUR, depășind ajutorul financiar de 18,7 miliarde EUR acordat Ucrainei în același an; întrucât, de la începutul invaziei la scară largă, UE a cheltuit peste 200 de miliarde EUR pe combustibili fosili rusești, contribuind astfel la finanțarea efortului de război al Rusiei; întrucât Comisia a anunțat încetarea importurilor de gaze din Rusia până în 2027; întrucât, dacă UE continuă să importe energie din Rusia în ritmul din 2024, ar urma să plătească Rusiei încă 57,4 miliarde EUR până la sfârșitul anului 2027;</w:t>
      </w:r>
    </w:p>
    <w:p w14:paraId="6423491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AA.</w:t>
      </w:r>
      <w:r w:rsidRPr="000518F3">
        <w:rPr>
          <w:snapToGrid w:val="0"/>
          <w:lang w:eastAsia="en-US"/>
        </w:rPr>
        <w:tab/>
        <w:t>întrucât societatea civilă rămâne un pilon al rezilienței și democrației în Ucraina</w:t>
      </w:r>
      <w:r w:rsidRPr="000518F3">
        <w:rPr>
          <w:bCs/>
          <w:snapToGrid w:val="0"/>
          <w:lang w:eastAsia="en-US"/>
        </w:rPr>
        <w:t>; întrucât, în pofida restricțiilor impuse de legea marțială, ONG-urile își continuă activitatea relativ neîngrădit</w:t>
      </w:r>
      <w:r w:rsidRPr="000518F3">
        <w:rPr>
          <w:snapToGrid w:val="0"/>
          <w:lang w:eastAsia="en-US"/>
        </w:rPr>
        <w:t>, deși unele presiuni exercitate asupra activiștilor ridică semne de întrebare și necesită acțiuni guvernamentale</w:t>
      </w:r>
      <w:r w:rsidRPr="000518F3">
        <w:rPr>
          <w:bCs/>
          <w:snapToGrid w:val="0"/>
          <w:lang w:eastAsia="en-US"/>
        </w:rPr>
        <w:t>; întrucât recentele reduceri bruște ale finanțării din partea SUA au avut consecințe devastatoare pentru societatea civilă ucraineană</w:t>
      </w:r>
      <w:r w:rsidRPr="000518F3">
        <w:rPr>
          <w:snapToGrid w:val="0"/>
          <w:lang w:eastAsia="en-US"/>
        </w:rPr>
        <w:t>;</w:t>
      </w:r>
    </w:p>
    <w:p w14:paraId="38B7D338"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AB.</w:t>
      </w:r>
      <w:r w:rsidRPr="000518F3">
        <w:rPr>
          <w:snapToGrid w:val="0"/>
          <w:lang w:eastAsia="en-US"/>
        </w:rPr>
        <w:tab/>
        <w:t xml:space="preserve">întrucât libertatea de exprimare și independența mass-mediei întâmpină dificultăți, în special în contextul legii marțiale; întrucât este nevoie de măsuri pentru a restabili </w:t>
      </w:r>
      <w:r w:rsidRPr="000518F3">
        <w:rPr>
          <w:snapToGrid w:val="0"/>
          <w:lang w:eastAsia="en-US"/>
        </w:rPr>
        <w:lastRenderedPageBreak/>
        <w:t xml:space="preserve">pluralismul, pentru a proteja jurnaliștii </w:t>
      </w:r>
      <w:r w:rsidRPr="000518F3">
        <w:rPr>
          <w:bCs/>
          <w:snapToGrid w:val="0"/>
          <w:lang w:eastAsia="en-US"/>
        </w:rPr>
        <w:t>și pentru a crea un mediu favorabil din punct de vedere financiar; întrucât este de înțeles că anumite restricții sunt necesare pe durata legii marțiale</w:t>
      </w:r>
      <w:r w:rsidRPr="000518F3">
        <w:rPr>
          <w:snapToGrid w:val="0"/>
          <w:lang w:eastAsia="en-US"/>
        </w:rPr>
        <w:t>;</w:t>
      </w:r>
    </w:p>
    <w:p w14:paraId="7F2ED95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AC.</w:t>
      </w:r>
      <w:r w:rsidRPr="000518F3">
        <w:rPr>
          <w:snapToGrid w:val="0"/>
          <w:lang w:eastAsia="en-US"/>
        </w:rPr>
        <w:tab/>
        <w:t>întrucât Confederația Europeană a Sindicatelor (CES) și-a exprimat îngrijorarea serioasă cu privire la deteriorarea drepturilor lucrătorilor în Ucraina, inclusiv cu privire la încălcarea libertăților sindicale și a dialogului social; întrucât libertatea de asociere, de negociere colectivă și de drept la grevă sunt protejate în temeiul convențiilor Organizației Internaționale a Muncii (OIM) la care Ucraina este parte și reprezintă elemente-cheie ale acquis-ului UE și ale criteriilor de la Copenhaga;</w:t>
      </w:r>
    </w:p>
    <w:p w14:paraId="4354E22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AD.</w:t>
      </w:r>
      <w:r w:rsidRPr="000518F3">
        <w:rPr>
          <w:snapToGrid w:val="0"/>
          <w:lang w:eastAsia="en-US"/>
        </w:rPr>
        <w:tab/>
        <w:t>întrucât procesul de integrare a Ucrainei în UE beneficiază de o largă susținere și consens al populației și al instituțiilor, reflectând un angajament societal puternic față de aderarea la UE, în pofida dificultăților actuale;</w:t>
      </w:r>
    </w:p>
    <w:p w14:paraId="2A75D70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AE.</w:t>
      </w:r>
      <w:r w:rsidRPr="000518F3">
        <w:rPr>
          <w:snapToGrid w:val="0"/>
          <w:lang w:eastAsia="en-US"/>
        </w:rPr>
        <w:tab/>
      </w:r>
      <w:r w:rsidRPr="000518F3">
        <w:rPr>
          <w:bCs/>
          <w:snapToGrid w:val="0"/>
          <w:lang w:eastAsia="en-US"/>
        </w:rPr>
        <w:t xml:space="preserve">întrucât aderarea la UE are o dimensiune distinctă de securitate și o puternică semnificație simbolică pentru țară și populația sa, în contextul războiului existențial al Ucrainei împotriva agresiunii ruse continue; </w:t>
      </w:r>
      <w:r w:rsidRPr="000518F3">
        <w:rPr>
          <w:snapToGrid w:val="0"/>
          <w:lang w:eastAsia="en-US"/>
        </w:rPr>
        <w:t>întrucât sprijinul neclintit al UE pentru suveranitatea, integritatea teritorială și independența Ucrainei nu depinde de viteza integrării europene a țării;</w:t>
      </w:r>
    </w:p>
    <w:p w14:paraId="05C7ED7C" w14:textId="77777777" w:rsidR="000518F3" w:rsidRPr="000518F3" w:rsidRDefault="000518F3" w:rsidP="000518F3">
      <w:pPr>
        <w:widowControl/>
        <w:spacing w:before="120" w:after="120"/>
        <w:ind w:left="567" w:hanging="567"/>
        <w:rPr>
          <w:b/>
          <w:snapToGrid w:val="0"/>
          <w:lang w:eastAsia="en-US"/>
        </w:rPr>
      </w:pPr>
      <w:r w:rsidRPr="000518F3">
        <w:rPr>
          <w:snapToGrid w:val="0"/>
          <w:lang w:eastAsia="en-US"/>
        </w:rPr>
        <w:t>AF.</w:t>
      </w:r>
      <w:r w:rsidRPr="000518F3">
        <w:rPr>
          <w:snapToGrid w:val="0"/>
          <w:lang w:eastAsia="en-US"/>
        </w:rPr>
        <w:tab/>
        <w:t>întrucât aderarea la UE rămâne un factor esențial pentru dezvoltarea democratică a Ucrainei și va fi un factor-cheie în asigurarea securității, stabilității și independenței viitoare a țării</w:t>
      </w:r>
      <w:r w:rsidRPr="000518F3">
        <w:rPr>
          <w:bCs/>
          <w:snapToGrid w:val="0"/>
          <w:lang w:eastAsia="en-US"/>
        </w:rPr>
        <w:t>; întrucât aderarea Ucrainei la UE este o investiție strategică în pace, securitate, democrație și prosperitate pentru întregul continent, deoarece va consolida Uniunea contribuind la reziliența sa geopolitică, sporind potențialul său economic și consolidând angajamentul său față de valorile comune ale democrației, statului de drept și libertății</w:t>
      </w:r>
      <w:r w:rsidRPr="000518F3">
        <w:rPr>
          <w:snapToGrid w:val="0"/>
          <w:lang w:eastAsia="en-US"/>
        </w:rPr>
        <w:t>;</w:t>
      </w:r>
    </w:p>
    <w:p w14:paraId="61EE66C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AG.</w:t>
      </w:r>
      <w:r w:rsidRPr="000518F3">
        <w:rPr>
          <w:snapToGrid w:val="0"/>
          <w:lang w:eastAsia="en-US"/>
        </w:rPr>
        <w:tab/>
      </w:r>
      <w:r w:rsidRPr="000518F3">
        <w:rPr>
          <w:bCs/>
          <w:snapToGrid w:val="0"/>
          <w:lang w:eastAsia="en-US"/>
        </w:rPr>
        <w:t>întrucât aderarea rămâne un proces bazat pe merite, iar progresele înregistrate în punerea în aplicare a reformelor trebuie evaluate temeinic și cu atenție</w:t>
      </w:r>
      <w:bookmarkStart w:id="9" w:name="_Hlk204184035"/>
      <w:r w:rsidRPr="000518F3">
        <w:rPr>
          <w:bCs/>
          <w:snapToGrid w:val="0"/>
          <w:lang w:eastAsia="en-US"/>
        </w:rPr>
        <w:t>, ceea ce este și în interesul Ucrainei,</w:t>
      </w:r>
    </w:p>
    <w:bookmarkEnd w:id="9"/>
    <w:p w14:paraId="11E95A4D" w14:textId="77777777" w:rsidR="000518F3" w:rsidRPr="000518F3" w:rsidRDefault="000518F3" w:rsidP="000518F3">
      <w:pPr>
        <w:widowControl/>
        <w:spacing w:before="120" w:after="120"/>
        <w:rPr>
          <w:rFonts w:eastAsiaTheme="majorEastAsia"/>
          <w:bCs/>
          <w:szCs w:val="24"/>
        </w:rPr>
      </w:pPr>
      <w:r w:rsidRPr="000518F3">
        <w:rPr>
          <w:b/>
          <w:i/>
          <w:szCs w:val="24"/>
        </w:rPr>
        <w:t>Războiul de agresiune al Rusiei - context pentru pregătirile de aderare ale Ucrainei la UE</w:t>
      </w:r>
    </w:p>
    <w:p w14:paraId="403A016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1.</w:t>
      </w:r>
      <w:r w:rsidRPr="000518F3">
        <w:rPr>
          <w:snapToGrid w:val="0"/>
          <w:lang w:eastAsia="en-US"/>
        </w:rPr>
        <w:tab/>
        <w:t>condamnă în termenii cei mai fermi războiul de agresiune continuu al Federației Ruse împotriva Ucrainei și atacurile fără discriminare ale Rusiei asupra civililor și a infrastructurii civile; își reafirmă solidaritatea de neclintit cu poporul ucrainean curajos, care, din 2014, a plătit prețul suprem pentru a-și apăra țara, suveranitatea și integritatea teritorială, precum și pentru a proteja Europa și valorile și principiile noastre democratice comune; își exprimă cele mai profunde condoleanțe familiilor eroilor căzuți și ale victimelor civile nevinovate ale agresiunii ruse, inclusiv ale celor peste 600 de copii care au fost uciși;</w:t>
      </w:r>
    </w:p>
    <w:p w14:paraId="0C55C16A"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w:t>
      </w:r>
      <w:r w:rsidRPr="000518F3">
        <w:rPr>
          <w:snapToGrid w:val="0"/>
          <w:lang w:eastAsia="en-US"/>
        </w:rPr>
        <w:tab/>
        <w:t xml:space="preserve">condamnă cu fermitate asasinarea organizată de Rusia a unor personalități publice și a unor militanți ucraineni proeminenți, precum și sabotajul asupra infrastructurii critice a Ucrainei; își exprimă oroarea și indignarea cu privire la asasinarea, la 30 august 2025, la </w:t>
      </w:r>
      <w:proofErr w:type="spellStart"/>
      <w:r w:rsidRPr="000518F3">
        <w:rPr>
          <w:snapToGrid w:val="0"/>
          <w:lang w:eastAsia="en-US"/>
        </w:rPr>
        <w:t>Liov</w:t>
      </w:r>
      <w:proofErr w:type="spellEnd"/>
      <w:r w:rsidRPr="000518F3">
        <w:rPr>
          <w:snapToGrid w:val="0"/>
          <w:lang w:eastAsia="en-US"/>
        </w:rPr>
        <w:t xml:space="preserve">, a lui </w:t>
      </w:r>
      <w:proofErr w:type="spellStart"/>
      <w:r w:rsidRPr="000518F3">
        <w:rPr>
          <w:snapToGrid w:val="0"/>
          <w:lang w:eastAsia="en-US"/>
        </w:rPr>
        <w:t>Andrii</w:t>
      </w:r>
      <w:proofErr w:type="spellEnd"/>
      <w:r w:rsidRPr="000518F3">
        <w:rPr>
          <w:snapToGrid w:val="0"/>
          <w:lang w:eastAsia="en-US"/>
        </w:rPr>
        <w:t xml:space="preserve"> </w:t>
      </w:r>
      <w:proofErr w:type="spellStart"/>
      <w:r w:rsidRPr="000518F3">
        <w:rPr>
          <w:snapToGrid w:val="0"/>
          <w:lang w:eastAsia="en-US"/>
        </w:rPr>
        <w:t>Parubii</w:t>
      </w:r>
      <w:proofErr w:type="spellEnd"/>
      <w:r w:rsidRPr="000518F3">
        <w:rPr>
          <w:snapToGrid w:val="0"/>
          <w:lang w:eastAsia="en-US"/>
        </w:rPr>
        <w:t>, fostul președinte al Radei Supreme și fost secretar al Consiliului Național de Securitate și Apărare, care a arătat un angajament ferm față de aspirațiile europene ale Ucrainei;</w:t>
      </w:r>
    </w:p>
    <w:p w14:paraId="50E9BAED"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w:t>
      </w:r>
      <w:r w:rsidRPr="000518F3">
        <w:rPr>
          <w:snapToGrid w:val="0"/>
          <w:lang w:eastAsia="en-US"/>
        </w:rPr>
        <w:tab/>
        <w:t xml:space="preserve">își exprimă indignarea față de intensificarea atacurilor cu </w:t>
      </w:r>
      <w:proofErr w:type="spellStart"/>
      <w:r w:rsidRPr="000518F3">
        <w:rPr>
          <w:snapToGrid w:val="0"/>
          <w:lang w:eastAsia="en-US"/>
        </w:rPr>
        <w:t>drone</w:t>
      </w:r>
      <w:proofErr w:type="spellEnd"/>
      <w:r w:rsidRPr="000518F3">
        <w:rPr>
          <w:snapToGrid w:val="0"/>
          <w:lang w:eastAsia="en-US"/>
        </w:rPr>
        <w:t xml:space="preserve"> și rachete comise de Rusia împotriva unor ținte civile, printre care atacul de la Kiev din 28 august 2025, când Delegația UE în Ucraina și Consiliul Britanic au fost direct vizate; subliniază că recentul atac, precum și toate celelalte atacuri care au vizat infrastructura civilă, constituie crime de război și arată încă o dată lipsa flagrantă de respect manifestată de </w:t>
      </w:r>
      <w:r w:rsidRPr="000518F3">
        <w:rPr>
          <w:snapToGrid w:val="0"/>
          <w:lang w:eastAsia="en-US"/>
        </w:rPr>
        <w:lastRenderedPageBreak/>
        <w:t>către Rusia față de viața umană, dreptul internațional, eforturile SUA în direcția păcii și principiile fundamentale de protecție a civililor;</w:t>
      </w:r>
    </w:p>
    <w:p w14:paraId="31B4F18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w:t>
      </w:r>
      <w:r w:rsidRPr="000518F3">
        <w:rPr>
          <w:snapToGrid w:val="0"/>
          <w:lang w:eastAsia="en-US"/>
        </w:rPr>
        <w:tab/>
        <w:t>își confirmă angajamentul fără echivoc pentru independența, suveranitatea și integritatea teritorială a Ucrainei în cadrul frontierelor sale recunoscute pe plan internațional; își reiterează politica de nerecunoaștere a teritoriilor din Ucraina ocupate temporar de Rusia, inclusiv Crimeea; subliniază cu fermitate dreptul inerent al Ucrainei la autoapărare, în conformitate cu articolul 51 din Carta ONU, care implică dreptul de a lovi ținte militare pe teritoriul Rusiei; reafirmă angajamentul UE față de o pace justă și durabilă în Ucraina, în condiții acceptabile pentru Ucraina și poporul său, care să garanteze menținerea suveranității și a integrității sale teritoriale și aducerea în fața justiției a celor responsabili de crime de război, precum și plata de despăgubiri; invită UE și statele sale membre să depună activ eforturi pentru a menține și a obține cel mai larg sprijin internațional posibil pentru Ucraina și pentru a identifica o soluție pașnică la război, care trebuie să se bazeze pe respectarea deplină a dreptului internațional și a suveranității și integrității teritoriale a Ucrainei, pe răspunderea pentru crimele de război și crima de agresiune, precum și pe plăți din partea Rusiei pentru daunele masive cauzate în Ucraina; subliniază că orice soluție pașnică trebuie să respecte voința poporului ucrainean și nu trebuie să fie impusă de niciun alt actor internațional și nu trebuie să recompenseze agresiunea sau să submineze securitatea viitoare a Ucrainei; consideră abordarea lipsită de sinceritate a negocierilor și propunerile neserioase ale liderilor ruși din ultimele luni drept dovezi suplimentare că Rusia intenționează să prelungească războiul pe întreg teritoriul Ucrainei cât mai mult timp posibil și cât i se permite; subliniază că negocierile de pace trebuie să fie precedate de o încetare a focului necondiționată; solicită sprijin continuu din partea UE pentru eforturile ucrainene și internaționale de consolidare a documentării și investigării crimelor de război comise de forțele ruse;</w:t>
      </w:r>
    </w:p>
    <w:p w14:paraId="05A1F926" w14:textId="77777777" w:rsidR="000518F3" w:rsidRPr="000518F3" w:rsidRDefault="000518F3" w:rsidP="000518F3">
      <w:pPr>
        <w:spacing w:before="120" w:after="120"/>
        <w:ind w:left="567" w:hanging="567"/>
        <w:rPr>
          <w:bCs/>
          <w:iCs/>
        </w:rPr>
      </w:pPr>
      <w:r w:rsidRPr="000518F3">
        <w:t>5.</w:t>
      </w:r>
      <w:r w:rsidRPr="000518F3">
        <w:tab/>
        <w:t>își exprimă profunda îngrijorare cu privire la schimbarea poziției Statelor Unite cu privire la războiul de agresiune al Rusiei, care a inclus colaborarea directă cu Rusia fără a exercita o presiune semnificativă, renunțarea publică la influența majoră, respingerea unor sancțiuni suplimentare și discutarea ridicării sancțiunilor, precum și încercarea de a constrânge Ucraina să facă concesii teritoriale și să renunțe la dreptul său legitim la autoapărare; subliniază că, având în vedere aceste evoluții, UE și statele sale membre trebuie să rămână principalii aliați strategici ai Ucrainei și ar trebui să își consolideze rolul de lideri în sprijinirea luptei Ucrainei pentru suveranitate, pace și justiție; admite că securitatea Ucrainei reprezintă o componentă esențială a securității UE; observă că sprijinul acordat de UE Ucrainei l-a depășit acum pe cel al Statelor Unite, subliniind rolul vital al UE în susținerea rezilienței și redresării Ucrainei;</w:t>
      </w:r>
    </w:p>
    <w:p w14:paraId="31DFD00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6.</w:t>
      </w:r>
      <w:r w:rsidRPr="000518F3">
        <w:rPr>
          <w:snapToGrid w:val="0"/>
          <w:lang w:eastAsia="en-US"/>
        </w:rPr>
        <w:tab/>
        <w:t>accentuează că UE și statele sale membre trebuie să crească semnificativ eficacitatea și să accelereze livrarea asistenței militare, materiale și financiare pe care o oferă pentru a susține dreptul Ucrainei la autoapărare; insistă că UE și statele sale membre, alături de parteneri și aliați, trebuie să contribuie la garanții solide de securitate pentru Ucraina, pentru a descuraja noi agresiuni din partea Rusiei și a permite Ucrainei să se axeze pe deplin pe realizarea reformelor necesare pe calea aderării la UE; subliniază importanța consolidării permanente a securității flancului estic al UE și al NATO, ca răspuns la amenințările din partea Rusiei; solicită dezvoltarea infrastructurii militare și logistice în țările vecine cu Ucraina; recunoaște dreptul suveran al Ucrainei de a-și alege alianțele militare;</w:t>
      </w:r>
    </w:p>
    <w:p w14:paraId="723BFF8B"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7.</w:t>
      </w:r>
      <w:r w:rsidRPr="000518F3">
        <w:rPr>
          <w:snapToGrid w:val="0"/>
          <w:lang w:eastAsia="en-US"/>
        </w:rPr>
        <w:tab/>
        <w:t xml:space="preserve">ia act de recenta întâlnire dintre președintele SUA, Donald </w:t>
      </w:r>
      <w:proofErr w:type="spellStart"/>
      <w:r w:rsidRPr="000518F3">
        <w:rPr>
          <w:snapToGrid w:val="0"/>
          <w:lang w:eastAsia="en-US"/>
        </w:rPr>
        <w:t>Trump</w:t>
      </w:r>
      <w:proofErr w:type="spellEnd"/>
      <w:r w:rsidRPr="000518F3">
        <w:rPr>
          <w:snapToGrid w:val="0"/>
          <w:lang w:eastAsia="en-US"/>
        </w:rPr>
        <w:t xml:space="preserve"> și Vladimir Putin și subliniază că aceasta contrastează flagrant cu escaladarea masivă a atacurilor Rusiei împotriva Ucrainei, care arată o dată în plus că Rusia nu este deloc interesată de pace, ci </w:t>
      </w:r>
      <w:r w:rsidRPr="000518F3">
        <w:rPr>
          <w:snapToGrid w:val="0"/>
          <w:lang w:eastAsia="en-US"/>
        </w:rPr>
        <w:lastRenderedPageBreak/>
        <w:t xml:space="preserve">mai degrabă de subjugarea Ucrainei; subliniază că Vladimir Putin marșează doar aparent la eforturile de pace ale SUA, de fapt doar trage de timp pentru a continua războiul de agresiune; invită președintele </w:t>
      </w:r>
      <w:proofErr w:type="spellStart"/>
      <w:r w:rsidRPr="000518F3">
        <w:rPr>
          <w:snapToGrid w:val="0"/>
          <w:lang w:eastAsia="en-US"/>
        </w:rPr>
        <w:t>Trump</w:t>
      </w:r>
      <w:proofErr w:type="spellEnd"/>
      <w:r w:rsidRPr="000518F3">
        <w:rPr>
          <w:snapToGrid w:val="0"/>
          <w:lang w:eastAsia="en-US"/>
        </w:rPr>
        <w:t xml:space="preserve"> să dea curs anunțului său că Statele Unite vor adopta noi sancțiuni economice ferme împotriva Rusiei și a țărilor care alimentează mașina sa de război; subliniază că nu se poate negocia o pace durabilă și dreaptă în Ucraina fără deplina participare a conducerii Ucrainei și fără sprijinul poporului ucrainean, și nici fără participarea Uniunii Europene; ia act cu satisfacție de întâlnirea dintre președintele </w:t>
      </w:r>
      <w:proofErr w:type="spellStart"/>
      <w:r w:rsidRPr="000518F3">
        <w:rPr>
          <w:snapToGrid w:val="0"/>
          <w:lang w:eastAsia="en-US"/>
        </w:rPr>
        <w:t>Trump</w:t>
      </w:r>
      <w:proofErr w:type="spellEnd"/>
      <w:r w:rsidRPr="000518F3">
        <w:rPr>
          <w:snapToGrid w:val="0"/>
          <w:lang w:eastAsia="en-US"/>
        </w:rPr>
        <w:t xml:space="preserve"> și președintele </w:t>
      </w:r>
      <w:proofErr w:type="spellStart"/>
      <w:r w:rsidRPr="000518F3">
        <w:rPr>
          <w:snapToGrid w:val="0"/>
          <w:lang w:eastAsia="en-US"/>
        </w:rPr>
        <w:t>Zelenski</w:t>
      </w:r>
      <w:proofErr w:type="spellEnd"/>
      <w:r w:rsidRPr="000518F3">
        <w:rPr>
          <w:snapToGrid w:val="0"/>
          <w:lang w:eastAsia="en-US"/>
        </w:rPr>
        <w:t xml:space="preserve"> și mai mulți lideri europeni la 18 august 2025; își reafirmă angajamentul ferm de a oferi garanții de securitate și de a lua toate măsurile necesare pentru a consolida forțele armate și industria de apărare a Ucrainei; respinge orice pretenție a Rusiei de a fi garant al viitoarelor acorduri de securitate pentru Ucraina și orice încercare de a condiționa suveranitatea forțelor armate ucrainene, în termeni de operabilitate sau de dimensiuni ale acestora;</w:t>
      </w:r>
    </w:p>
    <w:p w14:paraId="02C76C63"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8.</w:t>
      </w:r>
      <w:r w:rsidRPr="000518F3">
        <w:rPr>
          <w:snapToGrid w:val="0"/>
          <w:lang w:eastAsia="en-US"/>
        </w:rPr>
        <w:tab/>
        <w:t xml:space="preserve">reamintește că Europa a sprijinit deja Ucraina cu 50 de miliarde EUR sub formă de ajutor militar, dar subliniază că este nevoie de asistență suplimentară și că un astfel de sprijin depinde în prezent în mare măsură de Europa; solicită statelor membre să furnizeze Ucrainei mai multe arme și muniție înainte de încheierea oricăror negocieri și să consolideze substanțial schimbul de informații cu Ucraina; invită statele membre, partenerii internaționali și aliații NATO să ridice toate restricțiile privind utilizarea sistemelor de arme occidentale livrate Ucrainei împotriva țintelor militare de pe teritoriul Rusiei; salută eforturile Ucrainei de a-și consolida baza industrială internă de apărare, inclusiv producția de </w:t>
      </w:r>
      <w:proofErr w:type="spellStart"/>
      <w:r w:rsidRPr="000518F3">
        <w:rPr>
          <w:snapToGrid w:val="0"/>
          <w:lang w:eastAsia="en-US"/>
        </w:rPr>
        <w:t>drone</w:t>
      </w:r>
      <w:proofErr w:type="spellEnd"/>
      <w:r w:rsidRPr="000518F3">
        <w:rPr>
          <w:snapToGrid w:val="0"/>
          <w:lang w:eastAsia="en-US"/>
        </w:rPr>
        <w:t xml:space="preserve"> și de alte tehnologii critice; insistă asupra importanței primordiale a cooperării cu Ucraina și a integrării acesteia în inițiativele de apărare ale UE, inclusiv a integrării industriei ucrainene de apărare în baza industrială și tehnologică de apărare europeană, pentru a consolida autonomia strategică a UE; încurajează dezvoltarea de proiecte comune de fabricare a armelor cu partenerii UE și NATO; invită Comisia și statele membre să sprijine aceste inițiative prin intermediul Strategiei privind industria europeană de apărare și al instrumentelor relevante, pentru a consolida capabilitățile de autoapărare pe termen lung ale Ucrainei; subliniază că este urgent să se finanțeze în mod corespunzător Instrumentul de sprijin pentru Ucraina al programului privind industria europeană de apărare, căruia nu i-au fost încă alocate niciun fel de fonduri;</w:t>
      </w:r>
    </w:p>
    <w:p w14:paraId="3795D33A"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9.</w:t>
      </w:r>
      <w:r w:rsidRPr="000518F3">
        <w:rPr>
          <w:snapToGrid w:val="0"/>
          <w:lang w:eastAsia="en-US"/>
        </w:rPr>
        <w:tab/>
        <w:t>își reiterează apelul adresat statelor membre ale UE de a urma exemplul danez și pe cel neerlandez pentru a colabora cu industria de apărare ucraineană și a sprijini capacitățile acesteia de producție în modul cel mai eficient;</w:t>
      </w:r>
    </w:p>
    <w:p w14:paraId="09D539EF" w14:textId="77777777" w:rsidR="000518F3" w:rsidRPr="000518F3" w:rsidRDefault="000518F3" w:rsidP="000518F3">
      <w:pPr>
        <w:spacing w:before="120" w:after="120"/>
        <w:ind w:left="567" w:hanging="567"/>
        <w:rPr>
          <w:bCs/>
          <w:iCs/>
        </w:rPr>
      </w:pPr>
      <w:r w:rsidRPr="000518F3">
        <w:t>10.</w:t>
      </w:r>
      <w:r w:rsidRPr="000518F3">
        <w:tab/>
        <w:t xml:space="preserve">salută realizările Misiunii UE de asistență militară în sprijinul Ucrainei (EUMAM), care a oferit instruire personalului militar ucrainean; sprijină decizia Consiliului din 8 noiembrie 2024 de a prelungi cu doi ani mandatul misiunii; solicită extinderea resurselor financiare, logistice și umane ale EUMAM și adaptarea acestora la nevoile în continuă evoluție de instruire militară ale forțelor armate ucrainene, precum și la eforturile de reformă pe termen lung, în conformitate cu angajamentele comune în materie de securitate dintre UE și Ucraina; subliniază că EUMAM ar trebui să acționeze și ca platformă pentru schimbul de bune practici care să garanteze că forțele europene beneficiază de experiența dobândită pe câmpul de luptă de forțele armate ucrainene; </w:t>
      </w:r>
    </w:p>
    <w:p w14:paraId="541C327B" w14:textId="77777777" w:rsidR="000518F3" w:rsidRPr="000518F3" w:rsidRDefault="000518F3" w:rsidP="000518F3">
      <w:pPr>
        <w:spacing w:before="120" w:after="120"/>
        <w:ind w:left="567" w:hanging="567"/>
        <w:rPr>
          <w:b/>
          <w:bCs/>
          <w:i/>
          <w:iCs/>
        </w:rPr>
      </w:pPr>
      <w:r w:rsidRPr="000518F3">
        <w:t>11.</w:t>
      </w:r>
      <w:r w:rsidRPr="000518F3">
        <w:tab/>
        <w:t xml:space="preserve">condamnă în termenii cei mai duri acțiunile violente ale Rusiei și complicitatea Belarusului la maltratarea copiilor ucraineni, inclusiv crimele, transferurile forțate, deportările și adopțiile ilegale, și la ștergerea identității ucrainene prin rusificare forțată; solicită UE să coopereze îndeaproape cu autoritățile ucrainene, cu organizațiile internaționale și cu ONG-urile și să le sprijine în documentarea tuturor copiilor dispăruți și deportați, asigurând returnarea și reintegrarea în condiții de siguranță a acestora și </w:t>
      </w:r>
      <w:r w:rsidRPr="000518F3">
        <w:lastRenderedPageBreak/>
        <w:t>oferind sprijinul juridic, psihologic și social necesar;</w:t>
      </w:r>
    </w:p>
    <w:p w14:paraId="58C97C69" w14:textId="77777777" w:rsidR="000518F3" w:rsidRPr="000518F3" w:rsidRDefault="000518F3" w:rsidP="000518F3">
      <w:pPr>
        <w:spacing w:before="120" w:after="120"/>
        <w:ind w:left="567" w:hanging="567"/>
      </w:pPr>
      <w:r w:rsidRPr="000518F3">
        <w:t>12.</w:t>
      </w:r>
      <w:r w:rsidRPr="000518F3">
        <w:tab/>
        <w:t>condamnă tratamentul inuman aplicat de Rusia prizonierilor de război ucraineni, care include tortura și execuțiile, încalcă grav Convențiile de la Geneva, în timp ce prizonierii ruși de război din Ucraina se bucură de toate drepturile care le sunt conferite de dreptul internațional, inclusiv vizite și asistență din partea organizațiilor internaționale, cum ar fi Comitetul Internațional al Crucii Roșii (CICR); salută efectuarea celui mai mare schimb de prizonieri de până acum, care a avut loc în mai 2025, și solicită UE, statelor sale membre și comunității internaționale să faciliteze continuarea acestor schimburi și să exercite presiunile necesare pentru a asigura continuarea lor; deplânge încarcerarea ilegală de către Rusia a civililor ucraineni, care sunt ținuți în izolare și în condiții inumane, fiind inclusiv supuși torturii și execuțiilor extrajudiciare; solicită intensificarea presiunii internaționale pentru a asigura eliberarea tuturor ucrainenilor deținuți; invită CICR să insiste ca autoritățile ruse să ofere reprezentanților internaționali ai CICR acces neîngrădit în toate locurile în care sunt deținuți prizonierii ucraineni de război;</w:t>
      </w:r>
    </w:p>
    <w:p w14:paraId="44B6BF48" w14:textId="77777777" w:rsidR="000518F3" w:rsidRPr="000518F3" w:rsidRDefault="000518F3" w:rsidP="000518F3">
      <w:pPr>
        <w:spacing w:before="120" w:after="120"/>
        <w:ind w:left="567" w:hanging="567"/>
        <w:rPr>
          <w:bCs/>
          <w:iCs/>
        </w:rPr>
      </w:pPr>
      <w:r w:rsidRPr="000518F3">
        <w:t>13.</w:t>
      </w:r>
      <w:r w:rsidRPr="000518F3">
        <w:tab/>
        <w:t xml:space="preserve">subliniază importanța unor mecanisme cuprinzătoare de responsabilizare și justiție; salută ratificarea de către Ucraina a Statutului de la Roma al Curții Penale Internaționale și modificările corespunzătoare la Codul său penal; salută Declarația comună a miniștrilor de externe din cadrul Grupului-nucleu (Declarația de la </w:t>
      </w:r>
      <w:proofErr w:type="spellStart"/>
      <w:r w:rsidRPr="000518F3">
        <w:t>Liov</w:t>
      </w:r>
      <w:proofErr w:type="spellEnd"/>
      <w:r w:rsidRPr="000518F3">
        <w:t>) din 9 mai 2025 privind crearea unui tribunal special pentru crima de agresiune împotriva Ucrainei; subliniază că urmărirea penală a crimei de agresiune este esențială pentru menținerea ordinii internaționale bazate pe norme și prevenirea impunității; invită instituțiile UE și statele membre să sprijine în continuare instituirea și funcționarea tribunalului special în cadrul Consiliului Europei; încurajează toate părțile să garanteze că organizațiile societății civile ucrainene și victimele războiului pot juca un rol semnificativ în activitatea tribunalului; este convins că o pace justă și durabilă este posibilă doar atunci când copiii ucraineni, alți civili deportați sau deținuți forțat și prizonierii de război vor fi eliberați și reuniți cu familiile lor și când cei responsabili vor fi aduși în fața justiției;</w:t>
      </w:r>
    </w:p>
    <w:p w14:paraId="31D4FFA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14.</w:t>
      </w:r>
      <w:r w:rsidRPr="000518F3">
        <w:rPr>
          <w:snapToGrid w:val="0"/>
          <w:lang w:eastAsia="en-US"/>
        </w:rPr>
        <w:tab/>
      </w:r>
      <w:r w:rsidRPr="000518F3">
        <w:rPr>
          <w:snapToGrid w:val="0"/>
          <w:lang w:eastAsia="en-US"/>
        </w:rPr>
        <w:tab/>
        <w:t>salută hotărârea Curții Europene a Drepturilor Omului din 9 iulie 2025 în cauza Ucraina și Țările de Jos/Rusia, prin care Rusia a fost considerată responsabilă pentru încălcări flagrante și pe scară largă ale drepturilor omului în Ucraina - inclusiv doborârea aeronavei care efectua zborul MH17, tortura, violul folosit ca armă de război, execuțiile sumare, lipsirea de libertate în mod ilegal și arbitrar, precum și transferul organizat al copiilor în Rusia și adopțiile acestora acolo;</w:t>
      </w:r>
    </w:p>
    <w:p w14:paraId="536082FB" w14:textId="77777777" w:rsidR="000518F3" w:rsidRPr="000518F3" w:rsidRDefault="000518F3" w:rsidP="000518F3">
      <w:pPr>
        <w:spacing w:before="120" w:after="120"/>
        <w:ind w:left="567" w:hanging="567"/>
      </w:pPr>
      <w:r w:rsidRPr="000518F3">
        <w:t>15.</w:t>
      </w:r>
      <w:r w:rsidRPr="000518F3">
        <w:tab/>
        <w:t>subliniază că sancțiunile, alături de prevenirea și combaterea eludării sancțiunilor, rămân instrumente esențiale pentru a submina capacitatea Rusiei de a-și continua războiul de agresiune și a neutraliza amenințările la adresa securității europene; solicită extinderea sancțiunilor care vizează economia rusă, inclusiv în sectorul metalurgic, nuclear, chimic, energetic și financiar; salută adoptarea celor 18 pachete de sancțiuni împotriva Federației Ruse și solicită UE și statelor sale membre să adopte pachete de sancțiuni suplimentare, menite în special să combată eludarea măsurilor existente; subliniază că introducerea și aplicarea strictă a sancțiunilor sunt esențiale pentru a priva mașina de război a Rusiei de resurse și pentru a consolida reziliența Ucrainei; invită Comisia și statele membre să depună eforturi pentru a asigura participarea continuă a SUA la aplicarea sancțiunilor împotriva Rusiei, pentru a menține presiunea asupra economiei și bugetului de stat al Rusiei; consideră că sancțiunile trebuie prelungite și continuate până când Rusia își va încheia războiul de agresiune împotriva Ucrainei și va plăti despăgubiri de război;</w:t>
      </w:r>
    </w:p>
    <w:p w14:paraId="388DC4CE" w14:textId="77777777" w:rsidR="000518F3" w:rsidRPr="000518F3" w:rsidRDefault="000518F3" w:rsidP="000518F3">
      <w:pPr>
        <w:spacing w:before="120" w:after="120"/>
        <w:ind w:left="567" w:hanging="567"/>
      </w:pPr>
      <w:r w:rsidRPr="000518F3">
        <w:t>16.</w:t>
      </w:r>
      <w:r w:rsidRPr="000518F3">
        <w:tab/>
        <w:t xml:space="preserve">îndeamnă la o eliminare treptată accelerată a produselor pe bază de hidrocarburi rusești </w:t>
      </w:r>
      <w:r w:rsidRPr="000518F3">
        <w:lastRenderedPageBreak/>
        <w:t xml:space="preserve">în UE pentru a ajunge în cele din urmă la o interdicție totală; reiterează faptul că încetarea dependenței energetice a UE de hidrocarburile rusești este esențială pentru securitatea energetică a Europei; salută punerea efectivă în aplicare a embargoului total impus de UE asupra cărbunelui rusesc, care a pus capăt dependenței UE de cărbunele rusesc; reamintește embargoul UE asupra petrolului rusesc, dar regretă că guvernul ungar și guvernul slovac au ales să rămână dependente de acesta și le îndeamnă să pună capăt rapid acestei dependențe dăunătoare, acolo unde este necesar, cu măsuri de sprijin specifice; invită Consiliul să sancționeze toate navele care operează în flota fantomă rusă și să contacteze statele de pavilion pentru a elimina aceste nave din registrul lor de nave, făcându-le astfel „neasigurabile” pentru societățile de asigurări; îndeamnă la intensificarea eforturilor de prevenire a eludării sancțiunilor existente împotriva petrolului rusesc; solicită UE și coaliției G7 să reducă plafonul prețului petrolului pentru a diminua și mai mult capacitatea financiară a Rusiei de a purta război; salută planul Re-Power EU anunțat recent de Comisie; îndeamnă, cu toate acestea, Comisia să avanseze termenele aferente ori de câte ori este posibil și să ia, acolo unde este necesar, măsuri provizorii, cum ar fi reducerea plafonului prețului petrolului și punerea în aplicare a unui plafon al prețului gazelor naturale lichefiate și a unei cote de import; respinge cu fermitate apelurile de reluare a unor proiecte precum Nord </w:t>
      </w:r>
      <w:proofErr w:type="spellStart"/>
      <w:r w:rsidRPr="000518F3">
        <w:t>Stream</w:t>
      </w:r>
      <w:proofErr w:type="spellEnd"/>
      <w:r w:rsidRPr="000518F3">
        <w:t xml:space="preserve"> 1 și 2; regretă profund că, la mai mult de trei ani de la începerea invaziei la scară largă, Consiliul nu a adoptat un embargou total asupra gazelor rusești; solicită adoptarea rapidă a unei astfel de măsuri;</w:t>
      </w:r>
    </w:p>
    <w:p w14:paraId="31C3E2B6" w14:textId="77777777" w:rsidR="000518F3" w:rsidRPr="000518F3" w:rsidRDefault="000518F3" w:rsidP="000518F3">
      <w:pPr>
        <w:spacing w:before="120" w:after="120"/>
        <w:ind w:left="567" w:hanging="567"/>
      </w:pPr>
      <w:r w:rsidRPr="000518F3">
        <w:t>17.</w:t>
      </w:r>
      <w:r w:rsidRPr="000518F3">
        <w:tab/>
        <w:t xml:space="preserve">regretă comportamentul obstructiv al guvernelor din UE care au amenințat să se opună sau să submineze măsurile restrictive împotriva Rusiei; sprijină intenția de a incrimina încălcarea și eludarea sancțiunilor în Ucraina, astfel cum se propune în proiectul urgent de lege nr. 12406; subliniază că asigurarea respectării unei astfel de legislații este esențială pentru eliminarea lacunelor care permit retragerea activelor sancționate în etapa de blocare și pentru aducerea în fața justiției a facilitatorilor războiului de agresiune al Rusiei; </w:t>
      </w:r>
      <w:bookmarkStart w:id="10" w:name="_Hlk204184405"/>
      <w:r w:rsidRPr="000518F3">
        <w:t xml:space="preserve">îndeamnă Ucraina să adopte acest proiect de lege în conformitate cu cele mai bune practici relevante ale UE; </w:t>
      </w:r>
      <w:bookmarkEnd w:id="10"/>
    </w:p>
    <w:p w14:paraId="42DD2BB8"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18.</w:t>
      </w:r>
      <w:r w:rsidRPr="000518F3">
        <w:rPr>
          <w:snapToGrid w:val="0"/>
          <w:lang w:eastAsia="en-US"/>
        </w:rPr>
        <w:tab/>
        <w:t>îndeamnă Comisia și statele membre să confiște activele rusești blocate și să le pună la dispoziție pentru apărarea, reconstrucția și despăgubirile Ucrainei pentru victime, în conformitate cu dreptul internațional și cu principiul responsabilității statului; subliniază că, pentru realizarea acestor lucruri, este extrem de important să se asigure că activele suverane rusești rămân imobilizate în UE;</w:t>
      </w:r>
    </w:p>
    <w:p w14:paraId="39E31640" w14:textId="77777777" w:rsidR="000518F3" w:rsidRPr="000518F3" w:rsidRDefault="000518F3" w:rsidP="000518F3">
      <w:pPr>
        <w:spacing w:before="120" w:after="120"/>
        <w:ind w:left="567" w:hanging="567"/>
        <w:rPr>
          <w:bCs/>
          <w:iCs/>
        </w:rPr>
      </w:pPr>
      <w:r w:rsidRPr="000518F3">
        <w:t>19.</w:t>
      </w:r>
      <w:r w:rsidRPr="000518F3">
        <w:tab/>
        <w:t>invită Consiliul și Comisia să dea dovadă de o atitudine fermă de lider pentru a găsi o soluție sustenabilă cu privire la mecanismul de protecție temporară al UE pentru peste 4 milioane de ucraineni, care a fost prelungit până în martie 2026; subliniază necesitatea de a asigura egalitatea de tratament și de a preveni fragmentarea în întreaga UE; subliniază importanța respectării drepturilor ucrainenilor care nu se pot întoarce și doresc să rămână în UE, sprijinind în același timp persoanele care aleg să se întoarcă și să își reconstruiască viața în Ucraina;</w:t>
      </w:r>
    </w:p>
    <w:p w14:paraId="57D9580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20.</w:t>
      </w:r>
      <w:r w:rsidRPr="000518F3">
        <w:rPr>
          <w:snapToGrid w:val="0"/>
          <w:lang w:eastAsia="en-US"/>
        </w:rPr>
        <w:tab/>
        <w:t>încurajează Ucraina și statele membre să coopereze îndeaproape în vederea valorificării la maximum a potențialului de participare economică a populației de refugiați și a diasporei ucrainene, pentru a asigura reziliența și caracterul incluziv al redresării și reconstrucției economice actuale și viitoare a Ucrainei;</w:t>
      </w:r>
    </w:p>
    <w:p w14:paraId="48123EDC"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21.</w:t>
      </w:r>
      <w:r w:rsidRPr="000518F3">
        <w:rPr>
          <w:snapToGrid w:val="0"/>
          <w:lang w:eastAsia="en-US"/>
        </w:rPr>
        <w:tab/>
        <w:t xml:space="preserve">invită forțele politice din Ucraina să rămână unite și animate de același sentiment de unitate și coeziune politică fermă, care s-a dovedit că sporește reziliența Ucrainei în fața amenințării existențiale la adresa libertății și independenței țării; invită toți actorii politici din Ucraina, în special cei aflați în prezent la putere, să își folosească puterile de </w:t>
      </w:r>
      <w:r w:rsidRPr="000518F3">
        <w:rPr>
          <w:snapToGrid w:val="0"/>
          <w:lang w:eastAsia="en-US"/>
        </w:rPr>
        <w:lastRenderedPageBreak/>
        <w:t>care dispun pe timp de război pentru a promova unitatea politică și elaborarea de politici coerente și favorabile incluziunii;</w:t>
      </w:r>
    </w:p>
    <w:p w14:paraId="7F025A9B" w14:textId="77777777" w:rsidR="000518F3" w:rsidRPr="000518F3" w:rsidRDefault="000518F3" w:rsidP="000518F3">
      <w:pPr>
        <w:spacing w:before="120" w:after="120"/>
        <w:rPr>
          <w:snapToGrid w:val="0"/>
          <w:lang w:eastAsia="en-US"/>
        </w:rPr>
      </w:pPr>
      <w:r w:rsidRPr="000518F3">
        <w:rPr>
          <w:b/>
          <w:i/>
          <w:snapToGrid w:val="0"/>
          <w:lang w:eastAsia="en-US"/>
        </w:rPr>
        <w:t>Angajamentul pentru aderarea la UE</w:t>
      </w:r>
    </w:p>
    <w:p w14:paraId="185AE09A"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22.</w:t>
      </w:r>
      <w:r w:rsidRPr="000518F3">
        <w:rPr>
          <w:snapToGrid w:val="0"/>
          <w:lang w:eastAsia="en-US"/>
        </w:rPr>
        <w:tab/>
        <w:t>salută călduros angajamentul ferm al Ucrainei de a îndeplini cerințele de aderare la UE, inclusiv respectarea acquis-ului UE, în pofida războiului de agresiune brutal și neîncetat purtat de Rusia și a recentei escaladări reînnoite din partea Rusiei; îndeamnă Ucraina să își mențină angajamentul și ritmul reformelor; subliniază impulsul puternic în punerea în aplicare a reformelor în Ucraina și salută rata tot mai mare de aliniere a Ucrainei la politica externă și de securitate comună a UE, care s-a ridicat la 95 % în 2024; ia act de faptul că cererile de reformă ale UE în cadrul procesului de aderare sunt sprijinite de peste 70 % dintre ucraineni, subliniind importanța efectului de levier continuu al UE, a condiționalității structurate și a comunicării publice în această perioadă;</w:t>
      </w:r>
    </w:p>
    <w:p w14:paraId="716723D2" w14:textId="77777777" w:rsidR="000518F3" w:rsidRPr="000518F3" w:rsidRDefault="000518F3" w:rsidP="000518F3">
      <w:pPr>
        <w:spacing w:before="120" w:after="120"/>
        <w:rPr>
          <w:b/>
          <w:i/>
          <w:snapToGrid w:val="0"/>
          <w:lang w:eastAsia="en-US"/>
        </w:rPr>
      </w:pPr>
      <w:r w:rsidRPr="000518F3">
        <w:rPr>
          <w:b/>
          <w:i/>
          <w:snapToGrid w:val="0"/>
          <w:lang w:eastAsia="en-US"/>
        </w:rPr>
        <w:t>Democrația, statul de drept și lupta împotriva corupției</w:t>
      </w:r>
    </w:p>
    <w:p w14:paraId="1CD6321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23.</w:t>
      </w:r>
      <w:r w:rsidRPr="000518F3">
        <w:rPr>
          <w:snapToGrid w:val="0"/>
          <w:lang w:eastAsia="en-US"/>
        </w:rPr>
        <w:tab/>
        <w:t>laudă eforturile extraordinare ale Ucrainei pentru consolidarea instituțiilor democratice pe timp de război; încurajează Ucraina și guvernul său să mențină ritmul reformelor; reamintește că, în conformitate cu principiile democratice recunoscute pe scară largă și cu Constituția Ucrainei, alegerile nu se pot desfășura în timpul războiului și în condițiile legii marțiale; subliniază că alegerile democratice necesită suficient timp pentru pregătirea și accesul la informații pentru a respecta standardele internaționale; invită autoritățile ucrainene să se abțină de la proceduri judiciare și sancțiuni neoportune și motivate politic împotriva reprezentanților opoziției, să susțină pluralismul parlamentar și să promoveze dialogul constructiv între facțiunile politice din Rada Supremă;</w:t>
      </w:r>
    </w:p>
    <w:p w14:paraId="604D6211"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24.</w:t>
      </w:r>
      <w:r w:rsidRPr="000518F3">
        <w:rPr>
          <w:snapToGrid w:val="0"/>
          <w:lang w:eastAsia="en-US"/>
        </w:rPr>
        <w:tab/>
        <w:t>reiterează recomandarea, în contextul aderării la UE, de a elimina toate restricțiile privind deplasările în străinătate legate de mandat și politice pentru membrii Radei Supreme; subliniază importanța respectării și consolidării rolului instituțional al Radei Supreme și sprijină eforturile de reformă în curs pentru a consolida capacitatea sa legislativă, supravegherea executivului și responsabilitatea față de public;</w:t>
      </w:r>
    </w:p>
    <w:p w14:paraId="13B816B9"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25.</w:t>
      </w:r>
      <w:r w:rsidRPr="000518F3">
        <w:rPr>
          <w:snapToGrid w:val="0"/>
          <w:lang w:eastAsia="en-US"/>
        </w:rPr>
        <w:tab/>
        <w:t xml:space="preserve">salută adoptarea Legii privind legislația, pe care Comisia a evaluat-o ca fiind un pas fundamental către un proces legislativ mai structurat și mai eficace în Ucraina, în urma eventualei ridicări a legii marțiale și a eforturilor Comisiei electorale centrale din Ucraina de actualizare a registrului național al alegătorilor; </w:t>
      </w:r>
    </w:p>
    <w:p w14:paraId="184C63F1" w14:textId="77777777" w:rsidR="000518F3" w:rsidRPr="000518F3" w:rsidRDefault="000518F3" w:rsidP="000518F3">
      <w:pPr>
        <w:spacing w:before="120" w:after="120"/>
        <w:ind w:left="567" w:hanging="567"/>
        <w:rPr>
          <w:bCs/>
          <w:iCs/>
        </w:rPr>
      </w:pPr>
      <w:r w:rsidRPr="000518F3">
        <w:t>26.</w:t>
      </w:r>
      <w:r w:rsidRPr="000518F3">
        <w:tab/>
        <w:t xml:space="preserve">salută elaborarea de către Ucraina, în cooperare cu Comisia, a trei foi de parcurs pentru reforme care acoperă statul de drept, reforma administrației publice și funcționarea instituțiilor democratice, eforturile de combatere a corupției fiind integrate în întregul proces; ia act de faptul că aceste foi de parcurs, odată aprobate de Comisie, vor servi drept criteriu de referință critic pentru monitorizarea progreselor înregistrate de Ucraina în ceea ce privește reforma; salută includerea eforturilor anticorupție ca element integrant al tuturor celor trei foi de parcurs; subliniază importanța ancorării reformelor în cadrul unor transformări societale și politice mai ample pentru a asigura durabilitatea pe termen lung a acestora, punerea lor efectivă în aplicare și funcționarea independentă a instituțiilor publice; subliniază importanța cultivării unei culturi politice constructive și a promovării unei cooperări bazate pe încredere între partidele politice din Ucraina; ia act cu satisfacție de participarea activă a parlamentarilor ucraineni la Dialogul Jean </w:t>
      </w:r>
      <w:proofErr w:type="spellStart"/>
      <w:r w:rsidRPr="000518F3">
        <w:t>Monnet</w:t>
      </w:r>
      <w:proofErr w:type="spellEnd"/>
      <w:r w:rsidRPr="000518F3">
        <w:t xml:space="preserve"> și încurajează aplicarea celor mai bune practici europene pentru a promova colaborarea între partide în fața provocărilor comune pe calea aderării la UE;</w:t>
      </w:r>
    </w:p>
    <w:p w14:paraId="45A2D8E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27.</w:t>
      </w:r>
      <w:r w:rsidRPr="000518F3">
        <w:rPr>
          <w:snapToGrid w:val="0"/>
          <w:lang w:eastAsia="en-US"/>
        </w:rPr>
        <w:tab/>
        <w:t xml:space="preserve">salută progresele înregistrate în ceea ce privește reforma sistemului judiciar în perioada de raportare și încurajează Ucraina să sporească în continuare transparența proceselor sale legislative și să îi aloce resurse financiare, umane și tehnice sporite pentru a aborda </w:t>
      </w:r>
      <w:r w:rsidRPr="000518F3">
        <w:rPr>
          <w:snapToGrid w:val="0"/>
          <w:lang w:eastAsia="en-US"/>
        </w:rPr>
        <w:lastRenderedPageBreak/>
        <w:t>provocările care împiedică dezvoltarea sistemului judiciar, a spori independența sistemului judiciar și a consolida lupta împotriva corupției, asigurând astfel alinierea la standardele UE și evitând, în același timp, măsurile superficiale care ar putea împiedica aderarea la UE;</w:t>
      </w:r>
    </w:p>
    <w:p w14:paraId="1367491F" w14:textId="77777777" w:rsidR="000518F3" w:rsidRPr="000518F3" w:rsidRDefault="000518F3" w:rsidP="000518F3">
      <w:pPr>
        <w:spacing w:before="120" w:after="120"/>
        <w:ind w:left="567" w:hanging="567"/>
        <w:rPr>
          <w:bCs/>
          <w:iCs/>
        </w:rPr>
      </w:pPr>
      <w:r w:rsidRPr="000518F3">
        <w:t xml:space="preserve">28. </w:t>
      </w:r>
      <w:r w:rsidRPr="000518F3">
        <w:tab/>
        <w:t>constată că, în pofida cadrului legislativ îmbunătățit, sistemul judiciar rămâne unul dintre sectoarele cele mai vulnerabile la corupție și interferențe politice, după cum o demonstrează cazurile repetate de corupție la scară largă și influență necuvenită în operațiunile instanțelor și ale instituțiilor judiciare, inclusiv la nivelul Curții Constituționale a Ucrainei (CCU) și al CSCJ; ia act cu îngrijorare de paralizia continuă a CCU și solicită numirea rapidă a judecătorilor rămași și ocuparea posturilor vacante în cadrul Consiliului Superior de Justiție; invită, de asemenea, Rada Supremă să adopte o lege privind Curtea Constituțională în conformitate cu avizele Comisiei de la Veneția și, în plus, invită Ucraina să adopte un plan de acțiune și reforme interne pentru a preveni interferențele nejustificate și pentru a consolida etica judiciară; subliniază importanța deosebită a protejării independenței instituționale a CSCJ și în lumina angajamentelor asumate în cadrul acordurilor internaționale, inclusiv cu Fondul Monetar Internațional; subliniază necesitatea de a intensifica lupta împotriva corupției și a intereselor particulare în sistemul judiciar, ceea ce este indispensabil pentru consolidarea încrederii publice și promovarea procesului de aderare a Ucrainei; subliniază importanța unor procese de selecție transparente și bazate pe merit pentru organismele de guvernanță judiciară și pentru funcțiile de conducere, inclusiv implicarea unor experți naționali și internaționali independenți; subliniază necesitatea unor numiri judiciare depolitizate, a unor garanții de integritate funcțională, a transparenței, a integrității, a responsabilității și a unei monitorizări internaționale consolidate pentru a preveni justiția selectivă și a stimula încrederea publicului în sistemul judiciar;</w:t>
      </w:r>
    </w:p>
    <w:p w14:paraId="7C6CD6C4" w14:textId="77777777" w:rsidR="000518F3" w:rsidRPr="000518F3" w:rsidRDefault="000518F3" w:rsidP="000518F3">
      <w:pPr>
        <w:spacing w:before="120" w:after="120"/>
        <w:ind w:left="567" w:hanging="567"/>
        <w:rPr>
          <w:bCs/>
          <w:iCs/>
        </w:rPr>
      </w:pPr>
      <w:r w:rsidRPr="000518F3">
        <w:t>29.</w:t>
      </w:r>
      <w:r w:rsidRPr="000518F3">
        <w:tab/>
        <w:t xml:space="preserve">ia act cu îngrijorare de deficitul critic de judecători, de numărul excesiv de cauze în majoritatea instanțelor, de deficiențele substanțiale în materie de finanțare și de distribuția inegală a activității judiciare, toate acestea subminând calitatea și promptitudinea procedurilor și împiedicând accesul cetățenilor la justiție; subliniază necesitatea de a aborda aceste probleme, inclusiv prin utilizarea unor mecanisme de mediere și de filtrare procedurală pentru a reduce presiunea asupra sistemului judiciar; ia act de faptul că </w:t>
      </w:r>
      <w:proofErr w:type="spellStart"/>
      <w:r w:rsidRPr="000518F3">
        <w:t>Transparency</w:t>
      </w:r>
      <w:proofErr w:type="spellEnd"/>
      <w:r w:rsidRPr="000518F3">
        <w:t xml:space="preserve"> International a clasat Ucraina pe locul 105 din 180 de țări în indicele său de percepție a corupției din 2024, cu un punctaj de 35 din 100 de puncte, ceea ce subliniază amploarea provocărilor actuale în ceea ce privește guvernanța anticorupție; subliniază că îmbunătățirea educației judiciare și finalizarea digitalizării instanțelor din Ucraina sunt esențiale pentru reforma judiciară mai amplă a Ucrainei;</w:t>
      </w:r>
    </w:p>
    <w:p w14:paraId="7678195B"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30.</w:t>
      </w:r>
      <w:r w:rsidRPr="000518F3">
        <w:rPr>
          <w:snapToGrid w:val="0"/>
          <w:lang w:eastAsia="en-US"/>
        </w:rPr>
        <w:tab/>
        <w:t xml:space="preserve">salută numirea unui nou șef al Agenției Naționale pentru Prevenirea Corupției (ANPC) și începerea auditurilor independente pentru a evalua eficacitatea Biroului Național Anticorupție din Ucraina (BNAU) în investigarea corupției; salută intrarea în vigoare a versiunilor modificate ale Codului penal și Codului de procedură penală, care se preconizează că vor spori eficiența aplicării legii anticorupție, în special prin îmbunătățirea cadrului vizând acordul de recunoaștere a vinovăției; recunoaște creșterea numărului anual de verdicte pronunțate de Înalta Curte Anticorupție (ICA), precum și a numărului anual de rechizitorii transmise de BNAU și de Parchetul Specializat Anticorupție (SAPO), ceea ce demonstrează un progres constant în activitatea de urmărire penală; salută restabilirea procedurilor de declarare a averii și a accesului publicului, consolidarea reglementărilor privind conflictele de interese și progresele realizate în ceea ce privește independența Parchetului Specializat Anticorupție; salută adoptarea planului de acțiune pentru punerea în aplicare a strategiei de recuperare a activelor pentru perioada 2024-2025 și a măsurilor conexe; solicită reformarea urgentă a </w:t>
      </w:r>
      <w:r w:rsidRPr="000518F3">
        <w:rPr>
          <w:snapToGrid w:val="0"/>
          <w:lang w:eastAsia="en-US"/>
        </w:rPr>
        <w:lastRenderedPageBreak/>
        <w:t>Agenției de recuperare și gestionare a activelor și sprijină adoptarea promptă a proiectului de lege nr. 12374-d pentru a îmbunătăți funcționarea acesteia; salută extinderea personalului Parchetului specializat în probleme de mediu din cadrul Parchetului General și îndeamnă la dezvoltarea continuă a politicilor anticorupție în guvernanța resurselor naturale;</w:t>
      </w:r>
    </w:p>
    <w:p w14:paraId="7871B782" w14:textId="77777777" w:rsidR="000518F3" w:rsidRPr="000518F3" w:rsidRDefault="000518F3" w:rsidP="000518F3">
      <w:pPr>
        <w:spacing w:before="120" w:after="120"/>
        <w:ind w:left="567" w:hanging="567"/>
        <w:rPr>
          <w:bCs/>
          <w:iCs/>
        </w:rPr>
      </w:pPr>
      <w:r w:rsidRPr="000518F3">
        <w:t>31.</w:t>
      </w:r>
      <w:r w:rsidRPr="000518F3">
        <w:tab/>
        <w:t>ia act de lipsa continuă de judecători în cadrul ICA și subliniază că este urgent să se lanseze un nou concurs transparent pentru ocuparea posturilor vacante, asigurându-se că Curtea dispune de personal și spații suficiente pentru a funcționa în mod eficace; subliniază necesitatea de a ocupa fără întârziere postul vacant de procuror general și importanța consolidării independenței instituționale a funcției, asigurând, în același timp, verificări adecvate ale competențelor sale;</w:t>
      </w:r>
    </w:p>
    <w:p w14:paraId="3D99F561"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32.</w:t>
      </w:r>
      <w:r w:rsidRPr="000518F3">
        <w:rPr>
          <w:snapToGrid w:val="0"/>
          <w:lang w:eastAsia="en-US"/>
        </w:rPr>
        <w:tab/>
        <w:t>încurajează Ucraina să protejeze independența și eficacitatea instituțiilor anticorupție, inclusiv a SAPO și BNAU, prin asigurarea unor proceduri transparente de numire, protejarea acestor organisme de ingerințele politice și consolidarea autonomiei lor instituționale; subliniază că este important să se acorde SAPO o mai mare independență față de Parchetul General și să se doteze BNAU cu mijloacele necesare pentru accesul în timp util la expertiza criminalistică și la capacitatea autonomă de interceptare a comunicațiilor pentru a efectua anchete eficace; felicită Ucraina pentru creșterea numărului de angajați ai SAPO și subliniază necesitatea de a corela această creștere cu resurse financiare și tehnice adecvate pentru a asigura capacitatea operațională; încurajează Ucraina înspre o reformă structurală a Biroului de Stat pentru Investigații, pentru a-i consolida independența și eficacitatea, pentru a preveni utilizarea abuzivă a acestuia în contextul evoluțiilor politice postbelice din Ucraina, în special în legătură cu campaniile electorale;</w:t>
      </w:r>
    </w:p>
    <w:p w14:paraId="56676D8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33.</w:t>
      </w:r>
      <w:r w:rsidRPr="000518F3">
        <w:rPr>
          <w:snapToGrid w:val="0"/>
          <w:lang w:eastAsia="en-US"/>
        </w:rPr>
        <w:tab/>
        <w:t>își exprimă îngrijorarea cu privire la încercarea eșuată a autorităților ucrainene de a submina independența instituțiilor anticorupție; salută opoziția fermă a societății civile față de aceste încercări inacceptabile, care a forțat autoritățile să renunțe; consideră că demersul autorităților a constituit o încercare periculoasă de a submina realizările unei adevărate lupte împotriva corupției; subliniază că, dacă ar fi avut succes, măsura i-ar fi avantajat doar pe inamicii Ucrainei; evidențiază că ar trebui să fie un semnal puternic pentru toți cei din Ucraina care, din interese meschine, nu ezită să pună în pericol viitorul țării; reiterează că lupta împotriva corupției necesită un angajament pe termen lung și eforturi cuprinzătoare pentru a institui o bună guvernanță caracterizată de un echilibru al puterilor funcțional; sprijină poziția Comisiei, potrivit căreia instituțiile respective sunt esențiale pentru agenda de reforme a Ucrainei și trebuie să își desfășoare activitatea independent pentru a combate corupția și a menține încrederea publicului;</w:t>
      </w:r>
    </w:p>
    <w:p w14:paraId="58E154A4"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34.</w:t>
      </w:r>
      <w:r w:rsidRPr="000518F3">
        <w:rPr>
          <w:snapToGrid w:val="0"/>
          <w:lang w:eastAsia="en-US"/>
        </w:rPr>
        <w:tab/>
        <w:t xml:space="preserve">salută adoptarea Legii privind activitatea de lobby ca parte a agendei de </w:t>
      </w:r>
      <w:proofErr w:type="spellStart"/>
      <w:r w:rsidRPr="000518F3">
        <w:rPr>
          <w:snapToGrid w:val="0"/>
          <w:lang w:eastAsia="en-US"/>
        </w:rPr>
        <w:t>dezoligarhizare</w:t>
      </w:r>
      <w:proofErr w:type="spellEnd"/>
      <w:r w:rsidRPr="000518F3">
        <w:rPr>
          <w:snapToGrid w:val="0"/>
          <w:lang w:eastAsia="en-US"/>
        </w:rPr>
        <w:t xml:space="preserve"> a Ucrainei; subliniază necesitatea unei strategii reînnoite și cuprinzătoare de combatere a influenței oligarhice, asigurând implicarea părților interesate de la nivel național, a experților internaționali și a organizațiilor societății civile; încurajează autoritățile ucrainene să lucreze în continuare la reforma guvernanței întreprinderilor deținute de stat în conformitate cu orientările OCDE, pentru a reduce la minimum potențialul de clientelism și a preveni corupția, inclusiv prin publicarea tuturor datelor privind beneficiarii reali ai întreprinderilor deținute de stat și asigurându-se că toate întreprinderile deținute de stat importante au consilii de administrație independente și echilibrate din punctul de vedere al genului;</w:t>
      </w:r>
    </w:p>
    <w:p w14:paraId="577902CD"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35.</w:t>
      </w:r>
      <w:r w:rsidRPr="000518F3">
        <w:rPr>
          <w:snapToGrid w:val="0"/>
          <w:lang w:eastAsia="en-US"/>
        </w:rPr>
        <w:tab/>
        <w:t xml:space="preserve">subliniază importanța unor reforme suplimentare în domeniul controlului financiar, inclusiv îmbunătățirea performanței de monitorizare de către Serviciul de Audit de Stat </w:t>
      </w:r>
      <w:r w:rsidRPr="000518F3">
        <w:rPr>
          <w:snapToGrid w:val="0"/>
          <w:lang w:eastAsia="en-US"/>
        </w:rPr>
        <w:lastRenderedPageBreak/>
        <w:t>și implementarea corespunzătoare a reformei Curții de Conturi, pentru a proteja cheltuielile naționale;</w:t>
      </w:r>
    </w:p>
    <w:p w14:paraId="586D498A"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36.</w:t>
      </w:r>
      <w:r w:rsidRPr="000518F3">
        <w:rPr>
          <w:snapToGrid w:val="0"/>
          <w:lang w:eastAsia="en-US"/>
        </w:rPr>
        <w:tab/>
        <w:t xml:space="preserve">ia act de constatările </w:t>
      </w:r>
      <w:proofErr w:type="spellStart"/>
      <w:r w:rsidRPr="000518F3">
        <w:rPr>
          <w:snapToGrid w:val="0"/>
          <w:lang w:eastAsia="en-US"/>
        </w:rPr>
        <w:t>addendumului</w:t>
      </w:r>
      <w:proofErr w:type="spellEnd"/>
      <w:r w:rsidRPr="000518F3">
        <w:rPr>
          <w:snapToGrid w:val="0"/>
          <w:lang w:eastAsia="en-US"/>
        </w:rPr>
        <w:t xml:space="preserve"> din 22 noiembrie 2024 la cel de-al doilea raport de conformitate adoptat de Grupul de state împotriva corupției al Consiliului Europei, potrivit cărora Ucraina a pus în aplicare în mod satisfăcător sau a tratat în mod satisfăcător 18 din cele 31 de recomandări cuprinse în raportul respectiv; încurajează Ucraina să pună pe deplin în aplicare recomandările rămase, în special prin introducerea unui sistem de repartizare aleatorie a cauzelor către procurori, prin clarificarea definițiilor abaterilor disciplinare și prin extinderea gamei de sancțiuni disciplinare pentru a asigura proporționalitatea și eficacitatea, ținând seama de circumstanțele specifice ale Ucrainei;</w:t>
      </w:r>
    </w:p>
    <w:p w14:paraId="73AB0F84"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37.</w:t>
      </w:r>
      <w:r w:rsidRPr="000518F3">
        <w:rPr>
          <w:snapToGrid w:val="0"/>
          <w:lang w:eastAsia="en-US"/>
        </w:rPr>
        <w:tab/>
        <w:t>îndeamnă Ucraina să acorde prioritate consolidării statului de drept, reformei judiciare și luptei împotriva corupției și solicită UE și statelor membre să își intensifice sprijinul pentru aceste eforturi, deoarece progresele în aceste domenii sunt esențiale nu numai pentru aderarea la UE, ci și pentru reconstrucția cu succes și încrederea economică; recomandă adoptarea unei legi solide privind protecția avertizorilor, în conformitate cu acquis-</w:t>
      </w:r>
      <w:proofErr w:type="spellStart"/>
      <w:r w:rsidRPr="000518F3">
        <w:rPr>
          <w:snapToGrid w:val="0"/>
          <w:lang w:eastAsia="en-US"/>
        </w:rPr>
        <w:t>ul</w:t>
      </w:r>
      <w:proofErr w:type="spellEnd"/>
      <w:r w:rsidRPr="000518F3">
        <w:rPr>
          <w:snapToGrid w:val="0"/>
          <w:lang w:eastAsia="en-US"/>
        </w:rPr>
        <w:t xml:space="preserve"> UE; ia act de faptul că actualul cadru de politică anticorupție al Ucrainei expiră în 2025 și subliniază necesitatea unui program de stat anticorupție reînnoit, care să reflecte contribuția societății civile și să stabilească obiective ambițioase, criterii măsurabile și termene clare;</w:t>
      </w:r>
    </w:p>
    <w:p w14:paraId="047F39BC"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38.</w:t>
      </w:r>
      <w:r w:rsidRPr="000518F3">
        <w:rPr>
          <w:snapToGrid w:val="0"/>
          <w:lang w:eastAsia="en-US"/>
        </w:rPr>
        <w:tab/>
        <w:t>invită Comisia să includă Ucraina în setul de instrumente al UE privind statul de drept pentru a consolida punerea în aplicare a reformelor democratice înainte de aderare; încurajează consolidarea capacității autorităților de aplicare a legii pentru anchetele financiare prin elaborarea de orientări metodologice și clarificarea responsabilităților, inclusiv prin răspunsuri mai bune la sistemele infracționale, cum ar fi utilizarea „cărăușilor de bani”;</w:t>
      </w:r>
    </w:p>
    <w:p w14:paraId="1FD6A1AA" w14:textId="77777777" w:rsidR="000518F3" w:rsidRPr="000518F3" w:rsidRDefault="000518F3" w:rsidP="000518F3">
      <w:pPr>
        <w:spacing w:before="120" w:after="120"/>
        <w:ind w:left="567" w:hanging="567"/>
        <w:rPr>
          <w:bCs/>
          <w:iCs/>
        </w:rPr>
      </w:pPr>
      <w:r w:rsidRPr="000518F3">
        <w:t>39.</w:t>
      </w:r>
      <w:r w:rsidRPr="000518F3">
        <w:tab/>
        <w:t xml:space="preserve">ia act de faptul că războiul de agresiune al Rusiei exercită o presiune imensă asupra sistemului judiciar din Ucraina, inclusiv ca urmare a volumului mare de cazuri de „colaborare”; solicită, în acest sens, aplicarea atentă a legislației privind „colaborarea”, garantând drepturile fundamentale și echitatea judiciară, și încurajează o abordare unificată a urmăririi penale, bazată pe claritate juridică și rigoare </w:t>
      </w:r>
      <w:proofErr w:type="spellStart"/>
      <w:r w:rsidRPr="000518F3">
        <w:t>factuală</w:t>
      </w:r>
      <w:proofErr w:type="spellEnd"/>
      <w:r w:rsidRPr="000518F3">
        <w:t>, esențială pentru reintegrarea teritoriilor eliberate; încurajează, în acest sens, autoritățile ucrainene să acorde prioritate urmăririlor penale în funcție de gravitatea și relevanța lor pentru securitatea statului, în conformitate cu cea de a patra Convenție de la Geneva; solicită îmbunătățirea transparenței și a accesului public la datele privind astfel de urmăriri penale;</w:t>
      </w:r>
    </w:p>
    <w:p w14:paraId="0804AB5C" w14:textId="77777777" w:rsidR="000518F3" w:rsidRPr="000518F3" w:rsidRDefault="000518F3" w:rsidP="000518F3">
      <w:pPr>
        <w:spacing w:before="120" w:after="120"/>
        <w:ind w:left="567" w:hanging="567"/>
        <w:rPr>
          <w:bCs/>
          <w:iCs/>
        </w:rPr>
      </w:pPr>
      <w:r w:rsidRPr="000518F3">
        <w:t>40.</w:t>
      </w:r>
      <w:r w:rsidRPr="000518F3">
        <w:tab/>
        <w:t xml:space="preserve">îndeamnă Ucraina să reglementeze activele virtuale prin adoptarea unei legislații cuprinzătoare, desemnarea unei autorități de supraveghere, efectuarea unei evaluări a riscurilor și sprijinirea depistării infracțiunilor financiare care implică active virtuale; salută, în acest sens, adoptarea recentă de către Rada Supremă a proiectului de lege nr. 11290 și îndeamnă la adoptarea proiectului de lege nr. 12207, care, printre altele, introduce sisteme europene de certificare a securității cibernetice și vizează alinierea legislației ucrainene la standardele UE; </w:t>
      </w:r>
    </w:p>
    <w:p w14:paraId="362EAF88" w14:textId="77777777" w:rsidR="000518F3" w:rsidRPr="000518F3" w:rsidRDefault="000518F3" w:rsidP="000518F3">
      <w:pPr>
        <w:spacing w:before="120" w:after="120"/>
        <w:rPr>
          <w:snapToGrid w:val="0"/>
          <w:lang w:eastAsia="en-US"/>
        </w:rPr>
      </w:pPr>
      <w:r w:rsidRPr="000518F3">
        <w:rPr>
          <w:b/>
          <w:i/>
          <w:snapToGrid w:val="0"/>
          <w:lang w:eastAsia="en-US"/>
        </w:rPr>
        <w:t>Libertățile fundamentale și drepturile omului</w:t>
      </w:r>
    </w:p>
    <w:p w14:paraId="3810B658"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41.</w:t>
      </w:r>
      <w:r w:rsidRPr="000518F3">
        <w:rPr>
          <w:snapToGrid w:val="0"/>
          <w:lang w:eastAsia="en-US"/>
        </w:rPr>
        <w:tab/>
        <w:t xml:space="preserve">salută angajamentul Ucrainei de a respecta drepturile fundamentale, în contextul și în pofida războiului de agresiune desfășurat în prezent de Rusia; subliniază rolul esențial al societății civile în procesul de reformă și în procesul de aderare la UE; subliniază necesitatea de a menține un mediu sigur, favorabil și participativ pentru organizațiile </w:t>
      </w:r>
      <w:r w:rsidRPr="000518F3">
        <w:rPr>
          <w:snapToGrid w:val="0"/>
          <w:lang w:eastAsia="en-US"/>
        </w:rPr>
        <w:lastRenderedPageBreak/>
        <w:t>societății civile, inclusiv pentru apărătorii drepturilor omului și activiști; solicită actualizarea urgentă a strategiei naționale privind drepturile omului și un plan cuprinzător de punere în aplicare; încurajează un dialog civil semnificativ în toate domeniile vieții publice și politice și îndeamnă la menținerea unității politice în jurul traiectoriei europene a Ucrainei; încurajează alinierea legislației care definește mandatul Ombudsmanului Ucrainei la acquis-</w:t>
      </w:r>
      <w:proofErr w:type="spellStart"/>
      <w:r w:rsidRPr="000518F3">
        <w:rPr>
          <w:snapToGrid w:val="0"/>
          <w:lang w:eastAsia="en-US"/>
        </w:rPr>
        <w:t>ul</w:t>
      </w:r>
      <w:proofErr w:type="spellEnd"/>
      <w:r w:rsidRPr="000518F3">
        <w:rPr>
          <w:snapToGrid w:val="0"/>
          <w:lang w:eastAsia="en-US"/>
        </w:rPr>
        <w:t xml:space="preserve"> UE;</w:t>
      </w:r>
    </w:p>
    <w:p w14:paraId="743021D0"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42.</w:t>
      </w:r>
      <w:r w:rsidRPr="000518F3">
        <w:rPr>
          <w:snapToGrid w:val="0"/>
          <w:lang w:eastAsia="en-US"/>
        </w:rPr>
        <w:tab/>
        <w:t>recunoaște provocările legate de menținerea pluralismului mass-mediei în condiții de război, inclusiv prăbușirea pieței, constrângerile în materie de securitate și deficitul de resurse umane; consideră că spațiul informațional dinamic și libertatea mass-mediei din Ucraina constituie unul dintre punctele forte esențiale ale țării în ceea ce privește contracararea invaziei ruse și a propagandei sale; solicită ca furnizorilor de servicii mass-media să le fie restabilite integral, ca principiu de politică, transmisiunile de radiodifuziune și televiziune pe teritoriul țării, și respinge ferm un nou viraj către cenzura politică, aplicându-se totodată restricțiile necesare pe timp de război;</w:t>
      </w:r>
    </w:p>
    <w:p w14:paraId="758E0C3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43.</w:t>
      </w:r>
      <w:r w:rsidRPr="000518F3">
        <w:rPr>
          <w:snapToGrid w:val="0"/>
          <w:lang w:eastAsia="en-US"/>
        </w:rPr>
        <w:tab/>
        <w:t>salută activitatea curajoasă a apărătorilor drepturilor omului și a jurnaliștilor ucraineni care documentează încălcările drepturilor omului în regiunile ocupate temporar; recunoaște poziția strategică a Ucrainei în avangarda războiului informațional și salută implicarea sa în inițiative europene, cum ar fi Scutul pentru democrație și angajamentele comune de securitate pentru a contracara acțiunile străine de manipulare a informațiilor și ingerințele străine (FIMI); recunoaște că Ucraina este un partener-cheie al UE în lupta împotriva acțiunilor străine de manipulare a informațiilor și ingerințelor străine și îndeamnă UE și statele sale membre să intensifice lupta împotriva dezinformării și a amenințărilor hibride rusești; solicită promovarea alfabetizării digitale, punerea în aplicare a Regulamentului privind serviciile digitale pe platformele de comunicare socială și consolidarea propriilor comunicări strategice ale UE pentru a contracara ingerințele Rusiei și pentru a face public în mod clar sprijinul substanțial al UE pentru Ucraina;</w:t>
      </w:r>
    </w:p>
    <w:p w14:paraId="65778A4C"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44.</w:t>
      </w:r>
      <w:r w:rsidRPr="000518F3">
        <w:rPr>
          <w:snapToGrid w:val="0"/>
          <w:lang w:eastAsia="en-US"/>
        </w:rPr>
        <w:tab/>
        <w:t>salută inițiativele legislative de promovare a egalității pentru persoanele LGBTQI+ și alte grupuri marginalizate, în special proiectele de lege 5488 (infracțiuni motivate de ură), 12252 (parteneriate civile) și 9103 (parteneriate înregistrate); solicită adoptarea promptă a acestor legi pentru a asigura respectarea standardelor Curții Europene a Drepturilor Omului; solicită adoptarea unei noi legi privind combaterea discriminării, care să acopere orientarea sexuală, identitatea de gen și dizabilitățile, precum și consolidarea în continuare a cadrului juridic de combatere a discriminării din Ucraina;</w:t>
      </w:r>
    </w:p>
    <w:p w14:paraId="36016A3D"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45.</w:t>
      </w:r>
      <w:r w:rsidRPr="000518F3">
        <w:rPr>
          <w:snapToGrid w:val="0"/>
          <w:lang w:eastAsia="en-US"/>
        </w:rPr>
        <w:tab/>
        <w:t>salută modificările din iulie 2024 la Legea privind minoritățile naționale care introduc parcursuri de educație bilingvă și încurajează punerea rapidă în aplicare a acestor reforme printr-o finanțare adecvată și prin formarea cadrelor didactice; salută crearea Consiliului minorităților naționale și adoptarea Planului de acțiune pentru protecția drepturilor minorităților naționale până în 2027, care vizează alinierea legislației la standardele europene; solicită un dialog structurat și substanțial cu comunitățile minoritare și punerea în aplicare deplină a recomandărilor Comisiei de la Veneția;</w:t>
      </w:r>
    </w:p>
    <w:p w14:paraId="6F557DD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46.</w:t>
      </w:r>
      <w:r w:rsidRPr="000518F3">
        <w:rPr>
          <w:snapToGrid w:val="0"/>
          <w:lang w:eastAsia="en-US"/>
        </w:rPr>
        <w:tab/>
        <w:t xml:space="preserve">laudă capacitatea Ucrainei de a asigura continuitatea și reforma educației, în special prin intermediul instrumentelor digitale, al programelor sprijinite de UE și al dezvoltării unei infrastructuri publice </w:t>
      </w:r>
      <w:proofErr w:type="spellStart"/>
      <w:r w:rsidRPr="000518F3">
        <w:rPr>
          <w:snapToGrid w:val="0"/>
          <w:lang w:eastAsia="en-US"/>
        </w:rPr>
        <w:t>reziliente</w:t>
      </w:r>
      <w:proofErr w:type="spellEnd"/>
      <w:r w:rsidRPr="000518F3">
        <w:rPr>
          <w:snapToGrid w:val="0"/>
          <w:lang w:eastAsia="en-US"/>
        </w:rPr>
        <w:t>; încurajează Comisia să extindă sprijinul pentru studenții și instituțiile ucrainene în cadrul programelor Erasmus+, Orizont Europa și EU4Youth;</w:t>
      </w:r>
    </w:p>
    <w:p w14:paraId="3DC8F56C" w14:textId="77777777" w:rsidR="000518F3" w:rsidRPr="000518F3" w:rsidRDefault="000518F3" w:rsidP="000518F3">
      <w:pPr>
        <w:spacing w:before="120" w:after="120"/>
        <w:ind w:left="567" w:hanging="567"/>
        <w:rPr>
          <w:bCs/>
          <w:iCs/>
        </w:rPr>
      </w:pPr>
      <w:r w:rsidRPr="000518F3">
        <w:t>47.</w:t>
      </w:r>
      <w:r w:rsidRPr="000518F3">
        <w:tab/>
        <w:t xml:space="preserve">salută ratificarea de către Ucraina a Convenției de la Istanbul și instituirea de centre de sprijin pentru supraviețuitori; încurajează Ucraina să ofere finanțare susținută pentru prevenirea violenței de gen și pentru sprijinirea victimelor, în special având în vedere riscurile sporite din timpul războiului; încurajează Ucraina să îmbunătățească Legea </w:t>
      </w:r>
      <w:r w:rsidRPr="000518F3">
        <w:lastRenderedPageBreak/>
        <w:t>privind principiile prevenirii și combaterii discriminării în Ucraina și Codul penal al Ucrainei privind infracțiunile motivate de ură, în conformitate cu standardele internaționale, și să introducă modificările legislative necesare pentru punerea în aplicare a Convenției de la Istanbul;</w:t>
      </w:r>
    </w:p>
    <w:p w14:paraId="617C0E1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48.</w:t>
      </w:r>
      <w:r w:rsidRPr="000518F3">
        <w:rPr>
          <w:snapToGrid w:val="0"/>
          <w:lang w:eastAsia="en-US"/>
        </w:rPr>
        <w:tab/>
        <w:t xml:space="preserve">recunoaște riscurile crescute ale traficului de persoane, în special pentru femei și copii, în contexte de conflict și </w:t>
      </w:r>
      <w:proofErr w:type="spellStart"/>
      <w:r w:rsidRPr="000518F3">
        <w:rPr>
          <w:snapToGrid w:val="0"/>
          <w:lang w:eastAsia="en-US"/>
        </w:rPr>
        <w:t>postconflict</w:t>
      </w:r>
      <w:proofErr w:type="spellEnd"/>
      <w:r w:rsidRPr="000518F3">
        <w:rPr>
          <w:snapToGrid w:val="0"/>
          <w:lang w:eastAsia="en-US"/>
        </w:rPr>
        <w:t>; invită autoritățile ucrainene, cu sprijinul UE, să consolideze mecanismele de detectare și să colaboreze cu societatea civilă pentru a asigura protecția și reabilitarea victimelor, în conformitate cu Directiva UE privind combaterea traficului de persoane</w:t>
      </w:r>
      <w:r w:rsidRPr="000518F3">
        <w:rPr>
          <w:snapToGrid w:val="0"/>
          <w:vertAlign w:val="superscript"/>
          <w:lang w:eastAsia="en-US"/>
        </w:rPr>
        <w:footnoteReference w:id="3"/>
      </w:r>
      <w:r w:rsidRPr="000518F3">
        <w:rPr>
          <w:snapToGrid w:val="0"/>
          <w:lang w:eastAsia="en-US"/>
        </w:rPr>
        <w:t>;</w:t>
      </w:r>
    </w:p>
    <w:p w14:paraId="6F36859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49.</w:t>
      </w:r>
      <w:r w:rsidRPr="000518F3">
        <w:rPr>
          <w:snapToGrid w:val="0"/>
          <w:lang w:eastAsia="en-US"/>
        </w:rPr>
        <w:tab/>
        <w:t>sprijină consolidarea asistenței oferite de UE Ucrainei în domeniul reabilitării fizice și al îngrijirii protetice, în special pentru soldații răniți, victimele minelor și persoanele care au suferit amputări; subliniază importanța dezvoltării unui sistem național de protezare și reabilitare cu sprijinul UE și al statelor membre; încurajează parteneriatele cu instituțiile medicale europene pentru a extinde capacitatea, formarea și accesul la echipamente moderne;</w:t>
      </w:r>
    </w:p>
    <w:p w14:paraId="19AFD2E4" w14:textId="77777777" w:rsidR="000518F3" w:rsidRPr="000518F3" w:rsidRDefault="000518F3" w:rsidP="000518F3">
      <w:pPr>
        <w:spacing w:before="120" w:after="120"/>
        <w:ind w:left="567" w:hanging="567"/>
      </w:pPr>
      <w:r w:rsidRPr="000518F3">
        <w:t>50.</w:t>
      </w:r>
      <w:r w:rsidRPr="000518F3">
        <w:tab/>
        <w:t xml:space="preserve">ia act de adoptarea legii care va permite parohiilor ortodoxe din Ucraina să se </w:t>
      </w:r>
      <w:proofErr w:type="spellStart"/>
      <w:r w:rsidRPr="000518F3">
        <w:t>dezafilieze</w:t>
      </w:r>
      <w:proofErr w:type="spellEnd"/>
      <w:r w:rsidRPr="000518F3">
        <w:t xml:space="preserve"> de la jurisdicția Patriarhiei Moscovei și să decidă liber asupra noii lor afilieri ierarhice; condamnă însușirea și îndepărtarea ilegală de către forțele ruse a unor bunuri din patrimoniul cultural din teritoriile ucrainene ocupate temporar; îndeamnă la respectarea patrimoniului religios și cultural din zonele ocupate temporar, inclusiv din cele 485 de situri, lăcașuri de cult și locuri sacre deja distruse; subliniază responsabilitatea tuturor părților de a proteja patrimoniul cultural în conformitate cu convențiile internaționale;</w:t>
      </w:r>
    </w:p>
    <w:p w14:paraId="093A3100" w14:textId="77777777" w:rsidR="000518F3" w:rsidRPr="000518F3" w:rsidRDefault="000518F3" w:rsidP="000518F3">
      <w:pPr>
        <w:spacing w:before="120" w:after="120"/>
        <w:ind w:left="567" w:hanging="567"/>
        <w:rPr>
          <w:bCs/>
          <w:iCs/>
        </w:rPr>
      </w:pPr>
      <w:r w:rsidRPr="000518F3">
        <w:t>51.</w:t>
      </w:r>
      <w:r w:rsidRPr="000518F3">
        <w:tab/>
        <w:t>invită Ucraina să continue apropierea standardelor de muncă, în special în ceea ce privește libertatea de întrunire și dialogul social, și încurajează Ucraina să își alinieze în continuare legislația națională în domeniul social și al muncii la standardele UE, în special în domeniul ocupării forței de muncă, al politicii sociale și al egalității de șanse; solicită Comisiei să ofere sprijin suplimentar pentru a intensifica aceste progrese; subliniază necesitatea unor consultări ample cu sindicatele și cu societatea civilă și recomandă valorificarea expertizei Organizației Internaționale a Muncii în acest domeniu;</w:t>
      </w:r>
    </w:p>
    <w:p w14:paraId="18767B02" w14:textId="77777777" w:rsidR="000518F3" w:rsidRPr="000518F3" w:rsidRDefault="000518F3" w:rsidP="000518F3">
      <w:pPr>
        <w:spacing w:before="120" w:after="120"/>
        <w:rPr>
          <w:snapToGrid w:val="0"/>
          <w:lang w:eastAsia="en-US"/>
        </w:rPr>
      </w:pPr>
      <w:r w:rsidRPr="000518F3">
        <w:rPr>
          <w:b/>
          <w:i/>
          <w:snapToGrid w:val="0"/>
          <w:lang w:eastAsia="en-US"/>
        </w:rPr>
        <w:t>Cooperarea regională și relațiile de bună vecinătate</w:t>
      </w:r>
    </w:p>
    <w:p w14:paraId="1459C370" w14:textId="77777777" w:rsidR="000518F3" w:rsidRPr="000518F3" w:rsidRDefault="000518F3" w:rsidP="000518F3">
      <w:pPr>
        <w:spacing w:before="120" w:after="120"/>
        <w:ind w:left="567" w:hanging="567"/>
      </w:pPr>
      <w:r w:rsidRPr="000518F3">
        <w:t>52.</w:t>
      </w:r>
      <w:r w:rsidRPr="000518F3">
        <w:tab/>
        <w:t>salută participarea activă a Ucrainei la inițiativele regionale, cum ar fi rolul său de lider în Forumul societății civile al Parteneriatului estic și coordonarea proiectelor transfrontaliere cu statele membre ale UE;</w:t>
      </w:r>
    </w:p>
    <w:p w14:paraId="52AB4CA5" w14:textId="77777777" w:rsidR="000518F3" w:rsidRPr="000518F3" w:rsidRDefault="000518F3" w:rsidP="000518F3">
      <w:pPr>
        <w:spacing w:before="120" w:after="120"/>
        <w:ind w:left="567" w:hanging="567"/>
        <w:rPr>
          <w:bCs/>
          <w:iCs/>
        </w:rPr>
      </w:pPr>
      <w:r w:rsidRPr="000518F3">
        <w:t>53.</w:t>
      </w:r>
      <w:r w:rsidRPr="000518F3">
        <w:tab/>
        <w:t>salută recenta Comunicare comună a Comisiei și a Înaltei Reprezentante a Uniunii pentru afaceri externe și politica de securitate intitulată „Abordarea strategică a Uniunii Europene pentru regiunea Mării Negre”</w:t>
      </w:r>
      <w:r w:rsidRPr="000518F3">
        <w:rPr>
          <w:bCs/>
          <w:iCs/>
          <w:vertAlign w:val="superscript"/>
        </w:rPr>
        <w:footnoteReference w:id="4"/>
      </w:r>
      <w:r w:rsidRPr="000518F3">
        <w:t xml:space="preserve"> și, în special, oportunitățile Ucrainei de a contribui în mod semnificativ în acest cadru; încurajează participarea activă continuă a Ucrainei la Parteneriatul estic și la Adunarea Parlamentară </w:t>
      </w:r>
      <w:proofErr w:type="spellStart"/>
      <w:r w:rsidRPr="000518F3">
        <w:t>Euronest</w:t>
      </w:r>
      <w:proofErr w:type="spellEnd"/>
      <w:r w:rsidRPr="000518F3">
        <w:t xml:space="preserve"> în calitate de „lider </w:t>
      </w:r>
      <w:r w:rsidRPr="000518F3">
        <w:lastRenderedPageBreak/>
        <w:t>al integrării” care promovează valorile și reformele europene în întreaga regiune;</w:t>
      </w:r>
    </w:p>
    <w:p w14:paraId="10A82F2F"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54.</w:t>
      </w:r>
      <w:r w:rsidRPr="000518F3">
        <w:rPr>
          <w:snapToGrid w:val="0"/>
          <w:lang w:eastAsia="en-US"/>
        </w:rPr>
        <w:tab/>
        <w:t xml:space="preserve">salută și încurajează orice încercare a Ucrainei și a statelor membre ale UE de a rezolva aspecte nesoluționate legate de relațiile istorice bilaterale și regionale, de exemplu masacrul de la </w:t>
      </w:r>
      <w:proofErr w:type="spellStart"/>
      <w:r w:rsidRPr="000518F3">
        <w:rPr>
          <w:snapToGrid w:val="0"/>
          <w:lang w:eastAsia="en-US"/>
        </w:rPr>
        <w:t>Volînia</w:t>
      </w:r>
      <w:proofErr w:type="spellEnd"/>
      <w:r w:rsidRPr="000518F3">
        <w:rPr>
          <w:snapToGrid w:val="0"/>
          <w:lang w:eastAsia="en-US"/>
        </w:rPr>
        <w:t>, în spiritul unei reconcilieri reale și sincere și cu respectarea valorilor UE privind demnitatea umană și relațiile de bună vecinătate, precum și o evaluare critică a evenimentelor istorice; consideră că, cu bunăvoință din partea tuturor părților implicate, un proces de reconciliere care necesită multă răbdare va fi abordat constructiv, urmărind înțelegerea reciprocă; salută, în acest context, discuțiile care au loc în prezent între autoritățile poloneze și ucrainene, care au condus la reluarea în aprilie 2025 a excavării gropilor comune în care au fost îngropați cetățeni polonezi pe teritoriul Ucrainei; speră ca procesul să continue, cu scopul clar de a asigura o înmormântare demnă a victimelor și comemorarea acestora;</w:t>
      </w:r>
    </w:p>
    <w:p w14:paraId="1F26DE5D" w14:textId="77777777" w:rsidR="000518F3" w:rsidRPr="000518F3" w:rsidRDefault="000518F3" w:rsidP="000518F3">
      <w:pPr>
        <w:spacing w:before="120" w:after="120"/>
        <w:ind w:left="567" w:hanging="567"/>
      </w:pPr>
      <w:r w:rsidRPr="000518F3">
        <w:t xml:space="preserve">55. </w:t>
      </w:r>
      <w:r w:rsidRPr="000518F3">
        <w:tab/>
        <w:t xml:space="preserve">este profund îngrijorat cu privire la recenta descoperire a activităților de colectare de informații ale agențiilor de securitate ungare în regiunea </w:t>
      </w:r>
      <w:proofErr w:type="spellStart"/>
      <w:r w:rsidRPr="000518F3">
        <w:t>Transcarpatia</w:t>
      </w:r>
      <w:proofErr w:type="spellEnd"/>
      <w:r w:rsidRPr="000518F3">
        <w:t xml:space="preserve"> din sud-vestul Ucrainei; își exprimă regretul cu privire la politicile sistematice ale guvernului ungar care vizează subminarea eforturilor de autoapărare ale Ucrainei și exploatarea problemelor legate de minoritatea maghiară din Ucraina în scopuri politice, împiedicând astfel progresul Ucrainei către integrarea în UE; </w:t>
      </w:r>
    </w:p>
    <w:p w14:paraId="312D69C8" w14:textId="77777777" w:rsidR="000518F3" w:rsidRPr="000518F3" w:rsidRDefault="000518F3" w:rsidP="000518F3">
      <w:pPr>
        <w:spacing w:before="120" w:after="120"/>
        <w:rPr>
          <w:snapToGrid w:val="0"/>
          <w:lang w:eastAsia="en-US"/>
        </w:rPr>
      </w:pPr>
      <w:r w:rsidRPr="000518F3">
        <w:rPr>
          <w:b/>
          <w:i/>
          <w:snapToGrid w:val="0"/>
          <w:lang w:eastAsia="en-US"/>
        </w:rPr>
        <w:t>Reformele socioeconomice</w:t>
      </w:r>
    </w:p>
    <w:p w14:paraId="363FE8E3"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56.</w:t>
      </w:r>
      <w:r w:rsidRPr="000518F3">
        <w:rPr>
          <w:snapToGrid w:val="0"/>
          <w:lang w:eastAsia="en-US"/>
        </w:rPr>
        <w:tab/>
        <w:t>salută punerea în aplicare de către Ucraina a Planului de acțiune prioritar pentru perioada 2023-2024 și adoptarea legislației necesare pentru reformarea Biroului pentru Securitate Economică al Ucrainei, permițându-i să combată mai eficient evaziunea fiscală și criminalitatea economică;</w:t>
      </w:r>
    </w:p>
    <w:p w14:paraId="4CD60E07"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57.</w:t>
      </w:r>
      <w:r w:rsidRPr="000518F3">
        <w:rPr>
          <w:snapToGrid w:val="0"/>
          <w:lang w:eastAsia="en-US"/>
        </w:rPr>
        <w:tab/>
        <w:t>reamintește adoptarea Legii privind serviciul public local în 2023 și încurajează guvernul ucrainean să aplice o abordare sistemică a viitoarelor reforme ale administrației publice prin stabilirea unei viziuni clare și a unei strategii structurate de punere în aplicare; subliniază necesitatea consolidării capacității instituționale și administrative necesare pentru a asigura succesul și impactul pe termen lung al reformelor legate de aderare, nu doar în legislație, ci și în practică; salută adoptarea recentă de către Rada Supremă a proiectului de lege nr. 8222, care standardizează sistemul de remunerare a funcționarilor publici, cu scopul de a îmbunătăți eficiența guvernanței, aliniindu-l în același timp la standardele europene pentru gestionarea serviciului public;</w:t>
      </w:r>
    </w:p>
    <w:p w14:paraId="4AE4F9E9"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58.</w:t>
      </w:r>
      <w:r w:rsidRPr="000518F3">
        <w:rPr>
          <w:snapToGrid w:val="0"/>
          <w:lang w:eastAsia="en-US"/>
        </w:rPr>
        <w:tab/>
        <w:t>încurajează Ucraina să facă progrese în ceea ce privește aprobarea amendamentelor la Legea privind administrația de stat locală, inclusiv a proiectului de lege nr. 4298, în vederea alinierii reformelor guvernanței locale la standardele UE; solicită un cadru juridic echilibrat pentru supravegherea administrativă, care să respecte principiul proporționalității și Carta europeană a autonomiei locale, protejând în același timp competențele, prerogativele și funcțiile autonome ale autorităților locale; reamintește solicitarea sa privind conferirea formală de personalitate juridică autorităților publice locale și regionale;</w:t>
      </w:r>
    </w:p>
    <w:p w14:paraId="4D54318A"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59.</w:t>
      </w:r>
      <w:r w:rsidRPr="000518F3">
        <w:rPr>
          <w:snapToGrid w:val="0"/>
          <w:lang w:eastAsia="en-US"/>
        </w:rPr>
        <w:tab/>
        <w:t xml:space="preserve">solicită continuarea progreselor în reforma privind descentralizarea și consolidarea autoguvernării la nivel local; salută lansarea fazei a III-a a inițiativei U-LEAD, sprijinită de UE și de statele membre, axată pe consolidarea autonomiei locale și promovarea unei redresări </w:t>
      </w:r>
      <w:proofErr w:type="spellStart"/>
      <w:r w:rsidRPr="000518F3">
        <w:rPr>
          <w:snapToGrid w:val="0"/>
          <w:lang w:eastAsia="en-US"/>
        </w:rPr>
        <w:t>reziliente</w:t>
      </w:r>
      <w:proofErr w:type="spellEnd"/>
      <w:r w:rsidRPr="000518F3">
        <w:rPr>
          <w:snapToGrid w:val="0"/>
          <w:lang w:eastAsia="en-US"/>
        </w:rPr>
        <w:t xml:space="preserve"> la nivel local și regional; subliniază că este important să se garanteze că orice reforme constituționale sau instituționale viitoare, inclusiv reformele electorale și de descentralizare, sunt realizate în mod transparent, incluziv și în conformitate cu recomandările Comisiei de la Veneția;</w:t>
      </w:r>
    </w:p>
    <w:p w14:paraId="31FD696E"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lastRenderedPageBreak/>
        <w:t>60.</w:t>
      </w:r>
      <w:r w:rsidRPr="000518F3">
        <w:rPr>
          <w:snapToGrid w:val="0"/>
          <w:lang w:eastAsia="en-US"/>
        </w:rPr>
        <w:tab/>
        <w:t xml:space="preserve">salută atingerea de către Ucraina a unor jaloane esențiale și invită Ucraina să continue să înregistreze progrese în ceea ce privește punerea în aplicare a Planului pentru Ucraina, în conformitate cu Regulamentul (UE) 2024/792, respectând în același timp valorile și standardele pe care se bazează; subliniază că este necesar ca Comisia să mențină condiționalitatea, în special în ceea ce privește pilonul III al Mecanismului, pentru a asigura sustenabilitatea și responsabilitatea în procesul de reformă; subliniază că avântul puternic în punerea în aplicare a reformelor este determinat de consensul larg din societate și de </w:t>
      </w:r>
      <w:proofErr w:type="spellStart"/>
      <w:r w:rsidRPr="000518F3">
        <w:rPr>
          <w:snapToGrid w:val="0"/>
          <w:lang w:eastAsia="en-US"/>
        </w:rPr>
        <w:t>condiționalitățile</w:t>
      </w:r>
      <w:proofErr w:type="spellEnd"/>
      <w:r w:rsidRPr="000518F3">
        <w:rPr>
          <w:snapToGrid w:val="0"/>
          <w:lang w:eastAsia="en-US"/>
        </w:rPr>
        <w:t xml:space="preserve"> aferente Mecanismului pentru Ucraina;</w:t>
      </w:r>
    </w:p>
    <w:p w14:paraId="61C262D2" w14:textId="77777777" w:rsidR="000518F3" w:rsidRPr="000518F3" w:rsidRDefault="000518F3" w:rsidP="000518F3">
      <w:pPr>
        <w:spacing w:before="120" w:after="120"/>
        <w:ind w:left="567" w:hanging="567"/>
      </w:pPr>
      <w:r w:rsidRPr="000518F3">
        <w:t>61.</w:t>
      </w:r>
      <w:r w:rsidRPr="000518F3">
        <w:tab/>
        <w:t xml:space="preserve">salută sprijinul continuu acordat organizațiilor societății civile prin intermediul componentei pentru societatea civilă a Mecanismului pentru Ucraina și încurajează Ucraina să se asigure că cerințele de raportare financiară nu restricționează în mod nejustificat activitățile organizațiilor societății civile; </w:t>
      </w:r>
      <w:bookmarkStart w:id="11" w:name="_Hlk204185250"/>
      <w:r w:rsidRPr="000518F3">
        <w:t>subliniază importanța unei colaborări semnificative cu societatea civilă și cu autoritățile locale pentru a asigura punerea în aplicare efectivă și reforme de calitate în cadrul planului pentru Ucraina;</w:t>
      </w:r>
      <w:bookmarkEnd w:id="11"/>
      <w:r w:rsidRPr="000518F3">
        <w:t xml:space="preserve"> încurajează autoritățile judiciare din Ucraina să consolideze mecanismele existente, inclusiv prin acțiuni judiciare, pentru a-i proteja pe activiștii societății civile; îndeamnă Ucraina să se asigure că cerințele de raportare financiară și reglementarea beneficiarilor reali ai entităților juridice nu afectează în mod nejustificat funcționarea și independența organizațiilor societății civile; salută sprijinul continuu acordat organizațiilor societății civile prin intermediul componentei pentru societatea civilă a Mecanismului pentru Ucraina; </w:t>
      </w:r>
    </w:p>
    <w:p w14:paraId="79560587" w14:textId="77777777" w:rsidR="000518F3" w:rsidRPr="000518F3" w:rsidRDefault="000518F3" w:rsidP="000518F3">
      <w:pPr>
        <w:spacing w:before="120" w:after="120"/>
        <w:ind w:left="567" w:hanging="567"/>
        <w:rPr>
          <w:bCs/>
          <w:iCs/>
        </w:rPr>
      </w:pPr>
      <w:r w:rsidRPr="000518F3">
        <w:t>62.</w:t>
      </w:r>
      <w:r w:rsidRPr="000518F3">
        <w:tab/>
        <w:t>subliniază că reconstrucția Ucrainei trebuie să fie strâns legată de reformele sale legate de aderarea la UE și ghidată de principiile echității sociale, sustenabilității, transparenței și asumării responsabilității la nivel local; subliniază, de asemenea, că reconstrucția Ucrainei trebuie să se bazeze pe un stat de drept solid, pe o guvernanță transparentă și pe incluziunea democratică; subliniază că reforma judiciară, eforturile de combatere a corupției și îmbunătățirea administrației publice nu sunt doar condiții pentru aderarea la UE, ci sunt și fundamentale pentru atragerea investițiilor și restabilirea încrederii în rândul partenerilor și al cetățenilor Ucrainei; solicită integrarea abordărilor care iau în considerare dimensiunea de gen în toate eforturile de reconstrucție, inclusiv o mai mare reprezentare a femeilor și a minorităților în procesele decizionale; solicită guvernului ucrainean să asigure transparența în implementarea inițiativei „</w:t>
      </w:r>
      <w:proofErr w:type="spellStart"/>
      <w:r w:rsidRPr="000518F3">
        <w:t>RebuildUkraine</w:t>
      </w:r>
      <w:proofErr w:type="spellEnd"/>
      <w:r w:rsidRPr="000518F3">
        <w:t>” și cu privire la consultarea și participarea societății civile și a grupurilor vulnerabile din societate, îndeosebi în ceea ce privește respectarea drepturilor fundamentale și a statului de drept, precum și distribuirea și utilizarea nediscriminatorie a fondurilor UE;</w:t>
      </w:r>
    </w:p>
    <w:p w14:paraId="741EF3D1" w14:textId="77777777" w:rsidR="000518F3" w:rsidRPr="000518F3" w:rsidRDefault="000518F3" w:rsidP="000518F3">
      <w:pPr>
        <w:spacing w:before="120" w:after="120"/>
        <w:ind w:left="567" w:hanging="567"/>
      </w:pPr>
      <w:r w:rsidRPr="000518F3">
        <w:t>63.</w:t>
      </w:r>
      <w:r w:rsidRPr="000518F3">
        <w:tab/>
        <w:t xml:space="preserve">subliniază rolul esențial jucat de Mecanismul UE pentru Ucraina și de programul de împrumuturi cu utilizare accelerată a veniturilor extraordinare, care oferă împreună peste 30 de miliarde EUR în 2025 pentru a sprijini serviciile publice, stabilitatea macrofinanciară și agenda de reformă a Ucrainei; solicită continuarea și consolidarea sprijinului financiar pentru Ucraina în 2026 și 2027, inclusiv printr-un nou pachet de asistență macrofinanciară pentru a acoperi deficitul bugetar estimat al Ucrainei, de 39 de miliarde EUR; observă, în plus, că reziliența financiară și economică a Ucrainei rămâne o condiție prealabilă esențială pentru menținerea capacității sale defensive și a procesului de reformă; solicită, prin urmare, să se ia în considerare soluții pentru a reduce sarcina datoriei externe a Ucrainei; </w:t>
      </w:r>
    </w:p>
    <w:p w14:paraId="627C88CB" w14:textId="77777777" w:rsidR="000518F3" w:rsidRPr="000518F3" w:rsidRDefault="000518F3" w:rsidP="000518F3">
      <w:pPr>
        <w:spacing w:before="120" w:after="120"/>
        <w:ind w:left="567" w:hanging="567"/>
        <w:rPr>
          <w:bCs/>
          <w:iCs/>
        </w:rPr>
      </w:pPr>
      <w:r w:rsidRPr="000518F3">
        <w:t>64.</w:t>
      </w:r>
      <w:r w:rsidRPr="000518F3">
        <w:tab/>
        <w:t xml:space="preserve">ia act de acordul de parteneriat economic SUA-Ucraina privind mineralele critice și ia act de afirmarea de către acord a sprijinului pe termen lung al SUA pentru securitatea și reconstrucția Ucrainei și de intenția exprimată în acord de a proteja procesul de aderare a Ucrainei la UE și obligațiile conexe și de a asigura compatibilitatea cu angajamentele Ucrainei față de instituțiile financiare internaționale sau față de alți creditori oficiali; </w:t>
      </w:r>
      <w:r w:rsidRPr="000518F3">
        <w:lastRenderedPageBreak/>
        <w:t>invită Comisia să invite ambele părți să clarifice în continuare modul în care vor fi puse în aplicare dispozițiile menite să protejeze calea integrării Ucrainei în UE și să raporteze periodic cu privire la compatibilitatea lor cu dreptul Uniunii; consideră că este esențial ca exploatarea mineralelor în temeiul acestui acord să respecte pe deplin standarde sociale și ecologice înalte și să se asigure conformitatea prin mecanisme solide de control; se așteaptă, de asemenea, ca Ucraina să integreze pe deplin în cadrul său juridic național legislația relevantă a UE, inclusiv acquis-</w:t>
      </w:r>
      <w:proofErr w:type="spellStart"/>
      <w:r w:rsidRPr="000518F3">
        <w:t>ul</w:t>
      </w:r>
      <w:proofErr w:type="spellEnd"/>
      <w:r w:rsidRPr="000518F3">
        <w:t xml:space="preserve"> Uniunii în domeniul mediului, Directiva-cadru privind apa</w:t>
      </w:r>
      <w:r w:rsidRPr="000518F3">
        <w:rPr>
          <w:bCs/>
          <w:iCs/>
          <w:vertAlign w:val="superscript"/>
        </w:rPr>
        <w:footnoteReference w:id="5"/>
      </w:r>
      <w:r w:rsidRPr="000518F3">
        <w:t xml:space="preserve"> și Directiva privind gestionarea deșeurilor din industriile extractive</w:t>
      </w:r>
      <w:r w:rsidRPr="000518F3">
        <w:rPr>
          <w:bCs/>
          <w:iCs/>
          <w:vertAlign w:val="superscript"/>
        </w:rPr>
        <w:footnoteReference w:id="6"/>
      </w:r>
      <w:r w:rsidRPr="000518F3">
        <w:t>;</w:t>
      </w:r>
    </w:p>
    <w:p w14:paraId="5E98B4ED"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65.</w:t>
      </w:r>
      <w:r w:rsidRPr="000518F3">
        <w:rPr>
          <w:snapToGrid w:val="0"/>
          <w:lang w:eastAsia="en-US"/>
        </w:rPr>
        <w:tab/>
        <w:t>reamintește că extinderea UE trebuie să garanteze că aderarea nu duce la exploatarea resurselor naturale ale țărilor candidate și nici nu contribuie la inegalități sociale și la degradarea mediului;</w:t>
      </w:r>
    </w:p>
    <w:p w14:paraId="2361D87E" w14:textId="77777777" w:rsidR="000518F3" w:rsidRPr="000518F3" w:rsidRDefault="000518F3" w:rsidP="000518F3">
      <w:pPr>
        <w:spacing w:before="120" w:after="120"/>
        <w:ind w:left="567" w:hanging="567"/>
        <w:rPr>
          <w:bCs/>
          <w:iCs/>
        </w:rPr>
      </w:pPr>
      <w:r w:rsidRPr="000518F3">
        <w:t>66.</w:t>
      </w:r>
      <w:r w:rsidRPr="000518F3">
        <w:tab/>
        <w:t>salută progresele înregistrate de Ucraina în adoptarea parțială a legislației privind bunăstarea animalelor, deși cu întârzieri semnificative în ceea ce privește angajamentele asumate în temeiul Zonei de liber schimb aprofundate și cuprinzătoare; încurajează Ucraina să continue progresele în vederea adoptării Regulamentului (CE) nr. 1/2005</w:t>
      </w:r>
      <w:r w:rsidRPr="000518F3">
        <w:rPr>
          <w:bCs/>
          <w:iCs/>
          <w:vertAlign w:val="superscript"/>
        </w:rPr>
        <w:footnoteReference w:id="7"/>
      </w:r>
      <w:r w:rsidRPr="000518F3">
        <w:t xml:space="preserve"> al Consiliului privind protecția animalelor în timpul transportului, ținând seama de revizuirea în curs a acestei legislații în cadrul UE, care este esențială pentru respectarea standardelor de producție ale UE și pentru facilitarea creșterii exporturilor de produse de origine animală către UE; invită UE și statele sale membre să ofere Ucrainei asistență financiară și tehnică în acest sens;</w:t>
      </w:r>
    </w:p>
    <w:p w14:paraId="7BBB1EEE" w14:textId="77777777" w:rsidR="000518F3" w:rsidRPr="000518F3" w:rsidRDefault="000518F3" w:rsidP="000518F3">
      <w:pPr>
        <w:spacing w:before="120" w:after="120"/>
        <w:ind w:left="567" w:hanging="567"/>
        <w:rPr>
          <w:bCs/>
          <w:iCs/>
        </w:rPr>
      </w:pPr>
      <w:r w:rsidRPr="000518F3">
        <w:t>67.</w:t>
      </w:r>
      <w:r w:rsidRPr="000518F3">
        <w:tab/>
        <w:t>evidențiază reziliența și importanța sectorului agricol (19 % din PIB, 53 % din exporturile de bunuri), dar subliniază necesitatea diversificării lanțurilor valorice și avantajul adoptării rapide a standardelor fitosanitare ale UE; subliniază importanța garanțiilor de mediu în asigurarea redresării verzi a Ucrainei; solicită Comisiei să sprijine în continuare Ucraina în implementarea procedurilor de evaluare a impactului asupra mediului, în special în sectoarele silviculturii și agriculturii, precum și a procedurilor de evaluare strategică de mediu; invită, de asemenea, Comisia să sprijine în continuare Ucraina în consolidarea capacității administrative pentru punerea în aplicare deplină a acquis-ului UE în domeniul mediului, inclusiv participarea publicului la procesul decizional, și în alinierea legislației sale la Directiva privind energia din surse regenerabile</w:t>
      </w:r>
      <w:r w:rsidRPr="000518F3">
        <w:rPr>
          <w:bCs/>
          <w:iCs/>
          <w:vertAlign w:val="superscript"/>
        </w:rPr>
        <w:footnoteReference w:id="8"/>
      </w:r>
      <w:r w:rsidRPr="000518F3">
        <w:t>, în special la criteriile de sustenabilitate pentru bioenergie;</w:t>
      </w:r>
    </w:p>
    <w:p w14:paraId="549E8366"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68.</w:t>
      </w:r>
      <w:r w:rsidRPr="000518F3">
        <w:rPr>
          <w:snapToGrid w:val="0"/>
          <w:lang w:eastAsia="en-US"/>
        </w:rPr>
        <w:tab/>
        <w:t xml:space="preserve">solicită Radei Supreme și guvernului ucrainean să modifice Legea nr. 12089, care permite legalizarea dreptului de proprietate asupra terenurilor retrase ilegal din </w:t>
      </w:r>
      <w:r w:rsidRPr="000518F3">
        <w:rPr>
          <w:snapToGrid w:val="0"/>
          <w:lang w:eastAsia="en-US"/>
        </w:rPr>
        <w:lastRenderedPageBreak/>
        <w:t>domeniul public al statului, inclusiv păduri și corpuri de apă, în favoarea persoanelor fizice, întrucât aceasta nu este conformă cu acquis-</w:t>
      </w:r>
      <w:proofErr w:type="spellStart"/>
      <w:r w:rsidRPr="000518F3">
        <w:rPr>
          <w:snapToGrid w:val="0"/>
          <w:lang w:eastAsia="en-US"/>
        </w:rPr>
        <w:t>ul</w:t>
      </w:r>
      <w:proofErr w:type="spellEnd"/>
      <w:r w:rsidRPr="000518F3">
        <w:rPr>
          <w:snapToGrid w:val="0"/>
          <w:lang w:eastAsia="en-US"/>
        </w:rPr>
        <w:t xml:space="preserve"> UE, iar forma actuală a legii conține incertitudini juridice care ar face imposibilă recuperarea acestor terenuri de către stat;</w:t>
      </w:r>
    </w:p>
    <w:p w14:paraId="6023D278" w14:textId="77777777" w:rsidR="000518F3" w:rsidRPr="000518F3" w:rsidRDefault="000518F3" w:rsidP="000518F3">
      <w:pPr>
        <w:spacing w:before="120" w:after="120"/>
        <w:rPr>
          <w:snapToGrid w:val="0"/>
          <w:lang w:eastAsia="en-US"/>
        </w:rPr>
      </w:pPr>
      <w:r w:rsidRPr="000518F3">
        <w:rPr>
          <w:b/>
          <w:i/>
          <w:snapToGrid w:val="0"/>
          <w:lang w:eastAsia="en-US"/>
        </w:rPr>
        <w:t>Energia, mediul, dezvoltarea durabilă și conectivitatea</w:t>
      </w:r>
    </w:p>
    <w:p w14:paraId="594E2D71" w14:textId="77777777" w:rsidR="000518F3" w:rsidRPr="000518F3" w:rsidRDefault="000518F3" w:rsidP="000518F3">
      <w:pPr>
        <w:spacing w:before="120" w:after="120"/>
        <w:ind w:left="567" w:hanging="567"/>
        <w:rPr>
          <w:bCs/>
          <w:iCs/>
        </w:rPr>
      </w:pPr>
      <w:r w:rsidRPr="000518F3">
        <w:t>69.</w:t>
      </w:r>
      <w:r w:rsidRPr="000518F3">
        <w:tab/>
        <w:t>salută progresele substanțiale înregistrate în ceea ce privește reformele din sectorul energetic și alinierea Ucrainei la obiectivele Pactului verde european și încurajează Ucraina să nu încetinească ritmul în această privință; evidențiază necesitatea de a consolida în continuare securitatea energetică a Ucrainei prin aprofundarea integrării sale în piața energiei din UE – inclusiv prin sincronizarea rețelei electrice a Ucrainei cu Europa continentală și prin consolidarea cooperării în domeniul stocării și furnizării de gaze – precum și prin accelerarea implementării surselor regenerabile de energie și a măsurilor de eficiență energetică; subliniază că consolidarea rezilienței infrastructurii energetice critice rămâne esențială pentru stabilitatea economică și autonomia strategică a Ucrainei;</w:t>
      </w:r>
    </w:p>
    <w:p w14:paraId="27323ED0" w14:textId="77777777" w:rsidR="000518F3" w:rsidRPr="000518F3" w:rsidRDefault="000518F3" w:rsidP="000518F3">
      <w:pPr>
        <w:spacing w:before="120" w:after="120"/>
        <w:ind w:left="567" w:hanging="567"/>
        <w:rPr>
          <w:bCs/>
          <w:iCs/>
        </w:rPr>
      </w:pPr>
      <w:r w:rsidRPr="000518F3">
        <w:t>70.</w:t>
      </w:r>
      <w:r w:rsidRPr="000518F3">
        <w:tab/>
        <w:t>subliniază că Ucraina are un potențial substanțial ca furnizor de energie și de produse mari consumatoare de energie pentru restul Europei; încurajează așadar Ucraina să continue dezvoltarea interconexiunilor energetice cu statele membre învecinate și cu partenerii regionali, cum ar fi Republica Moldova, în vederea unei integrări mai aprofundate pe piața UE a energiei; recunoaște că războiul de agresiune al Rusiei a vizat și a distrus rețele și instalații importante; îndeamnă așadar Ucraina să valorifice procesul de reconstrucție pentru a reconstrui mai bine, utilizând tehnologiile și procesele cele mai favorabile climei, atunci când este posibil, investind în surse regenerabile de energie și în eficiență energetică și reducând la minimum impactul asupra mediului de-a lungul întregului lanț de producție; salută implicarea continuă a Comisiei în acest domeniu pentru a sprijini reforma sectorului energetic al Ucrainei, inclusiv reconstrucția și tranziția verde; solicită accelerarea punerii în aplicare a angajamentelor existente în cadrul Planului pentru Ucraina și al pachetelor din cadrul Comunității Energiei, inclusiv separarea societăților regionale de distribuție a energiei;</w:t>
      </w:r>
    </w:p>
    <w:p w14:paraId="4DA08794" w14:textId="77777777" w:rsidR="000518F3" w:rsidRPr="000518F3" w:rsidRDefault="000518F3" w:rsidP="000518F3">
      <w:pPr>
        <w:spacing w:before="120" w:after="120"/>
        <w:ind w:left="567" w:hanging="567"/>
        <w:rPr>
          <w:bCs/>
          <w:iCs/>
        </w:rPr>
      </w:pPr>
      <w:r w:rsidRPr="000518F3">
        <w:t>71.</w:t>
      </w:r>
      <w:r w:rsidRPr="000518F3">
        <w:tab/>
        <w:t>încurajează Ucraina să exploreze soluțiile cele mai rentabile și mai fiabile pentru sectorul său energetic, în urma atacurilor Rusiei asupra infrastructurii sale energetice, de exemplu prin înlocuirea, în măsura posibilului, având în vedere războiul în curs, a centralelor sale electrice pe bază de combustibili fosili cu tehnologii energetice descentralizate și sustenabile; invită Comisia și autoritățile ucrainene să utilizeze strategic fondurile din cadrul Mecanismului pentru Ucraina pentru a acorda prioritate investițiilor în surse regenerabile de energie, care sunt esențiale pentru a asigura securitatea energetică pe termen lung, durabilitatea mediului și reziliența economică atât în Ucraina, cât și pe restul continentului;</w:t>
      </w:r>
    </w:p>
    <w:p w14:paraId="227E26B0" w14:textId="77777777" w:rsidR="000518F3" w:rsidRPr="000518F3" w:rsidRDefault="000518F3" w:rsidP="000518F3">
      <w:pPr>
        <w:spacing w:before="120" w:after="120"/>
        <w:ind w:left="567" w:hanging="567"/>
      </w:pPr>
      <w:r w:rsidRPr="000518F3">
        <w:t>72.</w:t>
      </w:r>
      <w:r w:rsidRPr="000518F3">
        <w:tab/>
        <w:t>își exprimă profunda îngrijorare cu privire la influența negativă a Rusiei în cadrul Agenției Internaționale pentru Energie Atomică (AIEA), în pofida încălcărilor repetate ale principiilor fundamentale ale AIEA privind siguranța nucleară și neamestecul; invită UE și statele sale membre să pledeze pentru un control mai strict al rolului Rusiei în cadrul AIEA și să exploreze reforme care să garanteze că statele agresoare nu pot submina neutralitatea și credibilitatea mecanismelor internaționale de supraveghere nucleară;</w:t>
      </w:r>
    </w:p>
    <w:p w14:paraId="5C9EF352" w14:textId="77777777" w:rsidR="000518F3" w:rsidRPr="000518F3" w:rsidRDefault="000518F3" w:rsidP="000518F3">
      <w:pPr>
        <w:spacing w:before="120" w:after="120"/>
        <w:ind w:left="567" w:hanging="567"/>
        <w:rPr>
          <w:b/>
          <w:bCs/>
          <w:i/>
          <w:iCs/>
        </w:rPr>
      </w:pPr>
      <w:r w:rsidRPr="000518F3">
        <w:t>73.</w:t>
      </w:r>
      <w:r w:rsidRPr="000518F3">
        <w:tab/>
        <w:t xml:space="preserve">subliniază că războiul de agresiune al Rusiei constituie un </w:t>
      </w:r>
      <w:proofErr w:type="spellStart"/>
      <w:r w:rsidRPr="000518F3">
        <w:t>ecocid</w:t>
      </w:r>
      <w:proofErr w:type="spellEnd"/>
      <w:r w:rsidRPr="000518F3">
        <w:t xml:space="preserve"> care a provocat daune grave și de lungă durată mediului din Ucraina, inclusiv distrugerea ecosistemelor, contaminarea apei și a solului și atacarea infrastructurii industriale și energetice; consideră că recunoașterea lor internațională drept crime de război este esențială pentru </w:t>
      </w:r>
      <w:r w:rsidRPr="000518F3">
        <w:lastRenderedPageBreak/>
        <w:t>a asigura răspunderea juridică deplină a Rusiei și, în consecință, compensații pentru Ucraina și solicită ca UE să sprijine o strategie cuprinzătoare de redresare a mediului, ca parte a reconstrucției Ucrainei; invită UE și statele sale membre să sprijine pe deplin toate inițiativele care documentează distrugerea mediului cauzată de războiul Rusiei și eforturile de tragere la răspundere și de compensare în jurisdicțiile străine;</w:t>
      </w:r>
    </w:p>
    <w:p w14:paraId="58E97245"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74.</w:t>
      </w:r>
      <w:r w:rsidRPr="000518F3">
        <w:rPr>
          <w:snapToGrid w:val="0"/>
          <w:lang w:eastAsia="en-US"/>
        </w:rPr>
        <w:tab/>
        <w:t>felicită Ucraina pentru adoptarea planului său național privind energia și clima, coordonând și planificând politicile energetice și climatice până în 2030, cu obiective specifice, inclusiv o reducere semnificativă a emisiilor de gaze cu efect de seră și o pondere crescută a energiei regenerabile; sprijină eforturile depuse în prezent în cadrul fondului pentru eficiență energetică și al nou-înființatului fond pentru decarbonizare; invită UE și statele membre să asigure sustenabilitatea financiară a acestor instrumente, în special în contextul reconstrucției și integrării surselor regenerabile de energie în locuințe; încurajează Ucraina să integreze principiul tranziției juste în reformele energetice pentru a atenua impactul social și a sprijini grupurile vulnerabile;</w:t>
      </w:r>
    </w:p>
    <w:p w14:paraId="0ED1A6F9"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75.</w:t>
      </w:r>
      <w:r w:rsidRPr="000518F3">
        <w:rPr>
          <w:snapToGrid w:val="0"/>
          <w:lang w:eastAsia="en-US"/>
        </w:rPr>
        <w:tab/>
        <w:t>îndeamnă Comisia și statele membre să includă securitatea nucleară ca element central al strategiei de redresare a Ucrainei și al integrării acesteia în UE, asigurând alinierea la acquis-</w:t>
      </w:r>
      <w:proofErr w:type="spellStart"/>
      <w:r w:rsidRPr="000518F3">
        <w:rPr>
          <w:snapToGrid w:val="0"/>
          <w:lang w:eastAsia="en-US"/>
        </w:rPr>
        <w:t>ul</w:t>
      </w:r>
      <w:proofErr w:type="spellEnd"/>
      <w:r w:rsidRPr="000518F3">
        <w:rPr>
          <w:snapToGrid w:val="0"/>
          <w:lang w:eastAsia="en-US"/>
        </w:rPr>
        <w:t xml:space="preserve"> UE în domeniul energiei nucleare și al protecției împotriva radiațiilor, în conformitate cu cadrul Euratom; sprijină consolidarea capabilităților Ucrainei în materie de siguranță nucleară și de răspuns la situații de urgență radiologică ca o componentă centrală a strategiei de redresare și integrare a Ucrainei, inclusiv prin asistență tehnică și financiară din partea UE și a partenerilor internaționali; solicită instituirea unei inițiative coordonate de UE pentru consolidarea securității nucleare, protejarea infrastructurii critice și prevenirea incidentelor radiologice generate de agresiunea rusă; își exprimă profunda îngrijorare cu privire la încercările Federației Ruse de a anexa de facto infrastructura critică ucraineană, inclusiv la relatări publice credibile potrivit cărora intenționează să decupleze centrala nucleară de la </w:t>
      </w:r>
      <w:proofErr w:type="spellStart"/>
      <w:r w:rsidRPr="000518F3">
        <w:rPr>
          <w:snapToGrid w:val="0"/>
          <w:lang w:eastAsia="en-US"/>
        </w:rPr>
        <w:t>Zaporijia</w:t>
      </w:r>
      <w:proofErr w:type="spellEnd"/>
      <w:r w:rsidRPr="000518F3">
        <w:rPr>
          <w:snapToGrid w:val="0"/>
          <w:lang w:eastAsia="en-US"/>
        </w:rPr>
        <w:t xml:space="preserve"> (CNZ) de la rețeaua de energie electrică ucraineană și să o integreze forțat în sistemul energetic rus, ceea ce ar încălca suveranitatea Ucrainei și dreptul internațional și ar reprezenta un risc semnificativ pentru securitatea nucleară; cere retragerea imediată și necondiționată a întregului personal militar rus și a tuturor echipamentelor militare rusești din incinta centralei nucleare și din toate celelalte amplasamente nucleare din Ucraina și invită AIEA să se opună în mod public și fără echivoc oricăror astfel de planuri; subliniază că integritatea și reziliența infrastructurii nucleare a Ucrainei nu reprezintă exclusiv o problemă națională, ci o responsabilitate europeană comună; solicită o planificare coordonată pentru situații de urgență și o cooperare transfrontalieră sporită între statele membre ale UE pentru a răspunde potențialelor amenințări nucleare care decurg din acțiunile Rusiei în Ucraina;</w:t>
      </w:r>
    </w:p>
    <w:p w14:paraId="1BFF5322" w14:textId="77777777" w:rsidR="000518F3" w:rsidRPr="000518F3" w:rsidRDefault="000518F3" w:rsidP="000518F3">
      <w:pPr>
        <w:spacing w:before="120" w:after="120"/>
        <w:ind w:left="567" w:hanging="567"/>
      </w:pPr>
      <w:r w:rsidRPr="000518F3">
        <w:t>76.</w:t>
      </w:r>
      <w:r w:rsidRPr="000518F3">
        <w:tab/>
        <w:t xml:space="preserve">îndeamnă Ucraina să combată eficient exploatarea forestieră ilegală, în conformitate cu standardele de gestionare sustenabilă a pădurilor și de protecție a mediului, cum ar fi exploatarea forestieră ilegală în pădurile carpatice primordiale; solicită UE să contribuie la prevenirea exploatării forestiere ilegale în legătură cu proiectul ilegal al stațiunii de schi </w:t>
      </w:r>
      <w:proofErr w:type="spellStart"/>
      <w:r w:rsidRPr="000518F3">
        <w:t>Svîdiveț</w:t>
      </w:r>
      <w:proofErr w:type="spellEnd"/>
      <w:r w:rsidRPr="000518F3">
        <w:t xml:space="preserve">; încurajează Ucraina să investească în infrastructuri turistice sustenabile, sigure din punct de vedere ecologic și al protecției mediului; </w:t>
      </w:r>
    </w:p>
    <w:p w14:paraId="2D250D6E" w14:textId="77777777" w:rsidR="000518F3" w:rsidRPr="000518F3" w:rsidRDefault="000518F3" w:rsidP="000518F3">
      <w:pPr>
        <w:spacing w:before="120" w:after="120"/>
        <w:ind w:left="567" w:hanging="567"/>
      </w:pPr>
      <w:r w:rsidRPr="000518F3">
        <w:t>77.</w:t>
      </w:r>
      <w:r w:rsidRPr="000518F3">
        <w:tab/>
        <w:t xml:space="preserve">invită Comisia să asiste Ucraina în menținerea progreselor către un grad ridicat de suficiență a Rețelei sale Smarald privind zonele de interes special pentru conservare; </w:t>
      </w:r>
    </w:p>
    <w:p w14:paraId="0180F2C8" w14:textId="77777777" w:rsidR="000518F3" w:rsidRPr="000518F3" w:rsidRDefault="000518F3" w:rsidP="000518F3">
      <w:pPr>
        <w:widowControl/>
        <w:spacing w:before="120" w:after="120"/>
        <w:ind w:left="567" w:hanging="567"/>
        <w:rPr>
          <w:snapToGrid w:val="0"/>
          <w:lang w:eastAsia="en-US"/>
        </w:rPr>
      </w:pPr>
      <w:r w:rsidRPr="000518F3">
        <w:rPr>
          <w:snapToGrid w:val="0"/>
          <w:lang w:eastAsia="en-US"/>
        </w:rPr>
        <w:t>78.</w:t>
      </w:r>
      <w:r w:rsidRPr="000518F3">
        <w:rPr>
          <w:snapToGrid w:val="0"/>
          <w:lang w:eastAsia="en-US"/>
        </w:rPr>
        <w:tab/>
        <w:t>se bucură că exporturile orientate către UE au reprezentat 63 % din totalul exporturilor în 2024, față de 42 % în 2021, ceea ce reflectă o reorientare comercială reușită;</w:t>
      </w:r>
    </w:p>
    <w:p w14:paraId="4AEE9083" w14:textId="77777777" w:rsidR="000518F3" w:rsidRPr="000518F3" w:rsidRDefault="000518F3" w:rsidP="000518F3">
      <w:pPr>
        <w:spacing w:before="120" w:after="120"/>
        <w:ind w:left="567" w:hanging="567"/>
        <w:rPr>
          <w:bCs/>
          <w:iCs/>
        </w:rPr>
      </w:pPr>
      <w:r w:rsidRPr="000518F3">
        <w:t>79.</w:t>
      </w:r>
      <w:r w:rsidRPr="000518F3">
        <w:tab/>
        <w:t xml:space="preserve">ia act de importanța strategică a dezvoltării și extinderii coridoarelor feroviare care leagă Ucraina de UE prin intermediul rețelei transeuropene de transport (TEN-T), </w:t>
      </w:r>
      <w:r w:rsidRPr="000518F3">
        <w:lastRenderedPageBreak/>
        <w:t>servind atât unor scopuri logistice civile, cât și militare, ca parte a unei strategii mai ample a infrastructurii cu dublă utilizare; încurajează continuarea eforturilor de aliniere a standardelor digitale și de transport ale Ucrainei cu cele ale UE, facilitând astfel comerțul, mobilitatea și comunicarea securizată; subliniază că îmbunătățirea conectivității va sprijini redresarea și integrarea economică a Ucrainei;</w:t>
      </w:r>
    </w:p>
    <w:p w14:paraId="3D2AD1B9" w14:textId="77777777" w:rsidR="000518F3" w:rsidRPr="000518F3" w:rsidRDefault="000518F3" w:rsidP="000518F3">
      <w:pPr>
        <w:spacing w:before="120" w:after="120"/>
        <w:ind w:left="567" w:hanging="567"/>
        <w:rPr>
          <w:bCs/>
          <w:iCs/>
        </w:rPr>
      </w:pPr>
      <w:r w:rsidRPr="000518F3">
        <w:t>80.</w:t>
      </w:r>
      <w:r w:rsidRPr="000518F3">
        <w:tab/>
        <w:t>invită Comisia și statele membre să aloce toate fondurile necesare pentru a îmbunătăți conectivitatea și reziliența transporturilor în Ucraina până în 2050, inclusiv prin actualizarea în continuare a hărților TEN-T; salută dezvoltarea și implementarea cu succes a „culoarelor de solidaritate”, care au permis Ucrainei să ocolească blocada Rusiei în Marea Neagră și să exporte o varietate de bunuri către piețele globale prin statele vecine ale UE cu care se învecinează și prin Republica Moldova; laudă faptul că, în pofida atrocităților războiului și a scăderii semnificative a producției sale de cereale, Ucraina a jucat un rol esențial în prevenirea unei crize alimentare globale, deoarece, prin intermediul programului alimentar umanitar „</w:t>
      </w:r>
      <w:proofErr w:type="spellStart"/>
      <w:r w:rsidRPr="000518F3">
        <w:t>Grain</w:t>
      </w:r>
      <w:proofErr w:type="spellEnd"/>
      <w:r w:rsidRPr="000518F3">
        <w:t xml:space="preserve"> </w:t>
      </w:r>
      <w:proofErr w:type="spellStart"/>
      <w:r w:rsidRPr="000518F3">
        <w:t>from</w:t>
      </w:r>
      <w:proofErr w:type="spellEnd"/>
      <w:r w:rsidRPr="000518F3">
        <w:t xml:space="preserve"> </w:t>
      </w:r>
      <w:proofErr w:type="spellStart"/>
      <w:r w:rsidRPr="000518F3">
        <w:t>Ukraine</w:t>
      </w:r>
      <w:proofErr w:type="spellEnd"/>
      <w:r w:rsidRPr="000518F3">
        <w:t xml:space="preserve">” (Cereale din Ucraina), lansat de președintele </w:t>
      </w:r>
      <w:proofErr w:type="spellStart"/>
      <w:r w:rsidRPr="000518F3">
        <w:t>Zelenski</w:t>
      </w:r>
      <w:proofErr w:type="spellEnd"/>
      <w:r w:rsidRPr="000518F3">
        <w:t xml:space="preserve"> în 2022, peste 170 000 de tone de grâu au fost furnizate unor țări afectate de cele mai grave crize alimentare, în special în Africa; constată că marea majoritate a exporturilor de cereale ale Ucrainei sunt destinate țărilor în curs de dezvoltare;</w:t>
      </w:r>
    </w:p>
    <w:p w14:paraId="2EBC8D3C" w14:textId="77777777" w:rsidR="000518F3" w:rsidRPr="000518F3" w:rsidRDefault="000518F3" w:rsidP="000518F3">
      <w:pPr>
        <w:spacing w:before="120" w:after="120"/>
        <w:ind w:left="567" w:hanging="567"/>
        <w:rPr>
          <w:bCs/>
          <w:iCs/>
        </w:rPr>
      </w:pPr>
      <w:r w:rsidRPr="000518F3">
        <w:t>81.</w:t>
      </w:r>
      <w:r w:rsidRPr="000518F3">
        <w:tab/>
        <w:t>recunoaște progresele înregistrate în ceea ce privește integrarea Ucrainei în inițiativele UE privind transporturile și conectivitatea digitală și subliniază importanța alinierii la acquis-</w:t>
      </w:r>
      <w:proofErr w:type="spellStart"/>
      <w:r w:rsidRPr="000518F3">
        <w:t>ul</w:t>
      </w:r>
      <w:proofErr w:type="spellEnd"/>
      <w:r w:rsidRPr="000518F3">
        <w:t xml:space="preserve"> UE în aceste domenii; remarcă, în special, măsurile luate pentru a include Ucraina în zona de roaming gratuit a UE, eliminând tarifele de roaming mobil între Ucraina și UE pentru cetățeni și întreprinderi;</w:t>
      </w:r>
    </w:p>
    <w:p w14:paraId="12830746" w14:textId="77777777" w:rsidR="000518F3" w:rsidRPr="000518F3" w:rsidRDefault="000518F3" w:rsidP="000518F3">
      <w:pPr>
        <w:spacing w:before="120" w:after="120"/>
        <w:ind w:left="567" w:hanging="567"/>
      </w:pPr>
      <w:r w:rsidRPr="000518F3">
        <w:t>82.</w:t>
      </w:r>
      <w:r w:rsidRPr="000518F3">
        <w:tab/>
        <w:t xml:space="preserve">subliniază importanța consolidării conectivității, interoperabilității și capacității sistemelor digitale și informatice dintre UE și Ucraina, în conformitate cu Acordul de asociere; solicită continuarea eforturilor de armonizare a politicilor digitale, de extindere a cooperării în materie de securitate cibernetică și de asigurare a unei infrastructuri digitale </w:t>
      </w:r>
      <w:proofErr w:type="spellStart"/>
      <w:r w:rsidRPr="000518F3">
        <w:t>reziliente</w:t>
      </w:r>
      <w:proofErr w:type="spellEnd"/>
      <w:r w:rsidRPr="000518F3">
        <w:t xml:space="preserve"> și sigure; salută, în acest sens, încheierea unui acord de lucru în decembrie 2023 între Agenția Uniunii Europene pentru Securitate Cibernetică și autoritățile ucrainene din domeniul securității cibernetice;</w:t>
      </w:r>
    </w:p>
    <w:p w14:paraId="47BABF0D" w14:textId="77777777" w:rsidR="000518F3" w:rsidRPr="000518F3" w:rsidRDefault="000518F3" w:rsidP="000518F3">
      <w:pPr>
        <w:spacing w:before="120" w:after="120"/>
        <w:ind w:left="567" w:hanging="567"/>
        <w:rPr>
          <w:b/>
          <w:bCs/>
          <w:i/>
          <w:iCs/>
        </w:rPr>
      </w:pPr>
      <w:r w:rsidRPr="000518F3">
        <w:rPr>
          <w:b/>
          <w:i/>
        </w:rPr>
        <w:t>Negocierile de aderare</w:t>
      </w:r>
    </w:p>
    <w:p w14:paraId="62403F85" w14:textId="77777777" w:rsidR="000518F3" w:rsidRPr="000518F3" w:rsidRDefault="000518F3" w:rsidP="000518F3">
      <w:pPr>
        <w:spacing w:before="120" w:after="120"/>
        <w:ind w:left="567" w:hanging="567"/>
        <w:rPr>
          <w:bCs/>
          <w:iCs/>
        </w:rPr>
      </w:pPr>
      <w:r w:rsidRPr="000518F3">
        <w:t>83.</w:t>
      </w:r>
      <w:r w:rsidRPr="000518F3">
        <w:tab/>
        <w:t xml:space="preserve">reamintește decizia Consiliului European din 14-15 decembrie 2023 de a deschide negocierile de aderare cu Ucraina, marcând un moment istoric în ceea ce privește parcursul Ucrainei către aderarea la UE; apreciază convocarea rapidă a primei conferințe interguvernamentale de aderare UE-Ucraina, la 25 iunie 2024, care a lansat oficial procesul de negociere și salută evaluarea </w:t>
      </w:r>
      <w:proofErr w:type="spellStart"/>
      <w:r w:rsidRPr="000518F3">
        <w:t>comisarei</w:t>
      </w:r>
      <w:proofErr w:type="spellEnd"/>
      <w:r w:rsidRPr="000518F3">
        <w:t xml:space="preserve"> </w:t>
      </w:r>
      <w:proofErr w:type="spellStart"/>
      <w:r w:rsidRPr="000518F3">
        <w:t>Kos</w:t>
      </w:r>
      <w:proofErr w:type="spellEnd"/>
      <w:r w:rsidRPr="000518F3">
        <w:t>, potrivit căreia toate examinările ar putea fi finalizate până în toamna anului 2025;</w:t>
      </w:r>
    </w:p>
    <w:p w14:paraId="55D1BD70" w14:textId="77777777" w:rsidR="000518F3" w:rsidRPr="000518F3" w:rsidRDefault="000518F3" w:rsidP="000518F3">
      <w:pPr>
        <w:widowControl/>
        <w:spacing w:before="120" w:after="120"/>
        <w:ind w:left="567" w:hanging="567"/>
        <w:rPr>
          <w:bCs/>
          <w:iCs/>
          <w:snapToGrid w:val="0"/>
          <w:lang w:eastAsia="en-US"/>
        </w:rPr>
      </w:pPr>
      <w:r w:rsidRPr="000518F3">
        <w:rPr>
          <w:snapToGrid w:val="0"/>
          <w:lang w:eastAsia="en-US"/>
        </w:rPr>
        <w:t>84.</w:t>
      </w:r>
      <w:r w:rsidRPr="000518F3">
        <w:rPr>
          <w:snapToGrid w:val="0"/>
          <w:lang w:eastAsia="en-US"/>
        </w:rPr>
        <w:tab/>
        <w:t>recunoaște reformele și angajamentul semnificative ale Ucrainei și recomandă, prin urmare, deschiderea rapidă de către Comisie a clusterelor de negociere cu Ucraina pentru a face progrese în cel mai rapid ritm posibil pe calea aderării la UE, sub rezerva continuării punerii în aplicare a acquis-ului UE și a finalizării reformelor pe care le-a întreprins; subliniază că negocierile de aderare ar trebui să urmeze o cale clară și transparentă, ghidate de criterii obiective și măsurabile; subliniază că acestea trebuie să includă reforme aprofundate în toate domeniile fundamentale și funcționarea unor instituții stabile care să susțină democrația, statul de drept, drepturile omului și, în special, respectarea și protecția minorităților; subliniază recomandările Comisiei pentru anul următor;</w:t>
      </w:r>
    </w:p>
    <w:p w14:paraId="6A5D4FA5" w14:textId="77777777" w:rsidR="000518F3" w:rsidRPr="000518F3" w:rsidRDefault="000518F3" w:rsidP="000518F3">
      <w:pPr>
        <w:spacing w:before="120" w:after="120"/>
        <w:ind w:left="567" w:hanging="567"/>
      </w:pPr>
      <w:r w:rsidRPr="000518F3">
        <w:t>85.</w:t>
      </w:r>
      <w:r w:rsidRPr="000518F3">
        <w:tab/>
      </w:r>
      <w:bookmarkStart w:id="12" w:name="_Hlk204187147"/>
      <w:bookmarkStart w:id="13" w:name="_Hlk204186804"/>
      <w:r w:rsidRPr="000518F3">
        <w:t xml:space="preserve">invită guvernul ungar și statele membre să acționeze cu bună-credință atunci când </w:t>
      </w:r>
      <w:r w:rsidRPr="000518F3">
        <w:lastRenderedPageBreak/>
        <w:t>soluționează orice probleme similare celor legate de Legea ucraineană privind minoritățile naționale</w:t>
      </w:r>
      <w:bookmarkStart w:id="14" w:name="_Hlk204187133"/>
      <w:bookmarkEnd w:id="12"/>
      <w:r w:rsidRPr="000518F3">
        <w:t xml:space="preserve"> și să se abțină de la utilizarea</w:t>
      </w:r>
      <w:bookmarkStart w:id="15" w:name="_Hlk204187250"/>
      <w:r w:rsidRPr="000518F3">
        <w:t xml:space="preserve"> acestor aspecte ca motiv pentru a bloca aderarea Ucrainei</w:t>
      </w:r>
      <w:bookmarkEnd w:id="14"/>
      <w:bookmarkEnd w:id="15"/>
      <w:r w:rsidRPr="000518F3">
        <w:t xml:space="preserve"> la UE; </w:t>
      </w:r>
      <w:bookmarkEnd w:id="13"/>
      <w:r w:rsidRPr="000518F3">
        <w:t>invită, prin urmare, guvernul ungar să nu mai blocheze începerea primelor clustere de negocieri și să permită Ucrainei și vecinului său Republica Moldova să continue să avanseze împreună pe calea aderării la UE;</w:t>
      </w:r>
    </w:p>
    <w:p w14:paraId="18C5649B" w14:textId="77777777" w:rsidR="000518F3" w:rsidRPr="000518F3" w:rsidRDefault="000518F3" w:rsidP="000518F3">
      <w:pPr>
        <w:tabs>
          <w:tab w:val="left" w:pos="1560"/>
        </w:tabs>
        <w:spacing w:before="120" w:after="120"/>
        <w:ind w:left="567" w:hanging="567"/>
        <w:rPr>
          <w:b/>
          <w:bCs/>
          <w:i/>
          <w:iCs/>
        </w:rPr>
      </w:pPr>
      <w:r w:rsidRPr="000518F3">
        <w:t>86.</w:t>
      </w:r>
      <w:r w:rsidRPr="000518F3">
        <w:tab/>
        <w:t>reamintește că procesul de extindere nu trebuie instrumentalizat pentru a soluționa litigiile bilaterale sau pentru a întârzia o abordare bazată pe merite și că astfel de probleme ar trebui soluționate separat de procesul de aderare și printr-un dialog constructiv și o cooperare autentică; reamintește că întârzierile excesive pe calea aderării cu drepturi depline la UE pot submina atât sprijinul public, cât și voința politică în țara candidată;</w:t>
      </w:r>
    </w:p>
    <w:p w14:paraId="67B144DB" w14:textId="77777777" w:rsidR="000518F3" w:rsidRPr="000518F3" w:rsidRDefault="000518F3" w:rsidP="000518F3">
      <w:pPr>
        <w:spacing w:before="120" w:after="120"/>
        <w:ind w:left="567" w:hanging="567"/>
        <w:rPr>
          <w:bCs/>
          <w:iCs/>
        </w:rPr>
      </w:pPr>
      <w:r w:rsidRPr="000518F3">
        <w:t>87.</w:t>
      </w:r>
      <w:r w:rsidRPr="000518F3">
        <w:tab/>
        <w:t xml:space="preserve">solicită, în pregătirea negocierilor, un sprijin continuu din partea UE, în special sub formă de asistență din partea experților pentru a compensa orice deficiențe administrative care rezultă din agresiunea în curs împotriva Ucrainei; îndeamnă, de asemenea, UE să ofere asistență tehnică, pentru a ajuta Ucraina să îndeplinească în mod eficient toate cerințele de aderare; regretă decizia guvernului SUA de a retrage finanțarea din partea Agenției Statelor Unite pentru Dezvoltare Internațională (USAID), care a afectat deja direct sprijinul din Ucraina pentru procesele de reformă critice, inclusiv cele privind statul de drept, combaterea corupției, gestionarea finanțelor publice, dezvoltarea economică, securitatea energetică și acordarea de asistență umanitară; salută eforturile Comisiei și ale partenerilor internaționali de a aborda cele mai urgente lacune rămase în urma acestei retrageri a finanțării; </w:t>
      </w:r>
    </w:p>
    <w:p w14:paraId="16AB6864" w14:textId="77777777" w:rsidR="000518F3" w:rsidRPr="000518F3" w:rsidRDefault="000518F3" w:rsidP="000518F3">
      <w:pPr>
        <w:spacing w:before="120" w:after="120"/>
        <w:ind w:left="567" w:hanging="567"/>
        <w:rPr>
          <w:bCs/>
          <w:iCs/>
        </w:rPr>
      </w:pPr>
      <w:r w:rsidRPr="000518F3">
        <w:t>88.</w:t>
      </w:r>
      <w:r w:rsidRPr="000518F3">
        <w:tab/>
        <w:t>subliniază, înainte de aderarea Ucrainei la UE, necesitatea unui sprijin sporit din partea UE pentru a accelera integrarea Ucrainei prin programe specifice de asistență financiară și tehnică și evidențiază că atât Ucraina, cât și UE ar beneficia de pe urma integrării progresive a țării în politicile și programele UE, alături de negocierile oficiale de aderare;</w:t>
      </w:r>
    </w:p>
    <w:p w14:paraId="48D08E35" w14:textId="77777777" w:rsidR="000518F3" w:rsidRPr="000518F3" w:rsidRDefault="000518F3" w:rsidP="000518F3">
      <w:pPr>
        <w:spacing w:before="120" w:after="120"/>
        <w:ind w:left="567" w:hanging="567"/>
        <w:rPr>
          <w:bCs/>
          <w:iCs/>
        </w:rPr>
      </w:pPr>
      <w:r w:rsidRPr="000518F3">
        <w:t>89.</w:t>
      </w:r>
      <w:r w:rsidRPr="000518F3">
        <w:tab/>
        <w:t xml:space="preserve">observă că complexitatea integrării Ucrainei în UE, din cauza dimensiunii sale și a războiului în curs, prezintă provocări în sectoare esențiale precum agricultura, și necesită reforme instituționale și financiare semnificative în cadrul UE pentru a se asigura că aceasta are capacitatea de a absorbi Ucraina; solicită, prin urmare, UE și statelor sale membre să abordeze în mod </w:t>
      </w:r>
      <w:proofErr w:type="spellStart"/>
      <w:r w:rsidRPr="000518F3">
        <w:t>proactiv</w:t>
      </w:r>
      <w:proofErr w:type="spellEnd"/>
      <w:r w:rsidRPr="000518F3">
        <w:t xml:space="preserve"> aceste provocări, să comunice în mod clar cetățenilor UE beneficiile integrării Ucrainei, să găsească soluții sustenabile și echitabile pentru sectoarele sensibile și să continue reformele interne necesare în paralel cu negocierile de aderare în curs; solicită Comisiei să sprijine sectoarele cele mai expuse efectelor liberalizării comerțului în contextul aderării Ucrainei; constată, în același timp, ca urmare a experienței din rundele anterioare de extindere, că ar putea fi necesare perioade de tranziție în anumite sectoare specifice în care acquis-</w:t>
      </w:r>
      <w:proofErr w:type="spellStart"/>
      <w:r w:rsidRPr="000518F3">
        <w:t>ul</w:t>
      </w:r>
      <w:proofErr w:type="spellEnd"/>
      <w:r w:rsidRPr="000518F3">
        <w:t xml:space="preserve"> nu se aplică încă integral, pentru a permite actualelor state membre să se adapteze; își reiterează apelul adresat statelor membre de a demonstra un angajament politic clar și neechivoc față de procesul de extindere și de a nu-l utiliza în mod abuziv pentru a soluționa diferende bilaterale, care ar trebui soluționate separat de procesul de aderare;</w:t>
      </w:r>
    </w:p>
    <w:p w14:paraId="03EC64D8" w14:textId="77777777" w:rsidR="000518F3" w:rsidRPr="000518F3" w:rsidRDefault="000518F3" w:rsidP="000518F3">
      <w:pPr>
        <w:spacing w:before="120" w:after="120"/>
        <w:ind w:left="567" w:hanging="567"/>
      </w:pPr>
      <w:r w:rsidRPr="000518F3">
        <w:t>90.</w:t>
      </w:r>
      <w:r w:rsidRPr="000518F3">
        <w:tab/>
        <w:t xml:space="preserve">își reiterează apelurile de a consolida capacitatea UE de a acționa prin reformarea procesului său decizional, inclusiv </w:t>
      </w:r>
      <w:bookmarkStart w:id="16" w:name="_Hlk204186408"/>
      <w:r w:rsidRPr="000518F3">
        <w:t>prin introducerea votului cu majoritate calificată în Consiliu</w:t>
      </w:r>
      <w:bookmarkEnd w:id="16"/>
      <w:r w:rsidRPr="000518F3">
        <w:t xml:space="preserve"> privind etapele intermediare ale procesului de aderare, în special privind începerea negocierilor și deschiderea și închiderea clusterelor și capitolelor de negociere individuale;</w:t>
      </w:r>
    </w:p>
    <w:p w14:paraId="1EE560ED" w14:textId="77777777" w:rsidR="000518F3" w:rsidRPr="000518F3" w:rsidRDefault="000518F3" w:rsidP="000518F3">
      <w:pPr>
        <w:spacing w:before="120" w:after="120"/>
        <w:jc w:val="center"/>
      </w:pPr>
      <w:r w:rsidRPr="000518F3">
        <w:t>°</w:t>
      </w:r>
    </w:p>
    <w:p w14:paraId="60C42F40" w14:textId="77777777" w:rsidR="000518F3" w:rsidRPr="000518F3" w:rsidRDefault="000518F3" w:rsidP="000518F3">
      <w:pPr>
        <w:spacing w:before="120" w:after="120"/>
        <w:jc w:val="center"/>
      </w:pPr>
      <w:r w:rsidRPr="000518F3">
        <w:lastRenderedPageBreak/>
        <w:t>°</w:t>
      </w:r>
      <w:r w:rsidRPr="000518F3">
        <w:tab/>
        <w:t>°</w:t>
      </w:r>
    </w:p>
    <w:p w14:paraId="61558B35" w14:textId="77777777" w:rsidR="000518F3" w:rsidRPr="000518F3" w:rsidRDefault="000518F3" w:rsidP="000518F3">
      <w:pPr>
        <w:spacing w:before="120" w:after="120"/>
        <w:ind w:left="567" w:hanging="567"/>
      </w:pPr>
      <w:r w:rsidRPr="000518F3">
        <w:t>91.</w:t>
      </w:r>
      <w:r w:rsidRPr="000518F3">
        <w:tab/>
        <w:t>încredințează Președintei sarcina de a transmite prezenta rezoluție Președintelui, Guvernului și Parlamentului Ucrainei, precum și guvernelor și parlamentelor statelor membre, Consiliului și Comisiei.</w:t>
      </w:r>
    </w:p>
    <w:p w14:paraId="3E3518DF" w14:textId="08FCED7A" w:rsidR="00E365E1" w:rsidRPr="007672CA" w:rsidRDefault="00E365E1" w:rsidP="00B15C9C">
      <w:pPr>
        <w:spacing w:before="120" w:after="120"/>
      </w:pPr>
    </w:p>
    <w:sectPr w:rsidR="00E365E1" w:rsidRPr="007672CA" w:rsidSect="007E7D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B515D" w14:textId="77777777" w:rsidR="00E041F0" w:rsidRPr="007E7D57" w:rsidRDefault="00E041F0">
      <w:r w:rsidRPr="007E7D57">
        <w:separator/>
      </w:r>
    </w:p>
  </w:endnote>
  <w:endnote w:type="continuationSeparator" w:id="0">
    <w:p w14:paraId="11F032BD" w14:textId="77777777" w:rsidR="00E041F0" w:rsidRPr="007E7D57" w:rsidRDefault="00E041F0">
      <w:r w:rsidRPr="007E7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C54A0" w14:textId="77777777" w:rsidR="00E041F0" w:rsidRPr="007E7D57" w:rsidRDefault="00E041F0">
      <w:r w:rsidRPr="007E7D57">
        <w:separator/>
      </w:r>
    </w:p>
  </w:footnote>
  <w:footnote w:type="continuationSeparator" w:id="0">
    <w:p w14:paraId="1AC3FE42" w14:textId="77777777" w:rsidR="00E041F0" w:rsidRPr="007E7D57" w:rsidRDefault="00E041F0">
      <w:r w:rsidRPr="007E7D57">
        <w:continuationSeparator/>
      </w:r>
    </w:p>
  </w:footnote>
  <w:footnote w:id="1">
    <w:p w14:paraId="29CA4BBE"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t xml:space="preserve">JO L, 2024/792, 29.2.2024, ELI: </w:t>
      </w:r>
      <w:hyperlink r:id="rId1" w:history="1">
        <w:r w:rsidRPr="00B45ADE">
          <w:rPr>
            <w:rStyle w:val="Hyperlink"/>
            <w:lang w:val="fi-FI"/>
          </w:rPr>
          <w:t>http://data.europa.eu/eli/reg/2024/792/oj</w:t>
        </w:r>
      </w:hyperlink>
      <w:r w:rsidRPr="00B45ADE">
        <w:rPr>
          <w:sz w:val="24"/>
          <w:lang w:val="fi-FI"/>
        </w:rPr>
        <w:t>.</w:t>
      </w:r>
    </w:p>
  </w:footnote>
  <w:footnote w:id="2">
    <w:p w14:paraId="50C8898B"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t xml:space="preserve">JO C, C/2025/3151, 20.6.2025, ELI: </w:t>
      </w:r>
      <w:hyperlink r:id="rId2" w:history="1">
        <w:r w:rsidRPr="00B45ADE">
          <w:rPr>
            <w:rStyle w:val="Hyperlink"/>
            <w:lang w:val="fi-FI"/>
          </w:rPr>
          <w:t>http://data.europa.eu/eli/C/2025/3151/oj</w:t>
        </w:r>
      </w:hyperlink>
      <w:r w:rsidRPr="00B45ADE">
        <w:rPr>
          <w:sz w:val="24"/>
          <w:lang w:val="fi-FI"/>
        </w:rPr>
        <w:t>.</w:t>
      </w:r>
    </w:p>
  </w:footnote>
  <w:footnote w:id="3">
    <w:p w14:paraId="38518B50"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Directiva</w:t>
      </w:r>
      <w:proofErr w:type="spellEnd"/>
      <w:r w:rsidRPr="00B45ADE">
        <w:rPr>
          <w:sz w:val="24"/>
          <w:lang w:val="fi-FI"/>
        </w:rPr>
        <w:t xml:space="preserve"> (UE) 2024/1712 a </w:t>
      </w:r>
      <w:proofErr w:type="spellStart"/>
      <w:r w:rsidRPr="00B45ADE">
        <w:rPr>
          <w:sz w:val="24"/>
          <w:lang w:val="fi-FI"/>
        </w:rPr>
        <w:t>Parlamentului</w:t>
      </w:r>
      <w:proofErr w:type="spellEnd"/>
      <w:r w:rsidRPr="00B45ADE">
        <w:rPr>
          <w:sz w:val="24"/>
          <w:lang w:val="fi-FI"/>
        </w:rPr>
        <w:t xml:space="preserve"> European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Consiliului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13 </w:t>
      </w:r>
      <w:proofErr w:type="spellStart"/>
      <w:r w:rsidRPr="00B45ADE">
        <w:rPr>
          <w:sz w:val="24"/>
          <w:lang w:val="fi-FI"/>
        </w:rPr>
        <w:t>iunie</w:t>
      </w:r>
      <w:proofErr w:type="spellEnd"/>
      <w:r w:rsidRPr="00B45ADE">
        <w:rPr>
          <w:sz w:val="24"/>
          <w:lang w:val="fi-FI"/>
        </w:rPr>
        <w:t xml:space="preserve"> 2024 de </w:t>
      </w:r>
      <w:proofErr w:type="spellStart"/>
      <w:r w:rsidRPr="00B45ADE">
        <w:rPr>
          <w:sz w:val="24"/>
          <w:lang w:val="fi-FI"/>
        </w:rPr>
        <w:t>modificare</w:t>
      </w:r>
      <w:proofErr w:type="spellEnd"/>
      <w:r w:rsidRPr="00B45ADE">
        <w:rPr>
          <w:sz w:val="24"/>
          <w:lang w:val="fi-FI"/>
        </w:rPr>
        <w:t xml:space="preserve"> a </w:t>
      </w:r>
      <w:proofErr w:type="spellStart"/>
      <w:r w:rsidRPr="00B45ADE">
        <w:rPr>
          <w:sz w:val="24"/>
          <w:lang w:val="fi-FI"/>
        </w:rPr>
        <w:t>Directivei</w:t>
      </w:r>
      <w:proofErr w:type="spellEnd"/>
      <w:r w:rsidRPr="00B45ADE">
        <w:rPr>
          <w:sz w:val="24"/>
          <w:lang w:val="fi-FI"/>
        </w:rPr>
        <w:t xml:space="preserve"> 2011/36/UE </w:t>
      </w:r>
      <w:proofErr w:type="spellStart"/>
      <w:r w:rsidRPr="00B45ADE">
        <w:rPr>
          <w:sz w:val="24"/>
          <w:lang w:val="fi-FI"/>
        </w:rPr>
        <w:t>privind</w:t>
      </w:r>
      <w:proofErr w:type="spellEnd"/>
      <w:r w:rsidRPr="00B45ADE">
        <w:rPr>
          <w:sz w:val="24"/>
          <w:lang w:val="fi-FI"/>
        </w:rPr>
        <w:t xml:space="preserve"> </w:t>
      </w:r>
      <w:proofErr w:type="spellStart"/>
      <w:r w:rsidRPr="00B45ADE">
        <w:rPr>
          <w:sz w:val="24"/>
          <w:lang w:val="fi-FI"/>
        </w:rPr>
        <w:t>prevenirea</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w:t>
      </w:r>
      <w:proofErr w:type="spellStart"/>
      <w:r w:rsidRPr="00B45ADE">
        <w:rPr>
          <w:sz w:val="24"/>
          <w:lang w:val="fi-FI"/>
        </w:rPr>
        <w:t>combaterea</w:t>
      </w:r>
      <w:proofErr w:type="spellEnd"/>
      <w:r w:rsidRPr="00B45ADE">
        <w:rPr>
          <w:sz w:val="24"/>
          <w:lang w:val="fi-FI"/>
        </w:rPr>
        <w:t xml:space="preserve"> </w:t>
      </w:r>
      <w:proofErr w:type="spellStart"/>
      <w:r w:rsidRPr="00B45ADE">
        <w:rPr>
          <w:sz w:val="24"/>
          <w:lang w:val="fi-FI"/>
        </w:rPr>
        <w:t>traficului</w:t>
      </w:r>
      <w:proofErr w:type="spellEnd"/>
      <w:r w:rsidRPr="00B45ADE">
        <w:rPr>
          <w:sz w:val="24"/>
          <w:lang w:val="fi-FI"/>
        </w:rPr>
        <w:t xml:space="preserve"> de persoane </w:t>
      </w:r>
      <w:proofErr w:type="spellStart"/>
      <w:r w:rsidRPr="00B45ADE">
        <w:rPr>
          <w:sz w:val="24"/>
          <w:lang w:val="fi-FI"/>
        </w:rPr>
        <w:t>și</w:t>
      </w:r>
      <w:proofErr w:type="spellEnd"/>
      <w:r w:rsidRPr="00B45ADE">
        <w:rPr>
          <w:sz w:val="24"/>
          <w:lang w:val="fi-FI"/>
        </w:rPr>
        <w:t xml:space="preserve"> </w:t>
      </w:r>
      <w:proofErr w:type="spellStart"/>
      <w:r w:rsidRPr="00B45ADE">
        <w:rPr>
          <w:sz w:val="24"/>
          <w:lang w:val="fi-FI"/>
        </w:rPr>
        <w:t>protejarea</w:t>
      </w:r>
      <w:proofErr w:type="spellEnd"/>
      <w:r w:rsidRPr="00B45ADE">
        <w:rPr>
          <w:sz w:val="24"/>
          <w:lang w:val="fi-FI"/>
        </w:rPr>
        <w:t xml:space="preserve"> </w:t>
      </w:r>
      <w:proofErr w:type="spellStart"/>
      <w:r w:rsidRPr="00B45ADE">
        <w:rPr>
          <w:sz w:val="24"/>
          <w:lang w:val="fi-FI"/>
        </w:rPr>
        <w:t>victimelor</w:t>
      </w:r>
      <w:proofErr w:type="spellEnd"/>
      <w:r w:rsidRPr="00B45ADE">
        <w:rPr>
          <w:sz w:val="24"/>
          <w:lang w:val="fi-FI"/>
        </w:rPr>
        <w:t xml:space="preserve"> </w:t>
      </w:r>
      <w:proofErr w:type="spellStart"/>
      <w:r w:rsidRPr="00B45ADE">
        <w:rPr>
          <w:sz w:val="24"/>
          <w:lang w:val="fi-FI"/>
        </w:rPr>
        <w:t>acestuia</w:t>
      </w:r>
      <w:proofErr w:type="spellEnd"/>
      <w:r w:rsidRPr="00B45ADE">
        <w:rPr>
          <w:sz w:val="24"/>
          <w:lang w:val="fi-FI"/>
        </w:rPr>
        <w:t xml:space="preserve"> (JO L, 2024/1712, 24.6.2024, ELI: </w:t>
      </w:r>
      <w:hyperlink r:id="rId3" w:history="1">
        <w:r w:rsidRPr="00B45ADE">
          <w:rPr>
            <w:rStyle w:val="Hyperlink"/>
            <w:lang w:val="fi-FI"/>
          </w:rPr>
          <w:t>http://data.europa.eu/eli/dir/2024/1712/oj</w:t>
        </w:r>
      </w:hyperlink>
      <w:r w:rsidRPr="00B45ADE">
        <w:rPr>
          <w:sz w:val="24"/>
          <w:lang w:val="fi-FI"/>
        </w:rPr>
        <w:t>).</w:t>
      </w:r>
    </w:p>
  </w:footnote>
  <w:footnote w:id="4">
    <w:p w14:paraId="2B5A5288"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Comunicarea</w:t>
      </w:r>
      <w:proofErr w:type="spellEnd"/>
      <w:r w:rsidRPr="00B45ADE">
        <w:rPr>
          <w:sz w:val="24"/>
          <w:lang w:val="fi-FI"/>
        </w:rPr>
        <w:t xml:space="preserve"> </w:t>
      </w:r>
      <w:proofErr w:type="spellStart"/>
      <w:r w:rsidRPr="00B45ADE">
        <w:rPr>
          <w:sz w:val="24"/>
          <w:lang w:val="fi-FI"/>
        </w:rPr>
        <w:t>comună</w:t>
      </w:r>
      <w:proofErr w:type="spellEnd"/>
      <w:r w:rsidRPr="00B45ADE">
        <w:rPr>
          <w:sz w:val="24"/>
          <w:lang w:val="fi-FI"/>
        </w:rPr>
        <w:t xml:space="preserve"> a </w:t>
      </w:r>
      <w:proofErr w:type="spellStart"/>
      <w:r w:rsidRPr="00B45ADE">
        <w:rPr>
          <w:sz w:val="24"/>
          <w:lang w:val="fi-FI"/>
        </w:rPr>
        <w:t>Comisiei</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Înaltei</w:t>
      </w:r>
      <w:proofErr w:type="spellEnd"/>
      <w:r w:rsidRPr="00B45ADE">
        <w:rPr>
          <w:sz w:val="24"/>
          <w:lang w:val="fi-FI"/>
        </w:rPr>
        <w:t xml:space="preserve"> </w:t>
      </w:r>
      <w:proofErr w:type="spellStart"/>
      <w:r w:rsidRPr="00B45ADE">
        <w:rPr>
          <w:sz w:val="24"/>
          <w:lang w:val="fi-FI"/>
        </w:rPr>
        <w:t>Reprezentante</w:t>
      </w:r>
      <w:proofErr w:type="spellEnd"/>
      <w:r w:rsidRPr="00B45ADE">
        <w:rPr>
          <w:sz w:val="24"/>
          <w:lang w:val="fi-FI"/>
        </w:rPr>
        <w:t xml:space="preserve"> a </w:t>
      </w:r>
      <w:proofErr w:type="spellStart"/>
      <w:r w:rsidRPr="00B45ADE">
        <w:rPr>
          <w:sz w:val="24"/>
          <w:lang w:val="fi-FI"/>
        </w:rPr>
        <w:t>Uniunii</w:t>
      </w:r>
      <w:proofErr w:type="spellEnd"/>
      <w:r w:rsidRPr="00B45ADE">
        <w:rPr>
          <w:sz w:val="24"/>
          <w:lang w:val="fi-FI"/>
        </w:rPr>
        <w:t xml:space="preserve"> </w:t>
      </w:r>
      <w:proofErr w:type="spellStart"/>
      <w:r w:rsidRPr="00B45ADE">
        <w:rPr>
          <w:sz w:val="24"/>
          <w:lang w:val="fi-FI"/>
        </w:rPr>
        <w:t>pentru</w:t>
      </w:r>
      <w:proofErr w:type="spellEnd"/>
      <w:r w:rsidRPr="00B45ADE">
        <w:rPr>
          <w:sz w:val="24"/>
          <w:lang w:val="fi-FI"/>
        </w:rPr>
        <w:t xml:space="preserve"> </w:t>
      </w:r>
      <w:proofErr w:type="spellStart"/>
      <w:r w:rsidRPr="00B45ADE">
        <w:rPr>
          <w:sz w:val="24"/>
          <w:lang w:val="fi-FI"/>
        </w:rPr>
        <w:t>afaceri</w:t>
      </w:r>
      <w:proofErr w:type="spellEnd"/>
      <w:r w:rsidRPr="00B45ADE">
        <w:rPr>
          <w:sz w:val="24"/>
          <w:lang w:val="fi-FI"/>
        </w:rPr>
        <w:t xml:space="preserve"> </w:t>
      </w:r>
      <w:proofErr w:type="spellStart"/>
      <w:r w:rsidRPr="00B45ADE">
        <w:rPr>
          <w:sz w:val="24"/>
          <w:lang w:val="fi-FI"/>
        </w:rPr>
        <w:t>externe</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w:t>
      </w:r>
      <w:proofErr w:type="spellStart"/>
      <w:r w:rsidRPr="00B45ADE">
        <w:rPr>
          <w:sz w:val="24"/>
          <w:lang w:val="fi-FI"/>
        </w:rPr>
        <w:t>politica</w:t>
      </w:r>
      <w:proofErr w:type="spellEnd"/>
      <w:r w:rsidRPr="00B45ADE">
        <w:rPr>
          <w:sz w:val="24"/>
          <w:lang w:val="fi-FI"/>
        </w:rPr>
        <w:t xml:space="preserve"> de </w:t>
      </w:r>
      <w:proofErr w:type="spellStart"/>
      <w:r w:rsidRPr="00B45ADE">
        <w:rPr>
          <w:sz w:val="24"/>
          <w:lang w:val="fi-FI"/>
        </w:rPr>
        <w:t>securitate</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28 </w:t>
      </w:r>
      <w:proofErr w:type="spellStart"/>
      <w:r w:rsidRPr="00B45ADE">
        <w:rPr>
          <w:sz w:val="24"/>
          <w:lang w:val="fi-FI"/>
        </w:rPr>
        <w:t>mai</w:t>
      </w:r>
      <w:proofErr w:type="spellEnd"/>
      <w:r w:rsidRPr="00B45ADE">
        <w:rPr>
          <w:sz w:val="24"/>
          <w:lang w:val="fi-FI"/>
        </w:rPr>
        <w:t xml:space="preserve"> 2025 </w:t>
      </w:r>
      <w:proofErr w:type="spellStart"/>
      <w:r w:rsidRPr="00B45ADE">
        <w:rPr>
          <w:sz w:val="24"/>
          <w:lang w:val="fi-FI"/>
        </w:rPr>
        <w:t>intitulată</w:t>
      </w:r>
      <w:proofErr w:type="spellEnd"/>
      <w:r w:rsidRPr="00B45ADE">
        <w:rPr>
          <w:sz w:val="24"/>
          <w:lang w:val="fi-FI"/>
        </w:rPr>
        <w:t xml:space="preserve"> „</w:t>
      </w:r>
      <w:proofErr w:type="spellStart"/>
      <w:r w:rsidRPr="00B45ADE">
        <w:rPr>
          <w:sz w:val="24"/>
          <w:lang w:val="fi-FI"/>
        </w:rPr>
        <w:t>Abordarea</w:t>
      </w:r>
      <w:proofErr w:type="spellEnd"/>
      <w:r w:rsidRPr="00B45ADE">
        <w:rPr>
          <w:sz w:val="24"/>
          <w:lang w:val="fi-FI"/>
        </w:rPr>
        <w:t xml:space="preserve"> </w:t>
      </w:r>
      <w:proofErr w:type="spellStart"/>
      <w:r w:rsidRPr="00B45ADE">
        <w:rPr>
          <w:sz w:val="24"/>
          <w:lang w:val="fi-FI"/>
        </w:rPr>
        <w:t>strategică</w:t>
      </w:r>
      <w:proofErr w:type="spellEnd"/>
      <w:r w:rsidRPr="00B45ADE">
        <w:rPr>
          <w:sz w:val="24"/>
          <w:lang w:val="fi-FI"/>
        </w:rPr>
        <w:t xml:space="preserve"> a </w:t>
      </w:r>
      <w:proofErr w:type="spellStart"/>
      <w:r w:rsidRPr="00B45ADE">
        <w:rPr>
          <w:sz w:val="24"/>
          <w:lang w:val="fi-FI"/>
        </w:rPr>
        <w:t>Uniunii</w:t>
      </w:r>
      <w:proofErr w:type="spellEnd"/>
      <w:r w:rsidRPr="00B45ADE">
        <w:rPr>
          <w:sz w:val="24"/>
          <w:lang w:val="fi-FI"/>
        </w:rPr>
        <w:t xml:space="preserve"> </w:t>
      </w:r>
      <w:proofErr w:type="spellStart"/>
      <w:r w:rsidRPr="00B45ADE">
        <w:rPr>
          <w:sz w:val="24"/>
          <w:lang w:val="fi-FI"/>
        </w:rPr>
        <w:t>Europene</w:t>
      </w:r>
      <w:proofErr w:type="spellEnd"/>
      <w:r w:rsidRPr="00B45ADE">
        <w:rPr>
          <w:sz w:val="24"/>
          <w:lang w:val="fi-FI"/>
        </w:rPr>
        <w:t xml:space="preserve"> </w:t>
      </w:r>
      <w:proofErr w:type="spellStart"/>
      <w:r w:rsidRPr="00B45ADE">
        <w:rPr>
          <w:sz w:val="24"/>
          <w:lang w:val="fi-FI"/>
        </w:rPr>
        <w:t>pentru</w:t>
      </w:r>
      <w:proofErr w:type="spellEnd"/>
      <w:r w:rsidRPr="00B45ADE">
        <w:rPr>
          <w:sz w:val="24"/>
          <w:lang w:val="fi-FI"/>
        </w:rPr>
        <w:t xml:space="preserve"> </w:t>
      </w:r>
      <w:proofErr w:type="spellStart"/>
      <w:r w:rsidRPr="00B45ADE">
        <w:rPr>
          <w:sz w:val="24"/>
          <w:lang w:val="fi-FI"/>
        </w:rPr>
        <w:t>regiunea</w:t>
      </w:r>
      <w:proofErr w:type="spellEnd"/>
      <w:r w:rsidRPr="00B45ADE">
        <w:rPr>
          <w:sz w:val="24"/>
          <w:lang w:val="fi-FI"/>
        </w:rPr>
        <w:t xml:space="preserve"> </w:t>
      </w:r>
      <w:proofErr w:type="spellStart"/>
      <w:r w:rsidRPr="00B45ADE">
        <w:rPr>
          <w:sz w:val="24"/>
          <w:lang w:val="fi-FI"/>
        </w:rPr>
        <w:t>Mării</w:t>
      </w:r>
      <w:proofErr w:type="spellEnd"/>
      <w:r w:rsidRPr="00B45ADE">
        <w:rPr>
          <w:sz w:val="24"/>
          <w:lang w:val="fi-FI"/>
        </w:rPr>
        <w:t xml:space="preserve"> </w:t>
      </w:r>
      <w:proofErr w:type="spellStart"/>
      <w:r w:rsidRPr="00B45ADE">
        <w:rPr>
          <w:sz w:val="24"/>
          <w:lang w:val="fi-FI"/>
        </w:rPr>
        <w:t>Negre</w:t>
      </w:r>
      <w:proofErr w:type="spellEnd"/>
      <w:r w:rsidRPr="00B45ADE">
        <w:rPr>
          <w:sz w:val="24"/>
          <w:lang w:val="fi-FI"/>
        </w:rPr>
        <w:t>” (</w:t>
      </w:r>
      <w:proofErr w:type="gramStart"/>
      <w:r w:rsidRPr="00B45ADE">
        <w:rPr>
          <w:sz w:val="24"/>
          <w:lang w:val="fi-FI"/>
        </w:rPr>
        <w:t>JOIN(</w:t>
      </w:r>
      <w:proofErr w:type="gramEnd"/>
      <w:r w:rsidRPr="00B45ADE">
        <w:rPr>
          <w:sz w:val="24"/>
          <w:lang w:val="fi-FI"/>
        </w:rPr>
        <w:t>2025)0135).</w:t>
      </w:r>
    </w:p>
  </w:footnote>
  <w:footnote w:id="5">
    <w:p w14:paraId="431CF669" w14:textId="2570BF53"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Directiva</w:t>
      </w:r>
      <w:proofErr w:type="spellEnd"/>
      <w:r w:rsidRPr="00B45ADE">
        <w:rPr>
          <w:sz w:val="24"/>
          <w:lang w:val="fi-FI"/>
        </w:rPr>
        <w:t xml:space="preserve"> 2000/60/CE a </w:t>
      </w:r>
      <w:proofErr w:type="spellStart"/>
      <w:r w:rsidRPr="00B45ADE">
        <w:rPr>
          <w:sz w:val="24"/>
          <w:lang w:val="fi-FI"/>
        </w:rPr>
        <w:t>Parlamentului</w:t>
      </w:r>
      <w:proofErr w:type="spellEnd"/>
      <w:r w:rsidRPr="00B45ADE">
        <w:rPr>
          <w:sz w:val="24"/>
          <w:lang w:val="fi-FI"/>
        </w:rPr>
        <w:t xml:space="preserve"> European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Consiliului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23 </w:t>
      </w:r>
      <w:proofErr w:type="spellStart"/>
      <w:r w:rsidRPr="00B45ADE">
        <w:rPr>
          <w:sz w:val="24"/>
          <w:lang w:val="fi-FI"/>
        </w:rPr>
        <w:t>octombrie</w:t>
      </w:r>
      <w:proofErr w:type="spellEnd"/>
      <w:r w:rsidRPr="00B45ADE">
        <w:rPr>
          <w:sz w:val="24"/>
          <w:lang w:val="fi-FI"/>
        </w:rPr>
        <w:t xml:space="preserve"> 2000 de </w:t>
      </w:r>
      <w:proofErr w:type="spellStart"/>
      <w:r w:rsidRPr="00B45ADE">
        <w:rPr>
          <w:sz w:val="24"/>
          <w:lang w:val="fi-FI"/>
        </w:rPr>
        <w:t>stabilire</w:t>
      </w:r>
      <w:proofErr w:type="spellEnd"/>
      <w:r w:rsidRPr="00B45ADE">
        <w:rPr>
          <w:sz w:val="24"/>
          <w:lang w:val="fi-FI"/>
        </w:rPr>
        <w:t xml:space="preserve"> a </w:t>
      </w:r>
      <w:proofErr w:type="spellStart"/>
      <w:r w:rsidRPr="00B45ADE">
        <w:rPr>
          <w:sz w:val="24"/>
          <w:lang w:val="fi-FI"/>
        </w:rPr>
        <w:t>unui</w:t>
      </w:r>
      <w:proofErr w:type="spellEnd"/>
      <w:r w:rsidRPr="00B45ADE">
        <w:rPr>
          <w:sz w:val="24"/>
          <w:lang w:val="fi-FI"/>
        </w:rPr>
        <w:t xml:space="preserve"> </w:t>
      </w:r>
      <w:proofErr w:type="spellStart"/>
      <w:r w:rsidRPr="00B45ADE">
        <w:rPr>
          <w:sz w:val="24"/>
          <w:lang w:val="fi-FI"/>
        </w:rPr>
        <w:t>cadru</w:t>
      </w:r>
      <w:proofErr w:type="spellEnd"/>
      <w:r w:rsidRPr="00B45ADE">
        <w:rPr>
          <w:sz w:val="24"/>
          <w:lang w:val="fi-FI"/>
        </w:rPr>
        <w:t xml:space="preserve"> de </w:t>
      </w:r>
      <w:proofErr w:type="spellStart"/>
      <w:r w:rsidRPr="00B45ADE">
        <w:rPr>
          <w:sz w:val="24"/>
          <w:lang w:val="fi-FI"/>
        </w:rPr>
        <w:t>politică</w:t>
      </w:r>
      <w:proofErr w:type="spellEnd"/>
      <w:r w:rsidRPr="00B45ADE">
        <w:rPr>
          <w:sz w:val="24"/>
          <w:lang w:val="fi-FI"/>
        </w:rPr>
        <w:t xml:space="preserve"> </w:t>
      </w:r>
      <w:proofErr w:type="spellStart"/>
      <w:r w:rsidRPr="00B45ADE">
        <w:rPr>
          <w:sz w:val="24"/>
          <w:lang w:val="fi-FI"/>
        </w:rPr>
        <w:t>comunitară</w:t>
      </w:r>
      <w:proofErr w:type="spellEnd"/>
      <w:r w:rsidRPr="00B45ADE">
        <w:rPr>
          <w:sz w:val="24"/>
          <w:lang w:val="fi-FI"/>
        </w:rPr>
        <w:t xml:space="preserve"> </w:t>
      </w:r>
      <w:proofErr w:type="spellStart"/>
      <w:r w:rsidRPr="00B45ADE">
        <w:rPr>
          <w:sz w:val="24"/>
          <w:lang w:val="fi-FI"/>
        </w:rPr>
        <w:t>în</w:t>
      </w:r>
      <w:proofErr w:type="spellEnd"/>
      <w:r w:rsidRPr="00B45ADE">
        <w:rPr>
          <w:sz w:val="24"/>
          <w:lang w:val="fi-FI"/>
        </w:rPr>
        <w:t xml:space="preserve"> </w:t>
      </w:r>
      <w:proofErr w:type="spellStart"/>
      <w:r w:rsidRPr="00B45ADE">
        <w:rPr>
          <w:sz w:val="24"/>
          <w:lang w:val="fi-FI"/>
        </w:rPr>
        <w:t>domeniul</w:t>
      </w:r>
      <w:proofErr w:type="spellEnd"/>
      <w:r w:rsidRPr="00B45ADE">
        <w:rPr>
          <w:sz w:val="24"/>
          <w:lang w:val="fi-FI"/>
        </w:rPr>
        <w:t xml:space="preserve"> </w:t>
      </w:r>
      <w:proofErr w:type="spellStart"/>
      <w:r w:rsidRPr="00B45ADE">
        <w:rPr>
          <w:sz w:val="24"/>
          <w:lang w:val="fi-FI"/>
        </w:rPr>
        <w:t>apei</w:t>
      </w:r>
      <w:proofErr w:type="spellEnd"/>
      <w:r w:rsidRPr="00B45ADE">
        <w:rPr>
          <w:sz w:val="24"/>
          <w:lang w:val="fi-FI"/>
        </w:rPr>
        <w:t xml:space="preserve"> (JO L 327, 22.12.2000</w:t>
      </w:r>
      <w:r w:rsidR="00B45ADE">
        <w:rPr>
          <w:sz w:val="24"/>
          <w:lang w:val="fi-FI"/>
        </w:rPr>
        <w:t>,</w:t>
      </w:r>
      <w:r w:rsidRPr="00B45ADE">
        <w:rPr>
          <w:sz w:val="24"/>
          <w:lang w:val="fi-FI"/>
        </w:rPr>
        <w:t xml:space="preserve"> p. 1, ELI: </w:t>
      </w:r>
      <w:hyperlink r:id="rId4" w:history="1">
        <w:r w:rsidRPr="00B45ADE">
          <w:rPr>
            <w:rStyle w:val="Hyperlink"/>
            <w:lang w:val="fi-FI"/>
          </w:rPr>
          <w:t>http://data.europa.eu/eli/dir/2000/60/oj</w:t>
        </w:r>
      </w:hyperlink>
      <w:r w:rsidRPr="00B45ADE">
        <w:rPr>
          <w:sz w:val="24"/>
          <w:lang w:val="fi-FI"/>
        </w:rPr>
        <w:t>).</w:t>
      </w:r>
    </w:p>
  </w:footnote>
  <w:footnote w:id="6">
    <w:p w14:paraId="4925ED2A"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Directiva</w:t>
      </w:r>
      <w:proofErr w:type="spellEnd"/>
      <w:r w:rsidRPr="00B45ADE">
        <w:rPr>
          <w:sz w:val="24"/>
          <w:lang w:val="fi-FI"/>
        </w:rPr>
        <w:t xml:space="preserve"> 2006/21/CE a </w:t>
      </w:r>
      <w:proofErr w:type="spellStart"/>
      <w:r w:rsidRPr="00B45ADE">
        <w:rPr>
          <w:sz w:val="24"/>
          <w:lang w:val="fi-FI"/>
        </w:rPr>
        <w:t>Parlamentului</w:t>
      </w:r>
      <w:proofErr w:type="spellEnd"/>
      <w:r w:rsidRPr="00B45ADE">
        <w:rPr>
          <w:sz w:val="24"/>
          <w:lang w:val="fi-FI"/>
        </w:rPr>
        <w:t xml:space="preserve"> European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Consiliului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15 </w:t>
      </w:r>
      <w:proofErr w:type="spellStart"/>
      <w:r w:rsidRPr="00B45ADE">
        <w:rPr>
          <w:sz w:val="24"/>
          <w:lang w:val="fi-FI"/>
        </w:rPr>
        <w:t>martie</w:t>
      </w:r>
      <w:proofErr w:type="spellEnd"/>
      <w:r w:rsidRPr="00B45ADE">
        <w:rPr>
          <w:sz w:val="24"/>
          <w:lang w:val="fi-FI"/>
        </w:rPr>
        <w:t xml:space="preserve"> 2006 </w:t>
      </w:r>
      <w:proofErr w:type="spellStart"/>
      <w:r w:rsidRPr="00B45ADE">
        <w:rPr>
          <w:sz w:val="24"/>
          <w:lang w:val="fi-FI"/>
        </w:rPr>
        <w:t>privind</w:t>
      </w:r>
      <w:proofErr w:type="spellEnd"/>
      <w:r w:rsidRPr="00B45ADE">
        <w:rPr>
          <w:sz w:val="24"/>
          <w:lang w:val="fi-FI"/>
        </w:rPr>
        <w:t xml:space="preserve"> </w:t>
      </w:r>
      <w:proofErr w:type="spellStart"/>
      <w:r w:rsidRPr="00B45ADE">
        <w:rPr>
          <w:sz w:val="24"/>
          <w:lang w:val="fi-FI"/>
        </w:rPr>
        <w:t>gestionarea</w:t>
      </w:r>
      <w:proofErr w:type="spellEnd"/>
      <w:r w:rsidRPr="00B45ADE">
        <w:rPr>
          <w:sz w:val="24"/>
          <w:lang w:val="fi-FI"/>
        </w:rPr>
        <w:t xml:space="preserve"> </w:t>
      </w:r>
      <w:proofErr w:type="spellStart"/>
      <w:r w:rsidRPr="00B45ADE">
        <w:rPr>
          <w:sz w:val="24"/>
          <w:lang w:val="fi-FI"/>
        </w:rPr>
        <w:t>deșeurilor</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w:t>
      </w:r>
      <w:proofErr w:type="spellStart"/>
      <w:r w:rsidRPr="00B45ADE">
        <w:rPr>
          <w:sz w:val="24"/>
          <w:lang w:val="fi-FI"/>
        </w:rPr>
        <w:t>industriile</w:t>
      </w:r>
      <w:proofErr w:type="spellEnd"/>
      <w:r w:rsidRPr="00B45ADE">
        <w:rPr>
          <w:sz w:val="24"/>
          <w:lang w:val="fi-FI"/>
        </w:rPr>
        <w:t xml:space="preserve"> </w:t>
      </w:r>
      <w:proofErr w:type="spellStart"/>
      <w:r w:rsidRPr="00B45ADE">
        <w:rPr>
          <w:sz w:val="24"/>
          <w:lang w:val="fi-FI"/>
        </w:rPr>
        <w:t>extractive</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de </w:t>
      </w:r>
      <w:proofErr w:type="spellStart"/>
      <w:r w:rsidRPr="00B45ADE">
        <w:rPr>
          <w:sz w:val="24"/>
          <w:lang w:val="fi-FI"/>
        </w:rPr>
        <w:t>modificare</w:t>
      </w:r>
      <w:proofErr w:type="spellEnd"/>
      <w:r w:rsidRPr="00B45ADE">
        <w:rPr>
          <w:sz w:val="24"/>
          <w:lang w:val="fi-FI"/>
        </w:rPr>
        <w:t xml:space="preserve"> a </w:t>
      </w:r>
      <w:proofErr w:type="spellStart"/>
      <w:r w:rsidRPr="00B45ADE">
        <w:rPr>
          <w:sz w:val="24"/>
          <w:lang w:val="fi-FI"/>
        </w:rPr>
        <w:t>Directivei</w:t>
      </w:r>
      <w:proofErr w:type="spellEnd"/>
      <w:r w:rsidRPr="00B45ADE">
        <w:rPr>
          <w:sz w:val="24"/>
          <w:lang w:val="fi-FI"/>
        </w:rPr>
        <w:t xml:space="preserve"> 2004/35/CE (JO L 102, 11.4.2006, p. 15, ELI: </w:t>
      </w:r>
      <w:hyperlink r:id="rId5" w:history="1">
        <w:r w:rsidRPr="00B45ADE">
          <w:rPr>
            <w:rStyle w:val="Hyperlink"/>
            <w:lang w:val="fi-FI"/>
          </w:rPr>
          <w:t>http://data.europa.eu/eli/dir/2006/21/oj</w:t>
        </w:r>
      </w:hyperlink>
      <w:r w:rsidRPr="00B45ADE">
        <w:rPr>
          <w:sz w:val="24"/>
          <w:lang w:val="fi-FI"/>
        </w:rPr>
        <w:t>).</w:t>
      </w:r>
    </w:p>
  </w:footnote>
  <w:footnote w:id="7">
    <w:p w14:paraId="4F0847FD"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Regulamentul</w:t>
      </w:r>
      <w:proofErr w:type="spellEnd"/>
      <w:r w:rsidRPr="00B45ADE">
        <w:rPr>
          <w:sz w:val="24"/>
          <w:lang w:val="fi-FI"/>
        </w:rPr>
        <w:t xml:space="preserve"> (CE) </w:t>
      </w:r>
      <w:proofErr w:type="spellStart"/>
      <w:r w:rsidRPr="00B45ADE">
        <w:rPr>
          <w:sz w:val="24"/>
          <w:lang w:val="fi-FI"/>
        </w:rPr>
        <w:t>nr.</w:t>
      </w:r>
      <w:proofErr w:type="spellEnd"/>
      <w:r w:rsidRPr="00B45ADE">
        <w:rPr>
          <w:sz w:val="24"/>
          <w:lang w:val="fi-FI"/>
        </w:rPr>
        <w:t xml:space="preserve"> 1/2005 </w:t>
      </w:r>
      <w:proofErr w:type="spellStart"/>
      <w:r w:rsidRPr="00B45ADE">
        <w:rPr>
          <w:sz w:val="24"/>
          <w:lang w:val="fi-FI"/>
        </w:rPr>
        <w:t>al</w:t>
      </w:r>
      <w:proofErr w:type="spellEnd"/>
      <w:r w:rsidRPr="00B45ADE">
        <w:rPr>
          <w:sz w:val="24"/>
          <w:lang w:val="fi-FI"/>
        </w:rPr>
        <w:t xml:space="preserve"> </w:t>
      </w:r>
      <w:proofErr w:type="spellStart"/>
      <w:r w:rsidRPr="00B45ADE">
        <w:rPr>
          <w:sz w:val="24"/>
          <w:lang w:val="fi-FI"/>
        </w:rPr>
        <w:t>Consiliului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22 </w:t>
      </w:r>
      <w:proofErr w:type="spellStart"/>
      <w:r w:rsidRPr="00B45ADE">
        <w:rPr>
          <w:sz w:val="24"/>
          <w:lang w:val="fi-FI"/>
        </w:rPr>
        <w:t>decembrie</w:t>
      </w:r>
      <w:proofErr w:type="spellEnd"/>
      <w:r w:rsidRPr="00B45ADE">
        <w:rPr>
          <w:sz w:val="24"/>
          <w:lang w:val="fi-FI"/>
        </w:rPr>
        <w:t xml:space="preserve"> 2004 </w:t>
      </w:r>
      <w:proofErr w:type="spellStart"/>
      <w:r w:rsidRPr="00B45ADE">
        <w:rPr>
          <w:sz w:val="24"/>
          <w:lang w:val="fi-FI"/>
        </w:rPr>
        <w:t>privind</w:t>
      </w:r>
      <w:proofErr w:type="spellEnd"/>
      <w:r w:rsidRPr="00B45ADE">
        <w:rPr>
          <w:sz w:val="24"/>
          <w:lang w:val="fi-FI"/>
        </w:rPr>
        <w:t xml:space="preserve"> </w:t>
      </w:r>
      <w:proofErr w:type="spellStart"/>
      <w:r w:rsidRPr="00B45ADE">
        <w:rPr>
          <w:sz w:val="24"/>
          <w:lang w:val="fi-FI"/>
        </w:rPr>
        <w:t>protecția</w:t>
      </w:r>
      <w:proofErr w:type="spellEnd"/>
      <w:r w:rsidRPr="00B45ADE">
        <w:rPr>
          <w:sz w:val="24"/>
          <w:lang w:val="fi-FI"/>
        </w:rPr>
        <w:t xml:space="preserve"> </w:t>
      </w:r>
      <w:proofErr w:type="spellStart"/>
      <w:r w:rsidRPr="00B45ADE">
        <w:rPr>
          <w:sz w:val="24"/>
          <w:lang w:val="fi-FI"/>
        </w:rPr>
        <w:t>animalelor</w:t>
      </w:r>
      <w:proofErr w:type="spellEnd"/>
      <w:r w:rsidRPr="00B45ADE">
        <w:rPr>
          <w:sz w:val="24"/>
          <w:lang w:val="fi-FI"/>
        </w:rPr>
        <w:t xml:space="preserve"> </w:t>
      </w:r>
      <w:proofErr w:type="spellStart"/>
      <w:r w:rsidRPr="00B45ADE">
        <w:rPr>
          <w:sz w:val="24"/>
          <w:lang w:val="fi-FI"/>
        </w:rPr>
        <w:t>în</w:t>
      </w:r>
      <w:proofErr w:type="spellEnd"/>
      <w:r w:rsidRPr="00B45ADE">
        <w:rPr>
          <w:sz w:val="24"/>
          <w:lang w:val="fi-FI"/>
        </w:rPr>
        <w:t xml:space="preserve"> </w:t>
      </w:r>
      <w:proofErr w:type="spellStart"/>
      <w:r w:rsidRPr="00B45ADE">
        <w:rPr>
          <w:sz w:val="24"/>
          <w:lang w:val="fi-FI"/>
        </w:rPr>
        <w:t>timpul</w:t>
      </w:r>
      <w:proofErr w:type="spellEnd"/>
      <w:r w:rsidRPr="00B45ADE">
        <w:rPr>
          <w:sz w:val="24"/>
          <w:lang w:val="fi-FI"/>
        </w:rPr>
        <w:t xml:space="preserve"> </w:t>
      </w:r>
      <w:proofErr w:type="spellStart"/>
      <w:r w:rsidRPr="00B45ADE">
        <w:rPr>
          <w:sz w:val="24"/>
          <w:lang w:val="fi-FI"/>
        </w:rPr>
        <w:t>transportului</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w:t>
      </w:r>
      <w:proofErr w:type="spellStart"/>
      <w:r w:rsidRPr="00B45ADE">
        <w:rPr>
          <w:sz w:val="24"/>
          <w:lang w:val="fi-FI"/>
        </w:rPr>
        <w:t>al</w:t>
      </w:r>
      <w:proofErr w:type="spellEnd"/>
      <w:r w:rsidRPr="00B45ADE">
        <w:rPr>
          <w:sz w:val="24"/>
          <w:lang w:val="fi-FI"/>
        </w:rPr>
        <w:t xml:space="preserve"> </w:t>
      </w:r>
      <w:proofErr w:type="spellStart"/>
      <w:r w:rsidRPr="00B45ADE">
        <w:rPr>
          <w:sz w:val="24"/>
          <w:lang w:val="fi-FI"/>
        </w:rPr>
        <w:t>operațiunilor</w:t>
      </w:r>
      <w:proofErr w:type="spellEnd"/>
      <w:r w:rsidRPr="00B45ADE">
        <w:rPr>
          <w:sz w:val="24"/>
          <w:lang w:val="fi-FI"/>
        </w:rPr>
        <w:t xml:space="preserve"> </w:t>
      </w:r>
      <w:proofErr w:type="spellStart"/>
      <w:r w:rsidRPr="00B45ADE">
        <w:rPr>
          <w:sz w:val="24"/>
          <w:lang w:val="fi-FI"/>
        </w:rPr>
        <w:t>conexe</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de </w:t>
      </w:r>
      <w:proofErr w:type="spellStart"/>
      <w:r w:rsidRPr="00B45ADE">
        <w:rPr>
          <w:sz w:val="24"/>
          <w:lang w:val="fi-FI"/>
        </w:rPr>
        <w:t>modificare</w:t>
      </w:r>
      <w:proofErr w:type="spellEnd"/>
      <w:r w:rsidRPr="00B45ADE">
        <w:rPr>
          <w:sz w:val="24"/>
          <w:lang w:val="fi-FI"/>
        </w:rPr>
        <w:t xml:space="preserve"> a </w:t>
      </w:r>
      <w:proofErr w:type="spellStart"/>
      <w:r w:rsidRPr="00B45ADE">
        <w:rPr>
          <w:sz w:val="24"/>
          <w:lang w:val="fi-FI"/>
        </w:rPr>
        <w:t>Directivelor</w:t>
      </w:r>
      <w:proofErr w:type="spellEnd"/>
      <w:r w:rsidRPr="00B45ADE">
        <w:rPr>
          <w:sz w:val="24"/>
          <w:lang w:val="fi-FI"/>
        </w:rPr>
        <w:t xml:space="preserve"> 64/432/CEE </w:t>
      </w:r>
      <w:proofErr w:type="spellStart"/>
      <w:r w:rsidRPr="00B45ADE">
        <w:rPr>
          <w:sz w:val="24"/>
          <w:lang w:val="fi-FI"/>
        </w:rPr>
        <w:t>și</w:t>
      </w:r>
      <w:proofErr w:type="spellEnd"/>
      <w:r w:rsidRPr="00B45ADE">
        <w:rPr>
          <w:sz w:val="24"/>
          <w:lang w:val="fi-FI"/>
        </w:rPr>
        <w:t xml:space="preserve"> 93/119/CE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Regulamentului</w:t>
      </w:r>
      <w:proofErr w:type="spellEnd"/>
      <w:r w:rsidRPr="00B45ADE">
        <w:rPr>
          <w:sz w:val="24"/>
          <w:lang w:val="fi-FI"/>
        </w:rPr>
        <w:t xml:space="preserve"> (CE) </w:t>
      </w:r>
      <w:proofErr w:type="spellStart"/>
      <w:r w:rsidRPr="00B45ADE">
        <w:rPr>
          <w:sz w:val="24"/>
          <w:lang w:val="fi-FI"/>
        </w:rPr>
        <w:t>nr.</w:t>
      </w:r>
      <w:proofErr w:type="spellEnd"/>
      <w:r w:rsidRPr="00B45ADE">
        <w:rPr>
          <w:sz w:val="24"/>
          <w:lang w:val="fi-FI"/>
        </w:rPr>
        <w:t xml:space="preserve"> 1255/97 (JO L 3, 5.1.2005, p. 1, ELI: </w:t>
      </w:r>
      <w:hyperlink r:id="rId6" w:history="1">
        <w:r w:rsidRPr="00B45ADE">
          <w:rPr>
            <w:rStyle w:val="Hyperlink"/>
            <w:lang w:val="fi-FI"/>
          </w:rPr>
          <w:t>http://data.europa.eu/eli/reg/2005/1/oj</w:t>
        </w:r>
      </w:hyperlink>
      <w:r w:rsidRPr="00B45ADE">
        <w:rPr>
          <w:sz w:val="24"/>
          <w:lang w:val="fi-FI"/>
        </w:rPr>
        <w:t>).</w:t>
      </w:r>
    </w:p>
  </w:footnote>
  <w:footnote w:id="8">
    <w:p w14:paraId="0BBE85B0" w14:textId="77777777" w:rsidR="000518F3" w:rsidRPr="00B45ADE" w:rsidRDefault="000518F3" w:rsidP="000518F3">
      <w:pPr>
        <w:pStyle w:val="FootnoteText"/>
        <w:ind w:left="567" w:hanging="567"/>
        <w:rPr>
          <w:sz w:val="24"/>
          <w:lang w:val="fi-FI"/>
        </w:rPr>
      </w:pPr>
      <w:r w:rsidRPr="007E7D57">
        <w:rPr>
          <w:rStyle w:val="FootnoteReference"/>
        </w:rPr>
        <w:footnoteRef/>
      </w:r>
      <w:r w:rsidRPr="00B45ADE">
        <w:rPr>
          <w:sz w:val="24"/>
          <w:lang w:val="fi-FI"/>
        </w:rPr>
        <w:t xml:space="preserve"> </w:t>
      </w:r>
      <w:r w:rsidRPr="00B45ADE">
        <w:rPr>
          <w:sz w:val="24"/>
          <w:lang w:val="fi-FI"/>
        </w:rPr>
        <w:tab/>
      </w:r>
      <w:proofErr w:type="spellStart"/>
      <w:r w:rsidRPr="00B45ADE">
        <w:rPr>
          <w:sz w:val="24"/>
          <w:lang w:val="fi-FI"/>
        </w:rPr>
        <w:t>Directiva</w:t>
      </w:r>
      <w:proofErr w:type="spellEnd"/>
      <w:r w:rsidRPr="00B45ADE">
        <w:rPr>
          <w:sz w:val="24"/>
          <w:lang w:val="fi-FI"/>
        </w:rPr>
        <w:t xml:space="preserve"> (UE) 2023/2413 a </w:t>
      </w:r>
      <w:proofErr w:type="spellStart"/>
      <w:r w:rsidRPr="00B45ADE">
        <w:rPr>
          <w:sz w:val="24"/>
          <w:lang w:val="fi-FI"/>
        </w:rPr>
        <w:t>Parlamentului</w:t>
      </w:r>
      <w:proofErr w:type="spellEnd"/>
      <w:r w:rsidRPr="00B45ADE">
        <w:rPr>
          <w:sz w:val="24"/>
          <w:lang w:val="fi-FI"/>
        </w:rPr>
        <w:t xml:space="preserve"> European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Consiliului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18 </w:t>
      </w:r>
      <w:proofErr w:type="spellStart"/>
      <w:r w:rsidRPr="00B45ADE">
        <w:rPr>
          <w:sz w:val="24"/>
          <w:lang w:val="fi-FI"/>
        </w:rPr>
        <w:t>octombrie</w:t>
      </w:r>
      <w:proofErr w:type="spellEnd"/>
      <w:r w:rsidRPr="00B45ADE">
        <w:rPr>
          <w:sz w:val="24"/>
          <w:lang w:val="fi-FI"/>
        </w:rPr>
        <w:t xml:space="preserve"> 2023 de </w:t>
      </w:r>
      <w:proofErr w:type="spellStart"/>
      <w:r w:rsidRPr="00B45ADE">
        <w:rPr>
          <w:sz w:val="24"/>
          <w:lang w:val="fi-FI"/>
        </w:rPr>
        <w:t>modificare</w:t>
      </w:r>
      <w:proofErr w:type="spellEnd"/>
      <w:r w:rsidRPr="00B45ADE">
        <w:rPr>
          <w:sz w:val="24"/>
          <w:lang w:val="fi-FI"/>
        </w:rPr>
        <w:t xml:space="preserve"> a </w:t>
      </w:r>
      <w:proofErr w:type="spellStart"/>
      <w:r w:rsidRPr="00B45ADE">
        <w:rPr>
          <w:sz w:val="24"/>
          <w:lang w:val="fi-FI"/>
        </w:rPr>
        <w:t>Directivei</w:t>
      </w:r>
      <w:proofErr w:type="spellEnd"/>
      <w:r w:rsidRPr="00B45ADE">
        <w:rPr>
          <w:sz w:val="24"/>
          <w:lang w:val="fi-FI"/>
        </w:rPr>
        <w:t xml:space="preserve"> (UE) 2018/2001, a </w:t>
      </w:r>
      <w:proofErr w:type="spellStart"/>
      <w:r w:rsidRPr="00B45ADE">
        <w:rPr>
          <w:sz w:val="24"/>
          <w:lang w:val="fi-FI"/>
        </w:rPr>
        <w:t>Regulamentului</w:t>
      </w:r>
      <w:proofErr w:type="spellEnd"/>
      <w:r w:rsidRPr="00B45ADE">
        <w:rPr>
          <w:sz w:val="24"/>
          <w:lang w:val="fi-FI"/>
        </w:rPr>
        <w:t xml:space="preserve"> (UE) 2018/1999 </w:t>
      </w:r>
      <w:proofErr w:type="spellStart"/>
      <w:r w:rsidRPr="00B45ADE">
        <w:rPr>
          <w:sz w:val="24"/>
          <w:lang w:val="fi-FI"/>
        </w:rPr>
        <w:t>și</w:t>
      </w:r>
      <w:proofErr w:type="spellEnd"/>
      <w:r w:rsidRPr="00B45ADE">
        <w:rPr>
          <w:sz w:val="24"/>
          <w:lang w:val="fi-FI"/>
        </w:rPr>
        <w:t xml:space="preserve"> a </w:t>
      </w:r>
      <w:proofErr w:type="spellStart"/>
      <w:r w:rsidRPr="00B45ADE">
        <w:rPr>
          <w:sz w:val="24"/>
          <w:lang w:val="fi-FI"/>
        </w:rPr>
        <w:t>Directivei</w:t>
      </w:r>
      <w:proofErr w:type="spellEnd"/>
      <w:r w:rsidRPr="00B45ADE">
        <w:rPr>
          <w:sz w:val="24"/>
          <w:lang w:val="fi-FI"/>
        </w:rPr>
        <w:t xml:space="preserve"> 98/70/CE </w:t>
      </w:r>
      <w:proofErr w:type="spellStart"/>
      <w:r w:rsidRPr="00B45ADE">
        <w:rPr>
          <w:sz w:val="24"/>
          <w:lang w:val="fi-FI"/>
        </w:rPr>
        <w:t>în</w:t>
      </w:r>
      <w:proofErr w:type="spellEnd"/>
      <w:r w:rsidRPr="00B45ADE">
        <w:rPr>
          <w:sz w:val="24"/>
          <w:lang w:val="fi-FI"/>
        </w:rPr>
        <w:t xml:space="preserve"> </w:t>
      </w:r>
      <w:proofErr w:type="spellStart"/>
      <w:r w:rsidRPr="00B45ADE">
        <w:rPr>
          <w:sz w:val="24"/>
          <w:lang w:val="fi-FI"/>
        </w:rPr>
        <w:t>ceea</w:t>
      </w:r>
      <w:proofErr w:type="spellEnd"/>
      <w:r w:rsidRPr="00B45ADE">
        <w:rPr>
          <w:sz w:val="24"/>
          <w:lang w:val="fi-FI"/>
        </w:rPr>
        <w:t xml:space="preserve"> </w:t>
      </w:r>
      <w:proofErr w:type="spellStart"/>
      <w:r w:rsidRPr="00B45ADE">
        <w:rPr>
          <w:sz w:val="24"/>
          <w:lang w:val="fi-FI"/>
        </w:rPr>
        <w:t>ce</w:t>
      </w:r>
      <w:proofErr w:type="spellEnd"/>
      <w:r w:rsidRPr="00B45ADE">
        <w:rPr>
          <w:sz w:val="24"/>
          <w:lang w:val="fi-FI"/>
        </w:rPr>
        <w:t xml:space="preserve"> </w:t>
      </w:r>
      <w:proofErr w:type="spellStart"/>
      <w:r w:rsidRPr="00B45ADE">
        <w:rPr>
          <w:sz w:val="24"/>
          <w:lang w:val="fi-FI"/>
        </w:rPr>
        <w:t>privește</w:t>
      </w:r>
      <w:proofErr w:type="spellEnd"/>
      <w:r w:rsidRPr="00B45ADE">
        <w:rPr>
          <w:sz w:val="24"/>
          <w:lang w:val="fi-FI"/>
        </w:rPr>
        <w:t xml:space="preserve"> </w:t>
      </w:r>
      <w:proofErr w:type="spellStart"/>
      <w:r w:rsidRPr="00B45ADE">
        <w:rPr>
          <w:sz w:val="24"/>
          <w:lang w:val="fi-FI"/>
        </w:rPr>
        <w:t>promovarea</w:t>
      </w:r>
      <w:proofErr w:type="spellEnd"/>
      <w:r w:rsidRPr="00B45ADE">
        <w:rPr>
          <w:sz w:val="24"/>
          <w:lang w:val="fi-FI"/>
        </w:rPr>
        <w:t xml:space="preserve"> </w:t>
      </w:r>
      <w:proofErr w:type="spellStart"/>
      <w:r w:rsidRPr="00B45ADE">
        <w:rPr>
          <w:sz w:val="24"/>
          <w:lang w:val="fi-FI"/>
        </w:rPr>
        <w:t>energiei</w:t>
      </w:r>
      <w:proofErr w:type="spellEnd"/>
      <w:r w:rsidRPr="00B45ADE">
        <w:rPr>
          <w:sz w:val="24"/>
          <w:lang w:val="fi-FI"/>
        </w:rPr>
        <w:t xml:space="preserve"> </w:t>
      </w:r>
      <w:proofErr w:type="spellStart"/>
      <w:r w:rsidRPr="00B45ADE">
        <w:rPr>
          <w:sz w:val="24"/>
          <w:lang w:val="fi-FI"/>
        </w:rPr>
        <w:t>din</w:t>
      </w:r>
      <w:proofErr w:type="spellEnd"/>
      <w:r w:rsidRPr="00B45ADE">
        <w:rPr>
          <w:sz w:val="24"/>
          <w:lang w:val="fi-FI"/>
        </w:rPr>
        <w:t xml:space="preserve"> </w:t>
      </w:r>
      <w:proofErr w:type="spellStart"/>
      <w:r w:rsidRPr="00B45ADE">
        <w:rPr>
          <w:sz w:val="24"/>
          <w:lang w:val="fi-FI"/>
        </w:rPr>
        <w:t>surse</w:t>
      </w:r>
      <w:proofErr w:type="spellEnd"/>
      <w:r w:rsidRPr="00B45ADE">
        <w:rPr>
          <w:sz w:val="24"/>
          <w:lang w:val="fi-FI"/>
        </w:rPr>
        <w:t xml:space="preserve"> </w:t>
      </w:r>
      <w:proofErr w:type="spellStart"/>
      <w:r w:rsidRPr="00B45ADE">
        <w:rPr>
          <w:sz w:val="24"/>
          <w:lang w:val="fi-FI"/>
        </w:rPr>
        <w:t>regenerabile</w:t>
      </w:r>
      <w:proofErr w:type="spellEnd"/>
      <w:r w:rsidRPr="00B45ADE">
        <w:rPr>
          <w:sz w:val="24"/>
          <w:lang w:val="fi-FI"/>
        </w:rPr>
        <w:t xml:space="preserve"> </w:t>
      </w:r>
      <w:proofErr w:type="spellStart"/>
      <w:r w:rsidRPr="00B45ADE">
        <w:rPr>
          <w:sz w:val="24"/>
          <w:lang w:val="fi-FI"/>
        </w:rPr>
        <w:t>și</w:t>
      </w:r>
      <w:proofErr w:type="spellEnd"/>
      <w:r w:rsidRPr="00B45ADE">
        <w:rPr>
          <w:sz w:val="24"/>
          <w:lang w:val="fi-FI"/>
        </w:rPr>
        <w:t xml:space="preserve"> de </w:t>
      </w:r>
      <w:proofErr w:type="spellStart"/>
      <w:r w:rsidRPr="00B45ADE">
        <w:rPr>
          <w:sz w:val="24"/>
          <w:lang w:val="fi-FI"/>
        </w:rPr>
        <w:t>abrogare</w:t>
      </w:r>
      <w:proofErr w:type="spellEnd"/>
      <w:r w:rsidRPr="00B45ADE">
        <w:rPr>
          <w:sz w:val="24"/>
          <w:lang w:val="fi-FI"/>
        </w:rPr>
        <w:t xml:space="preserve"> a </w:t>
      </w:r>
      <w:proofErr w:type="spellStart"/>
      <w:r w:rsidRPr="00B45ADE">
        <w:rPr>
          <w:sz w:val="24"/>
          <w:lang w:val="fi-FI"/>
        </w:rPr>
        <w:t>Directivei</w:t>
      </w:r>
      <w:proofErr w:type="spellEnd"/>
      <w:r w:rsidRPr="00B45ADE">
        <w:rPr>
          <w:sz w:val="24"/>
          <w:lang w:val="fi-FI"/>
        </w:rPr>
        <w:t xml:space="preserve"> (UE) 2015/652 a </w:t>
      </w:r>
      <w:proofErr w:type="spellStart"/>
      <w:r w:rsidRPr="00B45ADE">
        <w:rPr>
          <w:sz w:val="24"/>
          <w:lang w:val="fi-FI"/>
        </w:rPr>
        <w:t>Consiliului</w:t>
      </w:r>
      <w:proofErr w:type="spellEnd"/>
      <w:r w:rsidRPr="00B45ADE">
        <w:rPr>
          <w:sz w:val="24"/>
          <w:lang w:val="fi-FI"/>
        </w:rPr>
        <w:t xml:space="preserve"> (JO L, 2023/2413, 31.10.2023, ELI: </w:t>
      </w:r>
      <w:hyperlink r:id="rId7" w:history="1">
        <w:r w:rsidRPr="00B45ADE">
          <w:rPr>
            <w:rStyle w:val="Hyperlink"/>
            <w:lang w:val="fi-FI"/>
          </w:rPr>
          <w:t>http://data.europa.eu/eli/dir/2023/2413/oj</w:t>
        </w:r>
      </w:hyperlink>
      <w:r w:rsidRPr="00B45ADE">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CCD4555C">
      <w:start w:val="1"/>
      <w:numFmt w:val="bullet"/>
      <w:pStyle w:val="Normal12aBullet1"/>
      <w:lvlText w:val=""/>
      <w:lvlJc w:val="left"/>
      <w:pPr>
        <w:ind w:left="720" w:hanging="360"/>
      </w:pPr>
      <w:rPr>
        <w:rFonts w:ascii="Symbol" w:hAnsi="Symbol" w:hint="default"/>
      </w:rPr>
    </w:lvl>
    <w:lvl w:ilvl="1" w:tplc="313E9AE4" w:tentative="1">
      <w:start w:val="1"/>
      <w:numFmt w:val="bullet"/>
      <w:lvlText w:val="o"/>
      <w:lvlJc w:val="left"/>
      <w:pPr>
        <w:ind w:left="1440" w:hanging="360"/>
      </w:pPr>
      <w:rPr>
        <w:rFonts w:ascii="Courier New" w:hAnsi="Courier New" w:cs="Courier New" w:hint="default"/>
      </w:rPr>
    </w:lvl>
    <w:lvl w:ilvl="2" w:tplc="8DB2779A" w:tentative="1">
      <w:start w:val="1"/>
      <w:numFmt w:val="bullet"/>
      <w:lvlText w:val=""/>
      <w:lvlJc w:val="left"/>
      <w:pPr>
        <w:ind w:left="2160" w:hanging="360"/>
      </w:pPr>
      <w:rPr>
        <w:rFonts w:ascii="Wingdings" w:hAnsi="Wingdings" w:hint="default"/>
      </w:rPr>
    </w:lvl>
    <w:lvl w:ilvl="3" w:tplc="E3CC97EC" w:tentative="1">
      <w:start w:val="1"/>
      <w:numFmt w:val="bullet"/>
      <w:lvlText w:val=""/>
      <w:lvlJc w:val="left"/>
      <w:pPr>
        <w:ind w:left="2880" w:hanging="360"/>
      </w:pPr>
      <w:rPr>
        <w:rFonts w:ascii="Symbol" w:hAnsi="Symbol" w:hint="default"/>
      </w:rPr>
    </w:lvl>
    <w:lvl w:ilvl="4" w:tplc="C4D4A254" w:tentative="1">
      <w:start w:val="1"/>
      <w:numFmt w:val="bullet"/>
      <w:lvlText w:val="o"/>
      <w:lvlJc w:val="left"/>
      <w:pPr>
        <w:ind w:left="3600" w:hanging="360"/>
      </w:pPr>
      <w:rPr>
        <w:rFonts w:ascii="Courier New" w:hAnsi="Courier New" w:cs="Courier New" w:hint="default"/>
      </w:rPr>
    </w:lvl>
    <w:lvl w:ilvl="5" w:tplc="F29CE29C" w:tentative="1">
      <w:start w:val="1"/>
      <w:numFmt w:val="bullet"/>
      <w:lvlText w:val=""/>
      <w:lvlJc w:val="left"/>
      <w:pPr>
        <w:ind w:left="4320" w:hanging="360"/>
      </w:pPr>
      <w:rPr>
        <w:rFonts w:ascii="Wingdings" w:hAnsi="Wingdings" w:hint="default"/>
      </w:rPr>
    </w:lvl>
    <w:lvl w:ilvl="6" w:tplc="1C987020" w:tentative="1">
      <w:start w:val="1"/>
      <w:numFmt w:val="bullet"/>
      <w:lvlText w:val=""/>
      <w:lvlJc w:val="left"/>
      <w:pPr>
        <w:ind w:left="5040" w:hanging="360"/>
      </w:pPr>
      <w:rPr>
        <w:rFonts w:ascii="Symbol" w:hAnsi="Symbol" w:hint="default"/>
      </w:rPr>
    </w:lvl>
    <w:lvl w:ilvl="7" w:tplc="02F82114" w:tentative="1">
      <w:start w:val="1"/>
      <w:numFmt w:val="bullet"/>
      <w:lvlText w:val="o"/>
      <w:lvlJc w:val="left"/>
      <w:pPr>
        <w:ind w:left="5760" w:hanging="360"/>
      </w:pPr>
      <w:rPr>
        <w:rFonts w:ascii="Courier New" w:hAnsi="Courier New" w:cs="Courier New" w:hint="default"/>
      </w:rPr>
    </w:lvl>
    <w:lvl w:ilvl="8" w:tplc="557AA9EC"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4C641696">
      <w:start w:val="1"/>
      <w:numFmt w:val="bullet"/>
      <w:pStyle w:val="Normal12aBullet2"/>
      <w:lvlText w:val="o"/>
      <w:lvlJc w:val="left"/>
      <w:pPr>
        <w:ind w:left="1080" w:hanging="360"/>
      </w:pPr>
      <w:rPr>
        <w:rFonts w:ascii="Courier New" w:hAnsi="Courier New" w:cs="Courier New" w:hint="default"/>
      </w:rPr>
    </w:lvl>
    <w:lvl w:ilvl="1" w:tplc="FCC00944" w:tentative="1">
      <w:start w:val="1"/>
      <w:numFmt w:val="bullet"/>
      <w:lvlText w:val="o"/>
      <w:lvlJc w:val="left"/>
      <w:pPr>
        <w:ind w:left="1800" w:hanging="360"/>
      </w:pPr>
      <w:rPr>
        <w:rFonts w:ascii="Courier New" w:hAnsi="Courier New" w:cs="Courier New" w:hint="default"/>
      </w:rPr>
    </w:lvl>
    <w:lvl w:ilvl="2" w:tplc="B30C667A" w:tentative="1">
      <w:start w:val="1"/>
      <w:numFmt w:val="bullet"/>
      <w:lvlText w:val=""/>
      <w:lvlJc w:val="left"/>
      <w:pPr>
        <w:ind w:left="2520" w:hanging="360"/>
      </w:pPr>
      <w:rPr>
        <w:rFonts w:ascii="Wingdings" w:hAnsi="Wingdings" w:hint="default"/>
      </w:rPr>
    </w:lvl>
    <w:lvl w:ilvl="3" w:tplc="B484DF86" w:tentative="1">
      <w:start w:val="1"/>
      <w:numFmt w:val="bullet"/>
      <w:lvlText w:val=""/>
      <w:lvlJc w:val="left"/>
      <w:pPr>
        <w:ind w:left="3240" w:hanging="360"/>
      </w:pPr>
      <w:rPr>
        <w:rFonts w:ascii="Symbol" w:hAnsi="Symbol" w:hint="default"/>
      </w:rPr>
    </w:lvl>
    <w:lvl w:ilvl="4" w:tplc="D2ACBAB2" w:tentative="1">
      <w:start w:val="1"/>
      <w:numFmt w:val="bullet"/>
      <w:lvlText w:val="o"/>
      <w:lvlJc w:val="left"/>
      <w:pPr>
        <w:ind w:left="3960" w:hanging="360"/>
      </w:pPr>
      <w:rPr>
        <w:rFonts w:ascii="Courier New" w:hAnsi="Courier New" w:cs="Courier New" w:hint="default"/>
      </w:rPr>
    </w:lvl>
    <w:lvl w:ilvl="5" w:tplc="DA162E28" w:tentative="1">
      <w:start w:val="1"/>
      <w:numFmt w:val="bullet"/>
      <w:lvlText w:val=""/>
      <w:lvlJc w:val="left"/>
      <w:pPr>
        <w:ind w:left="4680" w:hanging="360"/>
      </w:pPr>
      <w:rPr>
        <w:rFonts w:ascii="Wingdings" w:hAnsi="Wingdings" w:hint="default"/>
      </w:rPr>
    </w:lvl>
    <w:lvl w:ilvl="6" w:tplc="3BDA7D30" w:tentative="1">
      <w:start w:val="1"/>
      <w:numFmt w:val="bullet"/>
      <w:lvlText w:val=""/>
      <w:lvlJc w:val="left"/>
      <w:pPr>
        <w:ind w:left="5400" w:hanging="360"/>
      </w:pPr>
      <w:rPr>
        <w:rFonts w:ascii="Symbol" w:hAnsi="Symbol" w:hint="default"/>
      </w:rPr>
    </w:lvl>
    <w:lvl w:ilvl="7" w:tplc="3C608ACA" w:tentative="1">
      <w:start w:val="1"/>
      <w:numFmt w:val="bullet"/>
      <w:lvlText w:val="o"/>
      <w:lvlJc w:val="left"/>
      <w:pPr>
        <w:ind w:left="6120" w:hanging="360"/>
      </w:pPr>
      <w:rPr>
        <w:rFonts w:ascii="Courier New" w:hAnsi="Courier New" w:cs="Courier New" w:hint="default"/>
      </w:rPr>
    </w:lvl>
    <w:lvl w:ilvl="8" w:tplc="DE9A395C" w:tentative="1">
      <w:start w:val="1"/>
      <w:numFmt w:val="bullet"/>
      <w:lvlText w:val=""/>
      <w:lvlJc w:val="left"/>
      <w:pPr>
        <w:ind w:left="6840" w:hanging="360"/>
      </w:pPr>
      <w:rPr>
        <w:rFonts w:ascii="Wingdings" w:hAnsi="Wingdings" w:hint="default"/>
      </w:rPr>
    </w:lvl>
  </w:abstractNum>
  <w:num w:numId="1" w16cid:durableId="1281499910">
    <w:abstractNumId w:val="9"/>
  </w:num>
  <w:num w:numId="2" w16cid:durableId="596330688">
    <w:abstractNumId w:val="9"/>
  </w:num>
  <w:num w:numId="3" w16cid:durableId="23867060">
    <w:abstractNumId w:val="7"/>
  </w:num>
  <w:num w:numId="4" w16cid:durableId="1640720291">
    <w:abstractNumId w:val="7"/>
  </w:num>
  <w:num w:numId="5" w16cid:durableId="1927226072">
    <w:abstractNumId w:val="6"/>
  </w:num>
  <w:num w:numId="6" w16cid:durableId="633292045">
    <w:abstractNumId w:val="6"/>
  </w:num>
  <w:num w:numId="7" w16cid:durableId="1398432830">
    <w:abstractNumId w:val="5"/>
  </w:num>
  <w:num w:numId="8" w16cid:durableId="866262127">
    <w:abstractNumId w:val="5"/>
  </w:num>
  <w:num w:numId="9" w16cid:durableId="835657597">
    <w:abstractNumId w:val="4"/>
  </w:num>
  <w:num w:numId="10" w16cid:durableId="931859287">
    <w:abstractNumId w:val="4"/>
  </w:num>
  <w:num w:numId="11" w16cid:durableId="1810777558">
    <w:abstractNumId w:val="8"/>
  </w:num>
  <w:num w:numId="12" w16cid:durableId="940647481">
    <w:abstractNumId w:val="8"/>
  </w:num>
  <w:num w:numId="13" w16cid:durableId="653725359">
    <w:abstractNumId w:val="3"/>
  </w:num>
  <w:num w:numId="14" w16cid:durableId="269822711">
    <w:abstractNumId w:val="3"/>
  </w:num>
  <w:num w:numId="15" w16cid:durableId="1125000977">
    <w:abstractNumId w:val="2"/>
  </w:num>
  <w:num w:numId="16" w16cid:durableId="629479136">
    <w:abstractNumId w:val="2"/>
  </w:num>
  <w:num w:numId="17" w16cid:durableId="1114863896">
    <w:abstractNumId w:val="1"/>
  </w:num>
  <w:num w:numId="18" w16cid:durableId="422118093">
    <w:abstractNumId w:val="1"/>
  </w:num>
  <w:num w:numId="19" w16cid:durableId="171842743">
    <w:abstractNumId w:val="0"/>
  </w:num>
  <w:num w:numId="20" w16cid:durableId="1983853345">
    <w:abstractNumId w:val="0"/>
  </w:num>
  <w:num w:numId="21" w16cid:durableId="957759983">
    <w:abstractNumId w:val="9"/>
  </w:num>
  <w:num w:numId="22" w16cid:durableId="1402946515">
    <w:abstractNumId w:val="7"/>
  </w:num>
  <w:num w:numId="23" w16cid:durableId="2000036188">
    <w:abstractNumId w:val="6"/>
  </w:num>
  <w:num w:numId="24" w16cid:durableId="1984430794">
    <w:abstractNumId w:val="5"/>
  </w:num>
  <w:num w:numId="25" w16cid:durableId="1547180424">
    <w:abstractNumId w:val="4"/>
  </w:num>
  <w:num w:numId="26" w16cid:durableId="1553224289">
    <w:abstractNumId w:val="8"/>
  </w:num>
  <w:num w:numId="27" w16cid:durableId="74518764">
    <w:abstractNumId w:val="3"/>
  </w:num>
  <w:num w:numId="28" w16cid:durableId="413668593">
    <w:abstractNumId w:val="2"/>
  </w:num>
  <w:num w:numId="29" w16cid:durableId="1566062141">
    <w:abstractNumId w:val="1"/>
  </w:num>
  <w:num w:numId="30" w16cid:durableId="743723664">
    <w:abstractNumId w:val="0"/>
  </w:num>
  <w:num w:numId="31" w16cid:durableId="1444690798">
    <w:abstractNumId w:val="9"/>
  </w:num>
  <w:num w:numId="32" w16cid:durableId="1249771992">
    <w:abstractNumId w:val="7"/>
  </w:num>
  <w:num w:numId="33" w16cid:durableId="306133885">
    <w:abstractNumId w:val="6"/>
  </w:num>
  <w:num w:numId="34" w16cid:durableId="1953437898">
    <w:abstractNumId w:val="5"/>
  </w:num>
  <w:num w:numId="35" w16cid:durableId="563301705">
    <w:abstractNumId w:val="4"/>
  </w:num>
  <w:num w:numId="36" w16cid:durableId="763038634">
    <w:abstractNumId w:val="8"/>
  </w:num>
  <w:num w:numId="37" w16cid:durableId="499270645">
    <w:abstractNumId w:val="3"/>
  </w:num>
  <w:num w:numId="38" w16cid:durableId="1917788440">
    <w:abstractNumId w:val="2"/>
  </w:num>
  <w:num w:numId="39" w16cid:durableId="1690252457">
    <w:abstractNumId w:val="1"/>
  </w:num>
  <w:num w:numId="40" w16cid:durableId="2018265335">
    <w:abstractNumId w:val="0"/>
  </w:num>
  <w:num w:numId="41" w16cid:durableId="208037694">
    <w:abstractNumId w:val="10"/>
  </w:num>
  <w:num w:numId="42" w16cid:durableId="1753042467">
    <w:abstractNumId w:val="10"/>
  </w:num>
  <w:num w:numId="43" w16cid:durableId="174613791">
    <w:abstractNumId w:val="10"/>
  </w:num>
  <w:num w:numId="44" w16cid:durableId="1543589553">
    <w:abstractNumId w:val="11"/>
  </w:num>
  <w:num w:numId="45" w16cid:durableId="407191017">
    <w:abstractNumId w:val="12"/>
  </w:num>
  <w:num w:numId="46" w16cid:durableId="14464668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RO"/>
    <w:docVar w:name="dvnumam" w:val="0"/>
    <w:docVar w:name="dvpe" w:val="769.901"/>
    <w:docVar w:name="dvrapporteur" w:val="Raportor: "/>
    <w:docVar w:name="dvtitre" w:val="Rezoluția Parlamentului European din 10 septembrie 2025 referitoare la rapoartele Comisiei privind Ucraina din 2023 și 2024(2025/2026(INI))"/>
  </w:docVars>
  <w:rsids>
    <w:rsidRoot w:val="00E041F0"/>
    <w:rsid w:val="00002272"/>
    <w:rsid w:val="000518F3"/>
    <w:rsid w:val="00064002"/>
    <w:rsid w:val="000677B9"/>
    <w:rsid w:val="000831BA"/>
    <w:rsid w:val="000A42CC"/>
    <w:rsid w:val="000C0D06"/>
    <w:rsid w:val="000D5F6D"/>
    <w:rsid w:val="000E7DD9"/>
    <w:rsid w:val="0010095E"/>
    <w:rsid w:val="00125B37"/>
    <w:rsid w:val="001507D0"/>
    <w:rsid w:val="00187494"/>
    <w:rsid w:val="001F32AE"/>
    <w:rsid w:val="002767FF"/>
    <w:rsid w:val="002804EF"/>
    <w:rsid w:val="002B18FE"/>
    <w:rsid w:val="002B5493"/>
    <w:rsid w:val="00334AB5"/>
    <w:rsid w:val="00343214"/>
    <w:rsid w:val="00361C00"/>
    <w:rsid w:val="00395FA1"/>
    <w:rsid w:val="003E15D4"/>
    <w:rsid w:val="00411CCE"/>
    <w:rsid w:val="0041666E"/>
    <w:rsid w:val="00421060"/>
    <w:rsid w:val="004448B4"/>
    <w:rsid w:val="0044576D"/>
    <w:rsid w:val="004550B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767A"/>
    <w:rsid w:val="006F62A2"/>
    <w:rsid w:val="006F74FA"/>
    <w:rsid w:val="00731ADD"/>
    <w:rsid w:val="00734777"/>
    <w:rsid w:val="00735DA0"/>
    <w:rsid w:val="00747932"/>
    <w:rsid w:val="00751A4A"/>
    <w:rsid w:val="00756632"/>
    <w:rsid w:val="00762C74"/>
    <w:rsid w:val="007672CA"/>
    <w:rsid w:val="00786EC0"/>
    <w:rsid w:val="007D1690"/>
    <w:rsid w:val="007E097F"/>
    <w:rsid w:val="007E22AD"/>
    <w:rsid w:val="007E7D57"/>
    <w:rsid w:val="00817416"/>
    <w:rsid w:val="00842779"/>
    <w:rsid w:val="00865F67"/>
    <w:rsid w:val="00881A7B"/>
    <w:rsid w:val="008840E5"/>
    <w:rsid w:val="00887B3E"/>
    <w:rsid w:val="008C2AC6"/>
    <w:rsid w:val="00930C23"/>
    <w:rsid w:val="0093193B"/>
    <w:rsid w:val="009426A7"/>
    <w:rsid w:val="00945661"/>
    <w:rsid w:val="009509D8"/>
    <w:rsid w:val="00950B64"/>
    <w:rsid w:val="00981893"/>
    <w:rsid w:val="009C116C"/>
    <w:rsid w:val="00A1687D"/>
    <w:rsid w:val="00A43E52"/>
    <w:rsid w:val="00A4678D"/>
    <w:rsid w:val="00A52D63"/>
    <w:rsid w:val="00A778C7"/>
    <w:rsid w:val="00AB441E"/>
    <w:rsid w:val="00AB6293"/>
    <w:rsid w:val="00AE0928"/>
    <w:rsid w:val="00AF3B82"/>
    <w:rsid w:val="00B12E95"/>
    <w:rsid w:val="00B15C9C"/>
    <w:rsid w:val="00B22876"/>
    <w:rsid w:val="00B45ADE"/>
    <w:rsid w:val="00B558F0"/>
    <w:rsid w:val="00BC5577"/>
    <w:rsid w:val="00BD48FE"/>
    <w:rsid w:val="00BD7BD8"/>
    <w:rsid w:val="00BE6ADC"/>
    <w:rsid w:val="00C05BFE"/>
    <w:rsid w:val="00C23CD4"/>
    <w:rsid w:val="00C61C0C"/>
    <w:rsid w:val="00C941CB"/>
    <w:rsid w:val="00CC2357"/>
    <w:rsid w:val="00CC7B8B"/>
    <w:rsid w:val="00CE6F97"/>
    <w:rsid w:val="00CF071A"/>
    <w:rsid w:val="00D058B8"/>
    <w:rsid w:val="00D56C11"/>
    <w:rsid w:val="00D834A0"/>
    <w:rsid w:val="00D872DF"/>
    <w:rsid w:val="00D91E21"/>
    <w:rsid w:val="00DA7FCD"/>
    <w:rsid w:val="00DB6288"/>
    <w:rsid w:val="00DE3831"/>
    <w:rsid w:val="00E041F0"/>
    <w:rsid w:val="00E365E1"/>
    <w:rsid w:val="00E45408"/>
    <w:rsid w:val="00E649F5"/>
    <w:rsid w:val="00E70B81"/>
    <w:rsid w:val="00E820A4"/>
    <w:rsid w:val="00EB006A"/>
    <w:rsid w:val="00EB1E5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97A8E"/>
  <w15:chartTrackingRefBased/>
  <w15:docId w15:val="{B3601E2C-F93B-427B-AF1E-C60EFA72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097F"/>
    <w:rPr>
      <w:b/>
      <w:kern w:val="28"/>
      <w:sz w:val="28"/>
      <w:lang w:val="fr-FR" w:eastAsia="fr-FR"/>
    </w:rPr>
  </w:style>
  <w:style w:type="character" w:customStyle="1" w:styleId="Heading2Char">
    <w:name w:val="Heading 2 Char"/>
    <w:basedOn w:val="DefaultParagraphFont"/>
    <w:link w:val="Heading2"/>
    <w:semiHidden/>
    <w:rsid w:val="007E097F"/>
    <w:rPr>
      <w:sz w:val="24"/>
      <w:lang w:val="fr-FR" w:eastAsia="fr-FR"/>
    </w:rPr>
  </w:style>
  <w:style w:type="character" w:customStyle="1" w:styleId="Heading3Char">
    <w:name w:val="Heading 3 Char"/>
    <w:basedOn w:val="DefaultParagraphFont"/>
    <w:link w:val="Heading3"/>
    <w:semiHidden/>
    <w:rsid w:val="007E097F"/>
    <w:rPr>
      <w:rFonts w:ascii="Arial" w:hAnsi="Arial"/>
      <w:sz w:val="24"/>
      <w:lang w:val="fr-FR" w:eastAsia="fr-FR"/>
    </w:rPr>
  </w:style>
  <w:style w:type="character" w:customStyle="1" w:styleId="Heading4Char">
    <w:name w:val="Heading 4 Char"/>
    <w:basedOn w:val="DefaultParagraphFont"/>
    <w:link w:val="Heading4"/>
    <w:semiHidden/>
    <w:rsid w:val="007E097F"/>
    <w:rPr>
      <w:sz w:val="24"/>
      <w:lang w:val="en-US" w:eastAsia="fr-FR"/>
    </w:rPr>
  </w:style>
  <w:style w:type="character" w:customStyle="1" w:styleId="Heading5Char">
    <w:name w:val="Heading 5 Char"/>
    <w:basedOn w:val="DefaultParagraphFont"/>
    <w:link w:val="Heading5"/>
    <w:semiHidden/>
    <w:rsid w:val="007E097F"/>
    <w:rPr>
      <w:sz w:val="24"/>
      <w:lang w:val="en-US" w:eastAsia="fr-FR"/>
    </w:rPr>
  </w:style>
  <w:style w:type="character" w:customStyle="1" w:styleId="Heading6Char">
    <w:name w:val="Heading 6 Char"/>
    <w:basedOn w:val="DefaultParagraphFont"/>
    <w:link w:val="Heading6"/>
    <w:semiHidden/>
    <w:rsid w:val="007E097F"/>
    <w:rPr>
      <w:i/>
      <w:sz w:val="22"/>
      <w:lang w:val="ro-RO"/>
    </w:rPr>
  </w:style>
  <w:style w:type="character" w:customStyle="1" w:styleId="Heading7Char">
    <w:name w:val="Heading 7 Char"/>
    <w:basedOn w:val="DefaultParagraphFont"/>
    <w:link w:val="Heading7"/>
    <w:semiHidden/>
    <w:rsid w:val="007E097F"/>
    <w:rPr>
      <w:rFonts w:ascii="Arial" w:hAnsi="Arial"/>
      <w:sz w:val="24"/>
      <w:lang w:val="ro-RO"/>
    </w:rPr>
  </w:style>
  <w:style w:type="character" w:customStyle="1" w:styleId="Heading8Char">
    <w:name w:val="Heading 8 Char"/>
    <w:basedOn w:val="DefaultParagraphFont"/>
    <w:link w:val="Heading8"/>
    <w:semiHidden/>
    <w:rsid w:val="007E097F"/>
    <w:rPr>
      <w:rFonts w:ascii="Arial" w:hAnsi="Arial"/>
      <w:i/>
      <w:sz w:val="24"/>
      <w:lang w:val="ro-RO"/>
    </w:rPr>
  </w:style>
  <w:style w:type="character" w:customStyle="1" w:styleId="Heading9Char">
    <w:name w:val="Heading 9 Char"/>
    <w:basedOn w:val="DefaultParagraphFont"/>
    <w:link w:val="Heading9"/>
    <w:semiHidden/>
    <w:rsid w:val="007E097F"/>
    <w:rPr>
      <w:rFonts w:ascii="Arial" w:hAnsi="Arial"/>
      <w:b/>
      <w:i/>
      <w:sz w:val="18"/>
      <w:lang w:val="ro-RO"/>
    </w:rPr>
  </w:style>
  <w:style w:type="paragraph" w:styleId="TOCHeading">
    <w:name w:val="TOC Heading"/>
    <w:basedOn w:val="Normal"/>
    <w:next w:val="Normal"/>
    <w:unhideWhenUsed/>
    <w:qFormat/>
    <w:rsid w:val="007E097F"/>
    <w:pPr>
      <w:widowControl/>
      <w:spacing w:after="240"/>
    </w:pPr>
    <w:rPr>
      <w:lang w:val="en-GB"/>
    </w:rPr>
  </w:style>
  <w:style w:type="paragraph" w:customStyle="1" w:styleId="EPComma">
    <w:name w:val="EPComma"/>
    <w:basedOn w:val="Normal"/>
    <w:rsid w:val="007E097F"/>
    <w:pPr>
      <w:spacing w:before="480" w:after="240"/>
    </w:pPr>
    <w:rPr>
      <w:snapToGrid w:val="0"/>
      <w:lang w:eastAsia="en-US"/>
    </w:rPr>
  </w:style>
  <w:style w:type="paragraph" w:customStyle="1" w:styleId="CoverNormal">
    <w:name w:val="CoverNormal"/>
    <w:basedOn w:val="Normal"/>
    <w:rsid w:val="007E097F"/>
    <w:pPr>
      <w:ind w:left="1418"/>
    </w:pPr>
    <w:rPr>
      <w:snapToGrid w:val="0"/>
      <w:lang w:eastAsia="en-US"/>
    </w:rPr>
  </w:style>
  <w:style w:type="paragraph" w:customStyle="1" w:styleId="TOCRight">
    <w:name w:val="TOC Right"/>
    <w:basedOn w:val="Normal"/>
    <w:rsid w:val="007E097F"/>
    <w:pPr>
      <w:spacing w:after="240"/>
      <w:jc w:val="right"/>
    </w:pPr>
    <w:rPr>
      <w:snapToGrid w:val="0"/>
      <w:lang w:eastAsia="en-US"/>
    </w:rPr>
  </w:style>
  <w:style w:type="paragraph" w:customStyle="1" w:styleId="CoverDateRefPart">
    <w:name w:val="CoverDateRefPart"/>
    <w:basedOn w:val="Normal"/>
    <w:rsid w:val="007E097F"/>
    <w:pPr>
      <w:spacing w:after="1200"/>
    </w:pPr>
    <w:rPr>
      <w:snapToGrid w:val="0"/>
      <w:lang w:eastAsia="en-US"/>
    </w:rPr>
  </w:style>
  <w:style w:type="paragraph" w:customStyle="1" w:styleId="EPFooter2">
    <w:name w:val="EPFooter2"/>
    <w:basedOn w:val="Normal"/>
    <w:next w:val="Normal"/>
    <w:rsid w:val="007E097F"/>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7E097F"/>
    <w:rPr>
      <w:b/>
      <w:snapToGrid w:val="0"/>
      <w:lang w:eastAsia="en-US"/>
    </w:rPr>
  </w:style>
  <w:style w:type="paragraph" w:customStyle="1" w:styleId="CoverReference">
    <w:name w:val="CoverReference"/>
    <w:basedOn w:val="Normal"/>
    <w:rsid w:val="007E097F"/>
    <w:pPr>
      <w:spacing w:before="1080"/>
      <w:jc w:val="right"/>
    </w:pPr>
    <w:rPr>
      <w:rFonts w:ascii="Arial" w:hAnsi="Arial" w:cs="Arial"/>
      <w:b/>
      <w:snapToGrid w:val="0"/>
      <w:lang w:eastAsia="en-US"/>
    </w:rPr>
  </w:style>
  <w:style w:type="paragraph" w:customStyle="1" w:styleId="CoverNormal24a">
    <w:name w:val="CoverNormal24a"/>
    <w:basedOn w:val="Normal"/>
    <w:rsid w:val="007E097F"/>
    <w:pPr>
      <w:spacing w:after="480"/>
      <w:ind w:left="1417"/>
    </w:pPr>
    <w:rPr>
      <w:snapToGrid w:val="0"/>
      <w:lang w:eastAsia="en-US"/>
    </w:rPr>
  </w:style>
  <w:style w:type="paragraph" w:customStyle="1" w:styleId="TOCPage">
    <w:name w:val="TOC Page"/>
    <w:basedOn w:val="Normal"/>
    <w:next w:val="TOC1"/>
    <w:rsid w:val="007E097F"/>
    <w:pPr>
      <w:keepNext/>
      <w:spacing w:after="240"/>
      <w:jc w:val="right"/>
    </w:pPr>
    <w:rPr>
      <w:rFonts w:ascii="Arial" w:hAnsi="Arial"/>
      <w:b/>
      <w:snapToGrid w:val="0"/>
      <w:lang w:eastAsia="en-US"/>
    </w:rPr>
  </w:style>
  <w:style w:type="paragraph" w:customStyle="1" w:styleId="CoverDocType24a">
    <w:name w:val="CoverDocType24a"/>
    <w:basedOn w:val="Normal"/>
    <w:rsid w:val="007E097F"/>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7E097F"/>
    <w:pPr>
      <w:widowControl/>
      <w:spacing w:after="240"/>
      <w:ind w:left="567" w:hanging="567"/>
    </w:pPr>
    <w:rPr>
      <w:snapToGrid w:val="0"/>
      <w:lang w:eastAsia="en-US"/>
    </w:rPr>
  </w:style>
  <w:style w:type="paragraph" w:styleId="TOC4">
    <w:name w:val="toc 4"/>
    <w:basedOn w:val="Normal"/>
    <w:next w:val="Normal"/>
    <w:autoRedefine/>
    <w:rsid w:val="007E097F"/>
    <w:pPr>
      <w:ind w:left="720"/>
    </w:pPr>
    <w:rPr>
      <w:snapToGrid w:val="0"/>
      <w:lang w:eastAsia="en-US"/>
    </w:rPr>
  </w:style>
  <w:style w:type="paragraph" w:customStyle="1" w:styleId="PageHeading">
    <w:name w:val="PageHeading"/>
    <w:basedOn w:val="Normal"/>
    <w:rsid w:val="007E097F"/>
    <w:pPr>
      <w:keepNext/>
      <w:spacing w:after="480"/>
      <w:jc w:val="center"/>
    </w:pPr>
    <w:rPr>
      <w:rFonts w:ascii="Arial" w:hAnsi="Arial" w:cs="Arial"/>
      <w:b/>
      <w:snapToGrid w:val="0"/>
      <w:lang w:eastAsia="en-US"/>
    </w:rPr>
  </w:style>
  <w:style w:type="paragraph" w:styleId="TOC5">
    <w:name w:val="toc 5"/>
    <w:basedOn w:val="Normal"/>
    <w:next w:val="Normal"/>
    <w:autoRedefine/>
    <w:rsid w:val="007E097F"/>
    <w:pPr>
      <w:ind w:left="960"/>
    </w:pPr>
    <w:rPr>
      <w:snapToGrid w:val="0"/>
      <w:lang w:eastAsia="en-US"/>
    </w:rPr>
  </w:style>
  <w:style w:type="paragraph" w:styleId="TOC6">
    <w:name w:val="toc 6"/>
    <w:basedOn w:val="Normal"/>
    <w:next w:val="Normal"/>
    <w:autoRedefine/>
    <w:rsid w:val="007E097F"/>
    <w:pPr>
      <w:ind w:left="1200"/>
    </w:pPr>
    <w:rPr>
      <w:snapToGrid w:val="0"/>
      <w:lang w:eastAsia="en-US"/>
    </w:rPr>
  </w:style>
  <w:style w:type="paragraph" w:styleId="TOC7">
    <w:name w:val="toc 7"/>
    <w:basedOn w:val="Normal"/>
    <w:next w:val="Normal"/>
    <w:autoRedefine/>
    <w:rsid w:val="007E097F"/>
    <w:pPr>
      <w:ind w:left="1440"/>
    </w:pPr>
    <w:rPr>
      <w:snapToGrid w:val="0"/>
      <w:lang w:eastAsia="en-US"/>
    </w:rPr>
  </w:style>
  <w:style w:type="paragraph" w:styleId="TOC8">
    <w:name w:val="toc 8"/>
    <w:basedOn w:val="Normal"/>
    <w:next w:val="Normal"/>
    <w:autoRedefine/>
    <w:rsid w:val="007E097F"/>
    <w:pPr>
      <w:ind w:left="1680"/>
    </w:pPr>
    <w:rPr>
      <w:snapToGrid w:val="0"/>
      <w:lang w:eastAsia="en-US"/>
    </w:rPr>
  </w:style>
  <w:style w:type="paragraph" w:styleId="TOC9">
    <w:name w:val="toc 9"/>
    <w:basedOn w:val="Normal"/>
    <w:next w:val="Normal"/>
    <w:autoRedefine/>
    <w:rsid w:val="007E097F"/>
    <w:pPr>
      <w:ind w:left="1920"/>
    </w:pPr>
    <w:rPr>
      <w:snapToGrid w:val="0"/>
      <w:lang w:eastAsia="en-US"/>
    </w:rPr>
  </w:style>
  <w:style w:type="paragraph" w:customStyle="1" w:styleId="TOCSubHeading">
    <w:name w:val="TOC SubHeading"/>
    <w:basedOn w:val="Normal"/>
    <w:rsid w:val="007E097F"/>
    <w:pPr>
      <w:spacing w:before="480" w:after="240"/>
    </w:pPr>
    <w:rPr>
      <w:b/>
      <w:snapToGrid w:val="0"/>
      <w:lang w:eastAsia="en-US"/>
    </w:rPr>
  </w:style>
  <w:style w:type="paragraph" w:customStyle="1" w:styleId="TOCTabLeader">
    <w:name w:val="TOC TabLeader"/>
    <w:basedOn w:val="Normal"/>
    <w:rsid w:val="007E097F"/>
    <w:pPr>
      <w:tabs>
        <w:tab w:val="left" w:leader="dot" w:pos="5954"/>
      </w:tabs>
      <w:spacing w:after="240"/>
    </w:pPr>
    <w:rPr>
      <w:snapToGrid w:val="0"/>
      <w:lang w:eastAsia="en-US"/>
    </w:rPr>
  </w:style>
  <w:style w:type="paragraph" w:customStyle="1" w:styleId="CoverNormalHanging">
    <w:name w:val="CoverNormalHanging"/>
    <w:basedOn w:val="Normal"/>
    <w:rsid w:val="007E097F"/>
    <w:pPr>
      <w:ind w:left="3686" w:hanging="2268"/>
    </w:pPr>
    <w:rPr>
      <w:snapToGrid w:val="0"/>
      <w:lang w:eastAsia="en-US"/>
    </w:rPr>
  </w:style>
  <w:style w:type="paragraph" w:customStyle="1" w:styleId="EPBody">
    <w:name w:val="EPBody"/>
    <w:basedOn w:val="Normal"/>
    <w:rsid w:val="007E097F"/>
    <w:pPr>
      <w:jc w:val="center"/>
    </w:pPr>
    <w:rPr>
      <w:rFonts w:ascii="Arial" w:hAnsi="Arial" w:cs="Arial"/>
      <w:i/>
      <w:sz w:val="22"/>
      <w:szCs w:val="22"/>
    </w:rPr>
  </w:style>
  <w:style w:type="paragraph" w:customStyle="1" w:styleId="CoverRefPart">
    <w:name w:val="CoverRefPart"/>
    <w:basedOn w:val="Normal"/>
    <w:rsid w:val="007E097F"/>
    <w:pPr>
      <w:jc w:val="right"/>
    </w:pPr>
    <w:rPr>
      <w:rFonts w:ascii="Arial" w:hAnsi="Arial"/>
      <w:snapToGrid w:val="0"/>
      <w:lang w:eastAsia="en-US"/>
    </w:rPr>
  </w:style>
  <w:style w:type="paragraph" w:customStyle="1" w:styleId="Subheading">
    <w:name w:val="Subheading"/>
    <w:basedOn w:val="Normal"/>
    <w:rsid w:val="007E097F"/>
    <w:pPr>
      <w:spacing w:before="480" w:after="240"/>
    </w:pPr>
    <w:rPr>
      <w:b/>
      <w:bCs/>
      <w:i/>
      <w:iCs/>
      <w:snapToGrid w:val="0"/>
      <w:lang w:eastAsia="en-US"/>
    </w:rPr>
  </w:style>
  <w:style w:type="paragraph" w:customStyle="1" w:styleId="EPFooter">
    <w:name w:val="EPFooter"/>
    <w:basedOn w:val="Normal"/>
    <w:rsid w:val="007E097F"/>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7E097F"/>
    <w:pPr>
      <w:tabs>
        <w:tab w:val="center" w:pos="4513"/>
        <w:tab w:val="right" w:pos="9026"/>
      </w:tabs>
    </w:pPr>
    <w:rPr>
      <w:snapToGrid w:val="0"/>
      <w:lang w:eastAsia="en-US"/>
    </w:rPr>
  </w:style>
  <w:style w:type="character" w:customStyle="1" w:styleId="HeaderChar">
    <w:name w:val="Header Char"/>
    <w:basedOn w:val="DefaultParagraphFont"/>
    <w:link w:val="Header"/>
    <w:rsid w:val="007E097F"/>
    <w:rPr>
      <w:snapToGrid w:val="0"/>
      <w:sz w:val="24"/>
      <w:lang w:val="ro-RO" w:eastAsia="en-US"/>
    </w:rPr>
  </w:style>
  <w:style w:type="paragraph" w:customStyle="1" w:styleId="AmColumnHeading">
    <w:name w:val="AmColumnHeading"/>
    <w:basedOn w:val="Normal"/>
    <w:rsid w:val="007E097F"/>
    <w:pPr>
      <w:spacing w:after="240"/>
      <w:jc w:val="center"/>
    </w:pPr>
    <w:rPr>
      <w:i/>
    </w:rPr>
  </w:style>
  <w:style w:type="paragraph" w:customStyle="1" w:styleId="AmCrossRef">
    <w:name w:val="AmCrossRef"/>
    <w:basedOn w:val="Normal"/>
    <w:rsid w:val="007E097F"/>
    <w:pPr>
      <w:spacing w:before="240" w:after="240"/>
      <w:jc w:val="center"/>
    </w:pPr>
    <w:rPr>
      <w:i/>
    </w:rPr>
  </w:style>
  <w:style w:type="paragraph" w:customStyle="1" w:styleId="AmJustText">
    <w:name w:val="AmJustText"/>
    <w:basedOn w:val="Normal"/>
    <w:rsid w:val="007E097F"/>
    <w:pPr>
      <w:spacing w:after="240"/>
    </w:pPr>
    <w:rPr>
      <w:i/>
    </w:rPr>
  </w:style>
  <w:style w:type="paragraph" w:customStyle="1" w:styleId="AmJustTitle">
    <w:name w:val="AmJustTitle"/>
    <w:basedOn w:val="Normal"/>
    <w:next w:val="AmJustText"/>
    <w:rsid w:val="007E097F"/>
    <w:pPr>
      <w:keepNext/>
      <w:spacing w:before="240" w:after="240"/>
      <w:jc w:val="center"/>
    </w:pPr>
    <w:rPr>
      <w:i/>
    </w:rPr>
  </w:style>
  <w:style w:type="paragraph" w:customStyle="1" w:styleId="AmNumberTabs">
    <w:name w:val="AmNumberTabs"/>
    <w:basedOn w:val="Normal"/>
    <w:rsid w:val="007E09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7E097F"/>
    <w:pPr>
      <w:spacing w:before="240" w:after="240"/>
      <w:jc w:val="right"/>
    </w:pPr>
  </w:style>
  <w:style w:type="paragraph" w:customStyle="1" w:styleId="AnnexWPDate">
    <w:name w:val="AnnexWPDate"/>
    <w:basedOn w:val="Normal"/>
    <w:rsid w:val="007E097F"/>
    <w:pPr>
      <w:spacing w:before="240" w:after="480"/>
      <w:jc w:val="right"/>
    </w:pPr>
  </w:style>
  <w:style w:type="paragraph" w:customStyle="1" w:styleId="AnnexWPDocType">
    <w:name w:val="AnnexWPDocType"/>
    <w:basedOn w:val="Normal"/>
    <w:rsid w:val="007E097F"/>
    <w:pPr>
      <w:spacing w:after="240"/>
      <w:jc w:val="center"/>
    </w:pPr>
    <w:rPr>
      <w:b/>
    </w:rPr>
  </w:style>
  <w:style w:type="paragraph" w:customStyle="1" w:styleId="AnnexWPLogo">
    <w:name w:val="AnnexWPLogo"/>
    <w:basedOn w:val="Normal"/>
    <w:rsid w:val="007E097F"/>
    <w:pPr>
      <w:spacing w:before="120" w:after="120"/>
    </w:pPr>
  </w:style>
  <w:style w:type="paragraph" w:customStyle="1" w:styleId="AnnexWPSmall">
    <w:name w:val="AnnexWPSmall"/>
    <w:basedOn w:val="Normal"/>
    <w:rsid w:val="007E097F"/>
    <w:rPr>
      <w:smallCaps/>
      <w:sz w:val="20"/>
    </w:rPr>
  </w:style>
  <w:style w:type="paragraph" w:customStyle="1" w:styleId="AnnexWPTabs">
    <w:name w:val="AnnexWPTabs"/>
    <w:basedOn w:val="Normal"/>
    <w:rsid w:val="007E097F"/>
    <w:pPr>
      <w:tabs>
        <w:tab w:val="right" w:pos="3686"/>
        <w:tab w:val="left" w:pos="3827"/>
      </w:tabs>
    </w:pPr>
    <w:rPr>
      <w:b/>
    </w:rPr>
  </w:style>
  <w:style w:type="paragraph" w:customStyle="1" w:styleId="AnnexWPTitle">
    <w:name w:val="AnnexWPTitle"/>
    <w:basedOn w:val="Normal"/>
    <w:rsid w:val="007E097F"/>
    <w:pPr>
      <w:spacing w:before="480"/>
    </w:pPr>
    <w:rPr>
      <w:b/>
    </w:rPr>
  </w:style>
  <w:style w:type="paragraph" w:customStyle="1" w:styleId="AmHeadingConsam">
    <w:name w:val="AmHeadingConsam"/>
    <w:basedOn w:val="Normal"/>
    <w:next w:val="Normal"/>
    <w:rsid w:val="007E097F"/>
    <w:pPr>
      <w:spacing w:before="720" w:after="240"/>
      <w:jc w:val="center"/>
    </w:pPr>
  </w:style>
  <w:style w:type="paragraph" w:customStyle="1" w:styleId="CoverNormal12a">
    <w:name w:val="CoverNormal12a"/>
    <w:basedOn w:val="Normal"/>
    <w:rsid w:val="007E097F"/>
    <w:pPr>
      <w:spacing w:after="240"/>
      <w:ind w:left="1418"/>
    </w:pPr>
  </w:style>
  <w:style w:type="paragraph" w:customStyle="1" w:styleId="Confidential">
    <w:name w:val="Confidential"/>
    <w:basedOn w:val="Normal"/>
    <w:rsid w:val="007E097F"/>
    <w:pPr>
      <w:spacing w:before="120" w:after="120"/>
      <w:jc w:val="center"/>
    </w:pPr>
    <w:rPr>
      <w:rFonts w:ascii="Arial" w:hAnsi="Arial"/>
      <w:caps/>
    </w:rPr>
  </w:style>
  <w:style w:type="paragraph" w:customStyle="1" w:styleId="CoverReferenceIMM">
    <w:name w:val="CoverReferenceIMM"/>
    <w:basedOn w:val="Normal"/>
    <w:rsid w:val="007E097F"/>
    <w:pPr>
      <w:spacing w:before="360"/>
      <w:jc w:val="right"/>
    </w:pPr>
    <w:rPr>
      <w:rFonts w:ascii="Arial" w:hAnsi="Arial"/>
      <w:b/>
    </w:rPr>
  </w:style>
  <w:style w:type="paragraph" w:customStyle="1" w:styleId="CoverDate">
    <w:name w:val="CoverDate"/>
    <w:basedOn w:val="Normal"/>
    <w:rsid w:val="007E097F"/>
    <w:pPr>
      <w:spacing w:before="240" w:after="1200"/>
    </w:pPr>
  </w:style>
  <w:style w:type="paragraph" w:customStyle="1" w:styleId="CoverDocType">
    <w:name w:val="CoverDocType"/>
    <w:basedOn w:val="Normal"/>
    <w:rsid w:val="007E097F"/>
    <w:pPr>
      <w:ind w:left="1418"/>
    </w:pPr>
    <w:rPr>
      <w:rFonts w:ascii="Arial" w:hAnsi="Arial"/>
      <w:b/>
      <w:sz w:val="48"/>
    </w:rPr>
  </w:style>
  <w:style w:type="paragraph" w:customStyle="1" w:styleId="NormalBold12a">
    <w:name w:val="NormalBold12a"/>
    <w:basedOn w:val="Normal"/>
    <w:rsid w:val="007E097F"/>
    <w:pPr>
      <w:spacing w:after="240"/>
    </w:pPr>
    <w:rPr>
      <w:b/>
    </w:rPr>
  </w:style>
  <w:style w:type="paragraph" w:customStyle="1" w:styleId="NormalCenter12a">
    <w:name w:val="NormalCenter12a"/>
    <w:basedOn w:val="Normal"/>
    <w:rsid w:val="007E097F"/>
    <w:pPr>
      <w:spacing w:after="240"/>
      <w:jc w:val="center"/>
    </w:pPr>
  </w:style>
  <w:style w:type="paragraph" w:customStyle="1" w:styleId="Normal6a">
    <w:name w:val="Normal6a"/>
    <w:basedOn w:val="Normal"/>
    <w:rsid w:val="007E097F"/>
    <w:pPr>
      <w:spacing w:after="120"/>
    </w:pPr>
  </w:style>
  <w:style w:type="paragraph" w:customStyle="1" w:styleId="NormalBold12b">
    <w:name w:val="NormalBold12b"/>
    <w:basedOn w:val="Normal"/>
    <w:rsid w:val="007E097F"/>
    <w:pPr>
      <w:spacing w:before="240"/>
    </w:pPr>
    <w:rPr>
      <w:b/>
    </w:rPr>
  </w:style>
  <w:style w:type="paragraph" w:customStyle="1" w:styleId="Arial14CentreBold">
    <w:name w:val="Arial14CentreBold"/>
    <w:basedOn w:val="Normal"/>
    <w:qFormat/>
    <w:rsid w:val="007E097F"/>
    <w:pPr>
      <w:jc w:val="center"/>
    </w:pPr>
    <w:rPr>
      <w:rFonts w:ascii="Arial" w:hAnsi="Arial" w:cs="Arial"/>
      <w:b/>
      <w:sz w:val="28"/>
      <w:szCs w:val="28"/>
    </w:rPr>
  </w:style>
  <w:style w:type="character" w:customStyle="1" w:styleId="Bold">
    <w:name w:val="Bold"/>
    <w:uiPriority w:val="1"/>
    <w:rsid w:val="007E097F"/>
    <w:rPr>
      <w:b/>
    </w:rPr>
  </w:style>
  <w:style w:type="character" w:customStyle="1" w:styleId="BoldItalic">
    <w:name w:val="BoldItalic"/>
    <w:uiPriority w:val="1"/>
    <w:rsid w:val="007E097F"/>
    <w:rPr>
      <w:b/>
      <w:i/>
      <w:u w:val="none"/>
    </w:rPr>
  </w:style>
  <w:style w:type="character" w:customStyle="1" w:styleId="BoldItalicUnderline">
    <w:name w:val="BoldItalicUnderline"/>
    <w:uiPriority w:val="1"/>
    <w:rsid w:val="007E097F"/>
    <w:rPr>
      <w:b/>
      <w:i/>
      <w:u w:val="single"/>
    </w:rPr>
  </w:style>
  <w:style w:type="character" w:customStyle="1" w:styleId="BoldUnderline">
    <w:name w:val="BoldUnderline"/>
    <w:uiPriority w:val="1"/>
    <w:rsid w:val="007E097F"/>
    <w:rPr>
      <w:b/>
      <w:u w:val="single"/>
    </w:rPr>
  </w:style>
  <w:style w:type="paragraph" w:customStyle="1" w:styleId="CoverNormalLeft">
    <w:name w:val="CoverNormalLeft"/>
    <w:basedOn w:val="CoverNormal"/>
    <w:qFormat/>
    <w:rsid w:val="007E097F"/>
    <w:pPr>
      <w:ind w:left="0"/>
    </w:pPr>
    <w:rPr>
      <w:snapToGrid/>
      <w:lang w:eastAsia="en-GB"/>
    </w:rPr>
  </w:style>
  <w:style w:type="paragraph" w:customStyle="1" w:styleId="EPFooter2Landscape">
    <w:name w:val="EPFooter2Landscape"/>
    <w:qFormat/>
    <w:rsid w:val="007E097F"/>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7E097F"/>
    <w:rPr>
      <w:rFonts w:ascii="Arial" w:hAnsi="Arial"/>
      <w:b/>
      <w:i/>
      <w:color w:val="C0C0C0"/>
      <w:sz w:val="22"/>
    </w:rPr>
  </w:style>
  <w:style w:type="paragraph" w:customStyle="1" w:styleId="EPFooterLandscape">
    <w:name w:val="EPFooterLandscape"/>
    <w:qFormat/>
    <w:rsid w:val="007E097F"/>
    <w:pPr>
      <w:tabs>
        <w:tab w:val="center" w:pos="6804"/>
        <w:tab w:val="right" w:pos="15026"/>
      </w:tabs>
    </w:pPr>
    <w:rPr>
      <w:sz w:val="22"/>
      <w:lang w:val="ro-RO"/>
    </w:rPr>
  </w:style>
  <w:style w:type="character" w:customStyle="1" w:styleId="Italic">
    <w:name w:val="Italic"/>
    <w:uiPriority w:val="1"/>
    <w:rsid w:val="007E097F"/>
    <w:rPr>
      <w:i/>
    </w:rPr>
  </w:style>
  <w:style w:type="character" w:customStyle="1" w:styleId="ItalicUnderline">
    <w:name w:val="ItalicUnderline"/>
    <w:uiPriority w:val="1"/>
    <w:rsid w:val="007E097F"/>
    <w:rPr>
      <w:i/>
      <w:u w:val="single"/>
    </w:rPr>
  </w:style>
  <w:style w:type="paragraph" w:customStyle="1" w:styleId="LegendSign">
    <w:name w:val="LegendSign"/>
    <w:basedOn w:val="Normal"/>
    <w:qFormat/>
    <w:rsid w:val="007E097F"/>
    <w:pPr>
      <w:tabs>
        <w:tab w:val="right" w:pos="454"/>
        <w:tab w:val="left" w:pos="737"/>
      </w:tabs>
      <w:ind w:left="737" w:hanging="737"/>
    </w:pPr>
    <w:rPr>
      <w:sz w:val="18"/>
    </w:rPr>
  </w:style>
  <w:style w:type="paragraph" w:customStyle="1" w:styleId="LegendStandard">
    <w:name w:val="LegendStandard"/>
    <w:basedOn w:val="LegendSign"/>
    <w:qFormat/>
    <w:rsid w:val="007E097F"/>
    <w:pPr>
      <w:ind w:left="0" w:firstLine="0"/>
    </w:pPr>
  </w:style>
  <w:style w:type="paragraph" w:customStyle="1" w:styleId="LegendTitle">
    <w:name w:val="LegendTitle"/>
    <w:basedOn w:val="Normal"/>
    <w:qFormat/>
    <w:rsid w:val="007E097F"/>
    <w:pPr>
      <w:spacing w:before="240" w:after="240"/>
    </w:pPr>
    <w:rPr>
      <w:b/>
      <w:i/>
    </w:rPr>
  </w:style>
  <w:style w:type="character" w:customStyle="1" w:styleId="HideTermComment">
    <w:name w:val="HideTermComment"/>
    <w:uiPriority w:val="1"/>
    <w:qFormat/>
    <w:rsid w:val="007E097F"/>
    <w:rPr>
      <w:rFonts w:ascii="Arial" w:hAnsi="Arial"/>
      <w:vanish/>
      <w:color w:val="0066CC"/>
      <w:sz w:val="18"/>
    </w:rPr>
  </w:style>
  <w:style w:type="character" w:customStyle="1" w:styleId="HideTerminTermComment">
    <w:name w:val="HideTerminTermComment"/>
    <w:basedOn w:val="HideTermComment"/>
    <w:uiPriority w:val="1"/>
    <w:qFormat/>
    <w:rsid w:val="007E097F"/>
    <w:rPr>
      <w:rFonts w:ascii="Arial" w:hAnsi="Arial"/>
      <w:vanish/>
      <w:color w:val="538135" w:themeColor="accent6" w:themeShade="BF"/>
      <w:sz w:val="18"/>
    </w:rPr>
  </w:style>
  <w:style w:type="paragraph" w:customStyle="1" w:styleId="Normal12a">
    <w:name w:val="Normal12a"/>
    <w:basedOn w:val="Normal"/>
    <w:rsid w:val="007E097F"/>
    <w:pPr>
      <w:spacing w:after="240"/>
    </w:pPr>
  </w:style>
  <w:style w:type="paragraph" w:customStyle="1" w:styleId="Normal12b">
    <w:name w:val="Normal12b"/>
    <w:basedOn w:val="Normal"/>
    <w:qFormat/>
    <w:rsid w:val="007E097F"/>
    <w:pPr>
      <w:spacing w:before="240"/>
    </w:pPr>
  </w:style>
  <w:style w:type="paragraph" w:customStyle="1" w:styleId="NormalBoldUnderline24b">
    <w:name w:val="NormalBoldUnderline24b"/>
    <w:basedOn w:val="Normal"/>
    <w:qFormat/>
    <w:rsid w:val="007E097F"/>
    <w:pPr>
      <w:spacing w:before="480"/>
    </w:pPr>
    <w:rPr>
      <w:b/>
      <w:u w:val="single"/>
    </w:rPr>
  </w:style>
  <w:style w:type="paragraph" w:customStyle="1" w:styleId="NormalBoldUnderline24b12a">
    <w:name w:val="NormalBoldUnderline24b12a"/>
    <w:basedOn w:val="NormalBoldUnderline24b"/>
    <w:qFormat/>
    <w:rsid w:val="007E097F"/>
    <w:pPr>
      <w:spacing w:after="240"/>
    </w:pPr>
  </w:style>
  <w:style w:type="paragraph" w:customStyle="1" w:styleId="Normal12aBullet1">
    <w:name w:val="Normal12aBullet1"/>
    <w:basedOn w:val="Normal"/>
    <w:qFormat/>
    <w:rsid w:val="007E097F"/>
    <w:pPr>
      <w:widowControl/>
      <w:numPr>
        <w:numId w:val="45"/>
      </w:numPr>
    </w:pPr>
  </w:style>
  <w:style w:type="paragraph" w:customStyle="1" w:styleId="Normal12aBullet2">
    <w:name w:val="Normal12aBullet2"/>
    <w:basedOn w:val="Normal"/>
    <w:qFormat/>
    <w:rsid w:val="007E097F"/>
    <w:pPr>
      <w:numPr>
        <w:numId w:val="46"/>
      </w:numPr>
    </w:pPr>
  </w:style>
  <w:style w:type="paragraph" w:customStyle="1" w:styleId="NormalHanging12a1">
    <w:name w:val="NormalHanging12a1"/>
    <w:basedOn w:val="Normal"/>
    <w:qFormat/>
    <w:rsid w:val="007E097F"/>
    <w:pPr>
      <w:spacing w:after="240"/>
      <w:ind w:left="992" w:hanging="425"/>
    </w:pPr>
  </w:style>
  <w:style w:type="paragraph" w:customStyle="1" w:styleId="NormalHanging12a2">
    <w:name w:val="NormalHanging12a2"/>
    <w:basedOn w:val="NormalHanging12a1"/>
    <w:qFormat/>
    <w:rsid w:val="007E097F"/>
    <w:pPr>
      <w:ind w:left="1417"/>
    </w:pPr>
  </w:style>
  <w:style w:type="paragraph" w:customStyle="1" w:styleId="NormalHanging12a3">
    <w:name w:val="NormalHanging12a3"/>
    <w:basedOn w:val="NormalHanging12a2"/>
    <w:qFormat/>
    <w:rsid w:val="007E097F"/>
    <w:pPr>
      <w:ind w:left="1843"/>
    </w:pPr>
  </w:style>
  <w:style w:type="paragraph" w:customStyle="1" w:styleId="NormalHanging12a4">
    <w:name w:val="NormalHanging12a4"/>
    <w:basedOn w:val="NormalHanging12a3"/>
    <w:qFormat/>
    <w:rsid w:val="007E097F"/>
    <w:pPr>
      <w:ind w:left="2268"/>
    </w:pPr>
  </w:style>
  <w:style w:type="paragraph" w:customStyle="1" w:styleId="NormalHanging12a5">
    <w:name w:val="NormalHanging12a5"/>
    <w:basedOn w:val="NormalHanging12a4"/>
    <w:qFormat/>
    <w:rsid w:val="007E097F"/>
    <w:pPr>
      <w:ind w:left="2693"/>
    </w:pPr>
  </w:style>
  <w:style w:type="paragraph" w:customStyle="1" w:styleId="NormalHanging12a6">
    <w:name w:val="NormalHanging12a6"/>
    <w:basedOn w:val="NormalHanging12a5"/>
    <w:qFormat/>
    <w:rsid w:val="007E097F"/>
    <w:pPr>
      <w:ind w:left="3118"/>
    </w:pPr>
  </w:style>
  <w:style w:type="paragraph" w:customStyle="1" w:styleId="NormalHanging12a7">
    <w:name w:val="NormalHanging12a7"/>
    <w:basedOn w:val="NormalHanging12a6"/>
    <w:qFormat/>
    <w:rsid w:val="007E097F"/>
    <w:pPr>
      <w:ind w:left="3544"/>
    </w:pPr>
  </w:style>
  <w:style w:type="paragraph" w:customStyle="1" w:styleId="NormalHangingCenter">
    <w:name w:val="NormalHangingCenter"/>
    <w:basedOn w:val="Normal"/>
    <w:qFormat/>
    <w:rsid w:val="007E097F"/>
    <w:pPr>
      <w:spacing w:after="240"/>
      <w:ind w:left="567" w:hanging="567"/>
      <w:jc w:val="center"/>
    </w:pPr>
  </w:style>
  <w:style w:type="paragraph" w:customStyle="1" w:styleId="NormalHangingJustified">
    <w:name w:val="NormalHangingJustified"/>
    <w:basedOn w:val="Normal"/>
    <w:qFormat/>
    <w:rsid w:val="007E097F"/>
    <w:pPr>
      <w:spacing w:after="240"/>
      <w:ind w:left="714" w:hanging="357"/>
      <w:jc w:val="both"/>
    </w:pPr>
  </w:style>
  <w:style w:type="paragraph" w:customStyle="1" w:styleId="NormalUnderline24b12a">
    <w:name w:val="NormalUnderline24b12a"/>
    <w:basedOn w:val="EPComma"/>
    <w:qFormat/>
    <w:rsid w:val="007E097F"/>
    <w:rPr>
      <w:snapToGrid/>
      <w:u w:val="single"/>
      <w:lang w:eastAsia="en-GB"/>
    </w:rPr>
  </w:style>
  <w:style w:type="paragraph" w:customStyle="1" w:styleId="Normal2">
    <w:name w:val="Normal2"/>
    <w:next w:val="Normal"/>
    <w:qFormat/>
    <w:rsid w:val="007E097F"/>
    <w:pPr>
      <w:spacing w:line="120" w:lineRule="auto"/>
    </w:pPr>
    <w:rPr>
      <w:color w:val="000000"/>
      <w:sz w:val="4"/>
      <w:szCs w:val="24"/>
      <w:lang w:val="ro-RO"/>
    </w:rPr>
  </w:style>
  <w:style w:type="character" w:customStyle="1" w:styleId="NormalBI">
    <w:name w:val="NormalBI"/>
    <w:basedOn w:val="DefaultParagraphFont"/>
    <w:uiPriority w:val="1"/>
    <w:qFormat/>
    <w:rsid w:val="007E097F"/>
    <w:rPr>
      <w:rFonts w:ascii="Times New Roman" w:hAnsi="Times New Roman"/>
      <w:b/>
      <w:i/>
      <w:sz w:val="24"/>
    </w:rPr>
  </w:style>
  <w:style w:type="paragraph" w:customStyle="1" w:styleId="NormalBoldItalic6a">
    <w:name w:val="NormalBoldItalic6a"/>
    <w:basedOn w:val="Normal6a"/>
    <w:qFormat/>
    <w:rsid w:val="007E097F"/>
    <w:rPr>
      <w:b/>
      <w:i/>
    </w:rPr>
  </w:style>
  <w:style w:type="paragraph" w:customStyle="1" w:styleId="NormalBoldItalicCenter6a">
    <w:name w:val="NormalBoldItalicCenter6a"/>
    <w:basedOn w:val="Normal6a"/>
    <w:qFormat/>
    <w:rsid w:val="007E097F"/>
    <w:pPr>
      <w:jc w:val="center"/>
    </w:pPr>
    <w:rPr>
      <w:b/>
      <w:i/>
    </w:rPr>
  </w:style>
  <w:style w:type="paragraph" w:customStyle="1" w:styleId="NormalItalic6a">
    <w:name w:val="NormalItalic6a"/>
    <w:basedOn w:val="Normal6a"/>
    <w:qFormat/>
    <w:rsid w:val="007E097F"/>
    <w:rPr>
      <w:i/>
    </w:rPr>
  </w:style>
  <w:style w:type="paragraph" w:customStyle="1" w:styleId="PageHeadingNotTOC">
    <w:name w:val="PageHeadingNotTOC"/>
    <w:basedOn w:val="PageHeading"/>
    <w:rsid w:val="007E097F"/>
    <w:rPr>
      <w:rFonts w:cs="Times New Roman"/>
      <w:snapToGrid/>
      <w:lang w:eastAsia="en-GB"/>
    </w:rPr>
  </w:style>
  <w:style w:type="character" w:customStyle="1" w:styleId="Sub">
    <w:name w:val="Sub"/>
    <w:uiPriority w:val="1"/>
    <w:qFormat/>
    <w:rsid w:val="007E097F"/>
    <w:rPr>
      <w:vertAlign w:val="subscript"/>
    </w:rPr>
  </w:style>
  <w:style w:type="character" w:customStyle="1" w:styleId="SubBold">
    <w:name w:val="SubBold"/>
    <w:uiPriority w:val="1"/>
    <w:qFormat/>
    <w:rsid w:val="007E097F"/>
    <w:rPr>
      <w:b/>
      <w:vertAlign w:val="subscript"/>
    </w:rPr>
  </w:style>
  <w:style w:type="character" w:customStyle="1" w:styleId="SubBoldItalic">
    <w:name w:val="SubBoldItalic"/>
    <w:uiPriority w:val="1"/>
    <w:rsid w:val="007E097F"/>
    <w:rPr>
      <w:b/>
      <w:i/>
      <w:vertAlign w:val="subscript"/>
    </w:rPr>
  </w:style>
  <w:style w:type="character" w:customStyle="1" w:styleId="SubItalic">
    <w:name w:val="SubItalic"/>
    <w:uiPriority w:val="1"/>
    <w:qFormat/>
    <w:rsid w:val="007E097F"/>
    <w:rPr>
      <w:b/>
      <w:i/>
      <w:vertAlign w:val="subscript"/>
    </w:rPr>
  </w:style>
  <w:style w:type="character" w:customStyle="1" w:styleId="Sup">
    <w:name w:val="Sup"/>
    <w:uiPriority w:val="1"/>
    <w:rsid w:val="007E097F"/>
    <w:rPr>
      <w:vertAlign w:val="superscript"/>
    </w:rPr>
  </w:style>
  <w:style w:type="character" w:customStyle="1" w:styleId="SupBoldItalic">
    <w:name w:val="SupBoldItalic"/>
    <w:uiPriority w:val="1"/>
    <w:qFormat/>
    <w:rsid w:val="007E097F"/>
    <w:rPr>
      <w:b/>
      <w:i/>
      <w:vertAlign w:val="superscript"/>
    </w:rPr>
  </w:style>
  <w:style w:type="character" w:customStyle="1" w:styleId="Underline">
    <w:name w:val="Underline"/>
    <w:uiPriority w:val="1"/>
    <w:rsid w:val="007E097F"/>
    <w:rPr>
      <w:u w:val="single"/>
    </w:rPr>
  </w:style>
  <w:style w:type="paragraph" w:customStyle="1" w:styleId="NormalBoldCenter">
    <w:name w:val="NormalBoldCenter"/>
    <w:basedOn w:val="Normal"/>
    <w:rsid w:val="007E097F"/>
    <w:pPr>
      <w:jc w:val="center"/>
    </w:pPr>
    <w:rPr>
      <w:b/>
    </w:rPr>
  </w:style>
  <w:style w:type="paragraph" w:customStyle="1" w:styleId="ProcedureTable">
    <w:name w:val="ProcedureTable"/>
    <w:basedOn w:val="Normal"/>
    <w:rsid w:val="007E097F"/>
    <w:rPr>
      <w:sz w:val="20"/>
    </w:rPr>
  </w:style>
  <w:style w:type="paragraph" w:customStyle="1" w:styleId="ProcedureTableBold">
    <w:name w:val="ProcedureTableBold"/>
    <w:basedOn w:val="Normal"/>
    <w:rsid w:val="007E097F"/>
    <w:rPr>
      <w:b/>
      <w:sz w:val="20"/>
    </w:rPr>
  </w:style>
  <w:style w:type="paragraph" w:customStyle="1" w:styleId="NormalCenter">
    <w:name w:val="NormalCenter"/>
    <w:basedOn w:val="Normal"/>
    <w:rsid w:val="007E097F"/>
    <w:pPr>
      <w:jc w:val="center"/>
    </w:pPr>
  </w:style>
  <w:style w:type="character" w:customStyle="1" w:styleId="SubBoldItalicUnderline">
    <w:name w:val="SubBoldItalicUnderline"/>
    <w:uiPriority w:val="1"/>
    <w:rsid w:val="007E097F"/>
    <w:rPr>
      <w:b/>
      <w:i/>
      <w:u w:val="single"/>
      <w:vertAlign w:val="subscript"/>
    </w:rPr>
  </w:style>
  <w:style w:type="character" w:customStyle="1" w:styleId="SubBoldUnderline">
    <w:name w:val="SubBoldUnderline"/>
    <w:uiPriority w:val="1"/>
    <w:rsid w:val="007E097F"/>
    <w:rPr>
      <w:b/>
      <w:u w:val="single"/>
      <w:vertAlign w:val="subscript"/>
    </w:rPr>
  </w:style>
  <w:style w:type="character" w:customStyle="1" w:styleId="SubItalicUnderline">
    <w:name w:val="SubItalicUnderline"/>
    <w:uiPriority w:val="1"/>
    <w:rsid w:val="007E097F"/>
    <w:rPr>
      <w:i/>
      <w:u w:val="single"/>
      <w:vertAlign w:val="subscript"/>
    </w:rPr>
  </w:style>
  <w:style w:type="character" w:customStyle="1" w:styleId="SubUnderline">
    <w:name w:val="SubUnderline"/>
    <w:uiPriority w:val="1"/>
    <w:rsid w:val="007E097F"/>
    <w:rPr>
      <w:u w:val="single"/>
      <w:vertAlign w:val="subscript"/>
    </w:rPr>
  </w:style>
  <w:style w:type="character" w:customStyle="1" w:styleId="SupBold">
    <w:name w:val="SupBold"/>
    <w:uiPriority w:val="1"/>
    <w:rsid w:val="007E097F"/>
    <w:rPr>
      <w:b/>
      <w:vertAlign w:val="superscript"/>
    </w:rPr>
  </w:style>
  <w:style w:type="character" w:customStyle="1" w:styleId="SupBoldItalicUnderline">
    <w:name w:val="SupBoldItalicUnderline"/>
    <w:uiPriority w:val="1"/>
    <w:rsid w:val="007E097F"/>
    <w:rPr>
      <w:b/>
      <w:i/>
      <w:u w:val="single"/>
      <w:vertAlign w:val="superscript"/>
    </w:rPr>
  </w:style>
  <w:style w:type="character" w:customStyle="1" w:styleId="SupBoldUnderline">
    <w:name w:val="SupBoldUnderline"/>
    <w:uiPriority w:val="1"/>
    <w:rsid w:val="007E097F"/>
    <w:rPr>
      <w:b/>
      <w:u w:val="single"/>
      <w:vertAlign w:val="superscript"/>
    </w:rPr>
  </w:style>
  <w:style w:type="character" w:customStyle="1" w:styleId="SupItalic">
    <w:name w:val="SupItalic"/>
    <w:uiPriority w:val="1"/>
    <w:rsid w:val="007E097F"/>
    <w:rPr>
      <w:i/>
      <w:vertAlign w:val="superscript"/>
    </w:rPr>
  </w:style>
  <w:style w:type="character" w:customStyle="1" w:styleId="SupItalicUnderline">
    <w:name w:val="SupItalicUnderline"/>
    <w:uiPriority w:val="1"/>
    <w:rsid w:val="007E097F"/>
    <w:rPr>
      <w:i/>
      <w:u w:val="single"/>
      <w:vertAlign w:val="superscript"/>
    </w:rPr>
  </w:style>
  <w:style w:type="character" w:customStyle="1" w:styleId="SupUnderline">
    <w:name w:val="SupUnderline"/>
    <w:uiPriority w:val="1"/>
    <w:rsid w:val="007E097F"/>
    <w:rPr>
      <w:u w:val="single"/>
      <w:vertAlign w:val="superscript"/>
    </w:rPr>
  </w:style>
  <w:style w:type="paragraph" w:customStyle="1" w:styleId="Normal24a">
    <w:name w:val="Normal24a"/>
    <w:basedOn w:val="Normal"/>
    <w:rsid w:val="007E097F"/>
    <w:pPr>
      <w:spacing w:after="480"/>
    </w:pPr>
  </w:style>
  <w:style w:type="paragraph" w:customStyle="1" w:styleId="Normal12a24b">
    <w:name w:val="Normal12a24b"/>
    <w:basedOn w:val="Normal"/>
    <w:rsid w:val="007E097F"/>
    <w:pPr>
      <w:spacing w:before="360" w:after="240"/>
    </w:pPr>
    <w:rPr>
      <w:snapToGrid w:val="0"/>
      <w:lang w:eastAsia="en-US"/>
    </w:rPr>
  </w:style>
  <w:style w:type="paragraph" w:customStyle="1" w:styleId="NormalTab">
    <w:name w:val="NormalTab"/>
    <w:basedOn w:val="Normal"/>
    <w:rsid w:val="007E097F"/>
    <w:pPr>
      <w:tabs>
        <w:tab w:val="center" w:pos="284"/>
        <w:tab w:val="left" w:pos="425"/>
      </w:tabs>
    </w:pPr>
  </w:style>
  <w:style w:type="character" w:styleId="Hyperlink">
    <w:name w:val="Hyperlink"/>
    <w:basedOn w:val="DefaultParagraphFont"/>
    <w:rsid w:val="007E097F"/>
    <w:rPr>
      <w:color w:val="0000FF"/>
      <w:u w:val="single"/>
    </w:rPr>
  </w:style>
  <w:style w:type="paragraph" w:styleId="BalloonText">
    <w:name w:val="Balloon Text"/>
    <w:basedOn w:val="Normal"/>
    <w:link w:val="BalloonTextChar"/>
    <w:unhideWhenUsed/>
    <w:rsid w:val="007E097F"/>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7E097F"/>
    <w:rPr>
      <w:rFonts w:ascii="Segoe UI" w:hAnsi="Segoe UI" w:cs="Segoe UI"/>
      <w:snapToGrid w:val="0"/>
      <w:sz w:val="18"/>
      <w:szCs w:val="18"/>
      <w:lang w:val="ro-RO" w:eastAsia="en-US"/>
    </w:rPr>
  </w:style>
  <w:style w:type="character" w:styleId="Strong">
    <w:name w:val="Strong"/>
    <w:basedOn w:val="DefaultParagraphFont"/>
    <w:uiPriority w:val="22"/>
    <w:qFormat/>
    <w:rsid w:val="007E097F"/>
    <w:rPr>
      <w:b/>
      <w:bCs/>
    </w:rPr>
  </w:style>
  <w:style w:type="paragraph" w:styleId="NormalWeb">
    <w:name w:val="Normal (Web)"/>
    <w:basedOn w:val="Normal"/>
    <w:uiPriority w:val="99"/>
    <w:unhideWhenUsed/>
    <w:rsid w:val="007E097F"/>
    <w:pPr>
      <w:widowControl/>
      <w:spacing w:before="100" w:beforeAutospacing="1" w:after="100" w:afterAutospacing="1"/>
    </w:pPr>
    <w:rPr>
      <w:szCs w:val="24"/>
    </w:rPr>
  </w:style>
  <w:style w:type="paragraph" w:customStyle="1" w:styleId="RollCallVotes">
    <w:name w:val="RollCallVotes"/>
    <w:basedOn w:val="Normal"/>
    <w:rsid w:val="007E097F"/>
    <w:pPr>
      <w:spacing w:before="120" w:after="120"/>
      <w:jc w:val="center"/>
    </w:pPr>
    <w:rPr>
      <w:b/>
      <w:bCs/>
      <w:snapToGrid w:val="0"/>
      <w:sz w:val="16"/>
      <w:lang w:eastAsia="en-US"/>
    </w:rPr>
  </w:style>
  <w:style w:type="paragraph" w:customStyle="1" w:styleId="RollCallTabs">
    <w:name w:val="RollCallTabs"/>
    <w:basedOn w:val="Normal"/>
    <w:qFormat/>
    <w:rsid w:val="007E097F"/>
    <w:pPr>
      <w:tabs>
        <w:tab w:val="center" w:pos="284"/>
        <w:tab w:val="left" w:pos="426"/>
      </w:tabs>
    </w:pPr>
    <w:rPr>
      <w:snapToGrid w:val="0"/>
      <w:lang w:eastAsia="en-US"/>
    </w:rPr>
  </w:style>
  <w:style w:type="paragraph" w:customStyle="1" w:styleId="RollCallSymbols14pt">
    <w:name w:val="RollCallSymbols14pt"/>
    <w:basedOn w:val="Normal"/>
    <w:rsid w:val="007E097F"/>
    <w:pPr>
      <w:spacing w:before="120" w:after="120"/>
      <w:jc w:val="center"/>
    </w:pPr>
    <w:rPr>
      <w:rFonts w:ascii="Arial" w:hAnsi="Arial"/>
      <w:b/>
      <w:bCs/>
      <w:snapToGrid w:val="0"/>
      <w:sz w:val="28"/>
      <w:lang w:eastAsia="en-US"/>
    </w:rPr>
  </w:style>
  <w:style w:type="paragraph" w:customStyle="1" w:styleId="RollCallTable">
    <w:name w:val="RollCallTable"/>
    <w:basedOn w:val="Normal"/>
    <w:rsid w:val="007E097F"/>
    <w:pPr>
      <w:spacing w:before="120" w:after="120"/>
    </w:pPr>
    <w:rPr>
      <w:snapToGrid w:val="0"/>
      <w:sz w:val="16"/>
      <w:lang w:eastAsia="en-US"/>
    </w:rPr>
  </w:style>
  <w:style w:type="character" w:customStyle="1" w:styleId="NormalHanging12aChar">
    <w:name w:val="NormalHanging12a Char"/>
    <w:basedOn w:val="DefaultParagraphFont"/>
    <w:link w:val="NormalHanging12a"/>
    <w:locked/>
    <w:rsid w:val="007E097F"/>
    <w:rPr>
      <w:snapToGrid w:val="0"/>
      <w:sz w:val="24"/>
      <w:lang w:val="ro-RO" w:eastAsia="en-US"/>
    </w:rPr>
  </w:style>
  <w:style w:type="paragraph" w:styleId="Revision">
    <w:name w:val="Revision"/>
    <w:hidden/>
    <w:uiPriority w:val="99"/>
    <w:semiHidden/>
    <w:rsid w:val="007E097F"/>
    <w:rPr>
      <w:snapToGrid w:val="0"/>
      <w:sz w:val="24"/>
      <w:lang w:val="ro-RO" w:eastAsia="en-US"/>
    </w:rPr>
  </w:style>
  <w:style w:type="paragraph" w:styleId="Footer">
    <w:name w:val="footer"/>
    <w:basedOn w:val="Normal"/>
    <w:link w:val="FooterChar"/>
    <w:unhideWhenUsed/>
    <w:rsid w:val="007E097F"/>
    <w:pPr>
      <w:tabs>
        <w:tab w:val="center" w:pos="4513"/>
        <w:tab w:val="right" w:pos="9026"/>
      </w:tabs>
    </w:pPr>
    <w:rPr>
      <w:snapToGrid w:val="0"/>
      <w:lang w:eastAsia="en-US"/>
    </w:rPr>
  </w:style>
  <w:style w:type="character" w:customStyle="1" w:styleId="FooterChar">
    <w:name w:val="Footer Char"/>
    <w:basedOn w:val="DefaultParagraphFont"/>
    <w:link w:val="Footer"/>
    <w:rsid w:val="007E097F"/>
    <w:rPr>
      <w:snapToGrid w:val="0"/>
      <w:sz w:val="24"/>
      <w:lang w:val="ro-RO" w:eastAsia="en-US"/>
    </w:rPr>
  </w:style>
  <w:style w:type="character" w:styleId="CommentReference">
    <w:name w:val="annotation reference"/>
    <w:basedOn w:val="DefaultParagraphFont"/>
    <w:unhideWhenUsed/>
    <w:rsid w:val="007E097F"/>
    <w:rPr>
      <w:sz w:val="16"/>
      <w:szCs w:val="16"/>
    </w:rPr>
  </w:style>
  <w:style w:type="paragraph" w:styleId="CommentText">
    <w:name w:val="annotation text"/>
    <w:basedOn w:val="Normal"/>
    <w:link w:val="CommentTextChar"/>
    <w:unhideWhenUsed/>
    <w:rsid w:val="007E097F"/>
    <w:rPr>
      <w:snapToGrid w:val="0"/>
      <w:sz w:val="20"/>
      <w:lang w:eastAsia="en-US"/>
    </w:rPr>
  </w:style>
  <w:style w:type="character" w:customStyle="1" w:styleId="CommentTextChar">
    <w:name w:val="Comment Text Char"/>
    <w:basedOn w:val="DefaultParagraphFont"/>
    <w:link w:val="CommentText"/>
    <w:rsid w:val="007E097F"/>
    <w:rPr>
      <w:snapToGrid w:val="0"/>
      <w:lang w:val="ro-RO" w:eastAsia="en-US"/>
    </w:rPr>
  </w:style>
  <w:style w:type="paragraph" w:styleId="CommentSubject">
    <w:name w:val="annotation subject"/>
    <w:basedOn w:val="CommentText"/>
    <w:next w:val="CommentText"/>
    <w:link w:val="CommentSubjectChar"/>
    <w:unhideWhenUsed/>
    <w:rsid w:val="007E097F"/>
    <w:rPr>
      <w:b/>
      <w:bCs/>
    </w:rPr>
  </w:style>
  <w:style w:type="character" w:customStyle="1" w:styleId="CommentSubjectChar">
    <w:name w:val="Comment Subject Char"/>
    <w:basedOn w:val="CommentTextChar"/>
    <w:link w:val="CommentSubject"/>
    <w:rsid w:val="007E097F"/>
    <w:rPr>
      <w:b/>
      <w:bCs/>
      <w:snapToGrid w:val="0"/>
      <w:lang w:val="ro-RO" w:eastAsia="en-US"/>
    </w:rPr>
  </w:style>
  <w:style w:type="character" w:customStyle="1" w:styleId="UnresolvedMention1">
    <w:name w:val="Unresolved Mention1"/>
    <w:basedOn w:val="DefaultParagraphFont"/>
    <w:uiPriority w:val="99"/>
    <w:semiHidden/>
    <w:unhideWhenUsed/>
    <w:rsid w:val="007E097F"/>
    <w:rPr>
      <w:color w:val="605E5C"/>
      <w:shd w:val="clear" w:color="auto" w:fill="E1DFDD"/>
    </w:rPr>
  </w:style>
  <w:style w:type="character" w:styleId="FollowedHyperlink">
    <w:name w:val="FollowedHyperlink"/>
    <w:basedOn w:val="DefaultParagraphFont"/>
    <w:unhideWhenUsed/>
    <w:rsid w:val="007E097F"/>
    <w:rPr>
      <w:color w:val="954F72" w:themeColor="followedHyperlink"/>
      <w:u w:val="single"/>
    </w:rPr>
  </w:style>
  <w:style w:type="paragraph" w:customStyle="1" w:styleId="Normal12">
    <w:name w:val="Normal12"/>
    <w:basedOn w:val="Normal"/>
    <w:rsid w:val="007E097F"/>
    <w:pPr>
      <w:widowControl/>
      <w:snapToGrid w:val="0"/>
      <w:spacing w:after="240"/>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12290</Words>
  <Characters>74857</Characters>
  <Application>Microsoft Office Word</Application>
  <DocSecurity>0</DocSecurity>
  <Lines>623</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2025-10-17T16:32:00Z</dcterms:created>
  <dcterms:modified xsi:type="dcterms:W3CDTF">2025-10-17T16:32:00Z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A10-0154/2025</vt:lpwstr>
  </property>
  <property fmtid="{D5CDD505-2E9C-101B-9397-08002B2CF9AE}" pid="4" name="&lt;Type&gt;">
    <vt:lpwstr>RR</vt:lpwstr>
  </property>
</Properties>
</file>