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5751" w14:paraId="119B20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276D87" w14:textId="77777777" w:rsidR="00751A4A" w:rsidRPr="005F5751" w:rsidRDefault="002056EF" w:rsidP="0010095E">
            <w:pPr>
              <w:pStyle w:val="EPName"/>
            </w:pPr>
            <w:r w:rsidRPr="005F5751">
              <w:t>Európsky parlament</w:t>
            </w:r>
          </w:p>
          <w:p w14:paraId="62A1D73E" w14:textId="77777777" w:rsidR="00751A4A" w:rsidRPr="005F57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5751">
              <w:t>2024</w:t>
            </w:r>
            <w:r w:rsidR="00817416" w:rsidRPr="005F5751">
              <w:t>-202</w:t>
            </w:r>
            <w:r w:rsidRPr="005F5751">
              <w:t>9</w:t>
            </w:r>
          </w:p>
        </w:tc>
        <w:tc>
          <w:tcPr>
            <w:tcW w:w="2268" w:type="dxa"/>
            <w:shd w:val="clear" w:color="auto" w:fill="auto"/>
          </w:tcPr>
          <w:p w14:paraId="75CB4175" w14:textId="77777777" w:rsidR="00751A4A" w:rsidRPr="005F5751" w:rsidRDefault="00187494" w:rsidP="0010095E">
            <w:pPr>
              <w:pStyle w:val="EPLogo"/>
            </w:pPr>
            <w:r w:rsidRPr="005F5751">
              <w:rPr>
                <w:noProof/>
                <w:lang w:eastAsia="ja-JP"/>
              </w:rPr>
              <w:drawing>
                <wp:inline distT="0" distB="0" distL="0" distR="0" wp14:anchorId="6EA35212" wp14:editId="0A905E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78AFC" w14:textId="77777777" w:rsidR="00D058B8" w:rsidRPr="005F5751" w:rsidRDefault="00D058B8" w:rsidP="004C5D52">
      <w:pPr>
        <w:pStyle w:val="LineTop"/>
      </w:pPr>
    </w:p>
    <w:p w14:paraId="5EABA5D5" w14:textId="77777777" w:rsidR="00680577" w:rsidRPr="005F5751" w:rsidRDefault="002056EF" w:rsidP="00680577">
      <w:pPr>
        <w:pStyle w:val="EPBodyTA1"/>
      </w:pPr>
      <w:r w:rsidRPr="005F5751">
        <w:t>PRIJATÉ TEXTY</w:t>
      </w:r>
    </w:p>
    <w:p w14:paraId="7A05D6BC" w14:textId="77777777" w:rsidR="00D058B8" w:rsidRPr="005F5751" w:rsidRDefault="00D058B8" w:rsidP="00D058B8">
      <w:pPr>
        <w:pStyle w:val="LineBottom"/>
      </w:pPr>
    </w:p>
    <w:p w14:paraId="4D0BDBE3" w14:textId="303288B5" w:rsidR="002056EF" w:rsidRPr="005F5751" w:rsidRDefault="002056EF" w:rsidP="002056EF">
      <w:pPr>
        <w:pStyle w:val="ATHeading1"/>
      </w:pPr>
      <w:bookmarkStart w:id="0" w:name="TANumber"/>
      <w:r w:rsidRPr="005F5751">
        <w:t>P10_TA(2025)0</w:t>
      </w:r>
      <w:r w:rsidR="005F5751" w:rsidRPr="005F5751">
        <w:t>175</w:t>
      </w:r>
      <w:bookmarkEnd w:id="0"/>
    </w:p>
    <w:p w14:paraId="5AFF7B64" w14:textId="77777777" w:rsidR="002056EF" w:rsidRPr="005F5751" w:rsidRDefault="002056EF" w:rsidP="002056EF">
      <w:pPr>
        <w:pStyle w:val="ATHeading2"/>
      </w:pPr>
      <w:bookmarkStart w:id="1" w:name="title"/>
      <w:r w:rsidRPr="005F5751">
        <w:t>Správy o Ukrajine za roky 2023 a 2024</w:t>
      </w:r>
      <w:bookmarkEnd w:id="1"/>
    </w:p>
    <w:p w14:paraId="162D82B3" w14:textId="77777777" w:rsidR="002056EF" w:rsidRPr="005F5751" w:rsidRDefault="002056EF" w:rsidP="002056EF">
      <w:pPr>
        <w:rPr>
          <w:i/>
          <w:vanish/>
        </w:rPr>
      </w:pPr>
      <w:r w:rsidRPr="005F5751">
        <w:rPr>
          <w:i/>
        </w:rPr>
        <w:fldChar w:fldCharType="begin"/>
      </w:r>
      <w:r w:rsidRPr="005F5751">
        <w:rPr>
          <w:i/>
        </w:rPr>
        <w:instrText xml:space="preserve"> TC"(</w:instrText>
      </w:r>
      <w:bookmarkStart w:id="2" w:name="DocNumber"/>
      <w:r w:rsidRPr="005F5751">
        <w:rPr>
          <w:i/>
        </w:rPr>
        <w:instrText>A10-0154/2025</w:instrText>
      </w:r>
      <w:bookmarkEnd w:id="2"/>
      <w:r w:rsidRPr="005F5751">
        <w:rPr>
          <w:i/>
        </w:rPr>
        <w:instrText xml:space="preserve"> - Spravodajca: Michael Gahler)"\l3 \n&gt; \* MERGEFORMAT </w:instrText>
      </w:r>
      <w:r w:rsidRPr="005F5751">
        <w:rPr>
          <w:i/>
        </w:rPr>
        <w:fldChar w:fldCharType="end"/>
      </w:r>
    </w:p>
    <w:p w14:paraId="6AFBB88F" w14:textId="77777777" w:rsidR="002056EF" w:rsidRPr="005F5751" w:rsidRDefault="002056EF" w:rsidP="002056EF">
      <w:pPr>
        <w:rPr>
          <w:vanish/>
        </w:rPr>
      </w:pPr>
      <w:bookmarkStart w:id="3" w:name="Commission"/>
      <w:r w:rsidRPr="005F5751">
        <w:rPr>
          <w:vanish/>
        </w:rPr>
        <w:t>Výbor pre zahraničné veci</w:t>
      </w:r>
      <w:bookmarkEnd w:id="3"/>
    </w:p>
    <w:p w14:paraId="55E4343E" w14:textId="77777777" w:rsidR="002056EF" w:rsidRPr="005F5751" w:rsidRDefault="002056EF" w:rsidP="002056EF">
      <w:pPr>
        <w:rPr>
          <w:vanish/>
        </w:rPr>
      </w:pPr>
      <w:bookmarkStart w:id="4" w:name="PE"/>
      <w:r w:rsidRPr="005F5751">
        <w:rPr>
          <w:vanish/>
        </w:rPr>
        <w:t>PE769.901</w:t>
      </w:r>
      <w:bookmarkEnd w:id="4"/>
    </w:p>
    <w:p w14:paraId="2EB516C0" w14:textId="01EC5117" w:rsidR="002056EF" w:rsidRPr="005F5751" w:rsidRDefault="002056EF" w:rsidP="002056EF">
      <w:pPr>
        <w:pStyle w:val="ATHeading3"/>
      </w:pPr>
      <w:bookmarkStart w:id="5" w:name="Sujet"/>
      <w:r w:rsidRPr="005F5751">
        <w:t>Uznesenie Európskeho parlamentu z</w:t>
      </w:r>
      <w:r w:rsidR="0091513B" w:rsidRPr="005F5751">
        <w:t> </w:t>
      </w:r>
      <w:r w:rsidR="009F644C">
        <w:t>9</w:t>
      </w:r>
      <w:r w:rsidRPr="005F5751">
        <w:t>. septembra 2025 o správach Komisie o Ukrajine za roky 2023 a 2024</w:t>
      </w:r>
      <w:bookmarkEnd w:id="5"/>
      <w:r w:rsidRPr="005F5751">
        <w:t xml:space="preserve"> </w:t>
      </w:r>
      <w:bookmarkStart w:id="6" w:name="References"/>
      <w:r w:rsidRPr="005F5751">
        <w:t>(2025/2026(INI))</w:t>
      </w:r>
      <w:bookmarkEnd w:id="6"/>
    </w:p>
    <w:p w14:paraId="6D221149" w14:textId="77777777" w:rsidR="001F597F" w:rsidRDefault="001F597F" w:rsidP="001F597F">
      <w:pPr>
        <w:pStyle w:val="EPComma"/>
      </w:pPr>
      <w:r w:rsidRPr="005F5751">
        <w:rPr>
          <w:rStyle w:val="Italic"/>
        </w:rPr>
        <w:t>Európsky parlament</w:t>
      </w:r>
      <w:r w:rsidRPr="005F5751">
        <w:t>,</w:t>
      </w:r>
    </w:p>
    <w:p w14:paraId="3625E289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–</w:t>
      </w:r>
      <w:r w:rsidRPr="008A5F45">
        <w:rPr>
          <w:snapToGrid w:val="0"/>
          <w:lang w:eastAsia="en-US"/>
        </w:rPr>
        <w:tab/>
        <w:t>so zreteľom na svoje predchádzajúce uznesenia o Ukrajine,</w:t>
      </w:r>
    </w:p>
    <w:p w14:paraId="66707F5A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–</w:t>
      </w:r>
      <w:r w:rsidRPr="008A5F45">
        <w:rPr>
          <w:snapToGrid w:val="0"/>
          <w:lang w:eastAsia="en-US"/>
        </w:rPr>
        <w:tab/>
        <w:t>so zreteľom na pracovný dokument útvarov Komisie s názvom Správa o Ukrajine za rok 2024 (SWD(2024)0699), ktorý je sprievodným dokumentom k oznámeniu Komisie o politike rozširovania EÚ za rok 2024 (COM(2024)0690),</w:t>
      </w:r>
    </w:p>
    <w:p w14:paraId="04D29AE2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pracovný dokument útvarov Komisie s názvom Správa o Ukrajine za rok 2023 (SWD(2023)0699), ktorý je sprievodným dokumentom k oznámeniu Komisie o politike rozširovania EÚ za rok 2023 (COM(2023)0690), </w:t>
      </w:r>
    </w:p>
    <w:p w14:paraId="1E8C74E5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</w:r>
      <w:bookmarkStart w:id="7" w:name="_Hlk204183886"/>
      <w:r w:rsidRPr="008A5F45">
        <w:rPr>
          <w:szCs w:val="24"/>
        </w:rPr>
        <w:t xml:space="preserve">so zreteľom na závery Európskej rady z 24. júna 2022, ktorými sa Ukrajine udelil štatút kandidátskej krajiny, z 15. decembra 2023, v ktorých sa schválilo začatie prístupových rokovaní, a z 20. marca 2025, </w:t>
      </w:r>
      <w:bookmarkEnd w:id="7"/>
    </w:p>
    <w:p w14:paraId="0D6D2FCA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>so zreteľom na nariadenie Európskeho parlamentu a Rady (EÚ) 2024/792 z 29. februára 2024, ktorým sa zriaďuje Nástroj pre Ukrajinu</w:t>
      </w:r>
      <w:r w:rsidRPr="008A5F45">
        <w:rPr>
          <w:szCs w:val="24"/>
          <w:vertAlign w:val="superscript"/>
        </w:rPr>
        <w:footnoteReference w:id="1"/>
      </w:r>
      <w:r w:rsidRPr="008A5F45">
        <w:rPr>
          <w:szCs w:val="24"/>
        </w:rPr>
        <w:t>,</w:t>
      </w:r>
    </w:p>
    <w:p w14:paraId="30CF0D82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správu Organizácie pre hospodársku spoluprácu a rozvoj (OECD) z roku 2021 s názvom OECD </w:t>
      </w:r>
      <w:proofErr w:type="spellStart"/>
      <w:r w:rsidRPr="008A5F45">
        <w:rPr>
          <w:szCs w:val="24"/>
        </w:rPr>
        <w:t>Review</w:t>
      </w:r>
      <w:proofErr w:type="spellEnd"/>
      <w:r w:rsidRPr="008A5F45">
        <w:rPr>
          <w:szCs w:val="24"/>
        </w:rPr>
        <w:t xml:space="preserve"> of </w:t>
      </w:r>
      <w:proofErr w:type="spellStart"/>
      <w:r w:rsidRPr="008A5F45">
        <w:rPr>
          <w:szCs w:val="24"/>
        </w:rPr>
        <w:t>the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Corporate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Governance</w:t>
      </w:r>
      <w:proofErr w:type="spellEnd"/>
      <w:r w:rsidRPr="008A5F45">
        <w:rPr>
          <w:szCs w:val="24"/>
        </w:rPr>
        <w:t xml:space="preserve"> of State-</w:t>
      </w:r>
      <w:proofErr w:type="spellStart"/>
      <w:r w:rsidRPr="008A5F45">
        <w:rPr>
          <w:szCs w:val="24"/>
        </w:rPr>
        <w:t>Owned</w:t>
      </w:r>
      <w:proofErr w:type="spellEnd"/>
      <w:r w:rsidRPr="008A5F45">
        <w:rPr>
          <w:szCs w:val="24"/>
        </w:rPr>
        <w:t xml:space="preserve"> Enterprises: </w:t>
      </w:r>
      <w:proofErr w:type="spellStart"/>
      <w:r w:rsidRPr="008A5F45">
        <w:rPr>
          <w:szCs w:val="24"/>
        </w:rPr>
        <w:t>Ukraine</w:t>
      </w:r>
      <w:proofErr w:type="spellEnd"/>
      <w:r w:rsidRPr="008A5F45">
        <w:rPr>
          <w:szCs w:val="24"/>
        </w:rPr>
        <w:t xml:space="preserve"> (Prehľad o správe a riadení štátnych podnikov: Ukrajina) a následné nadväzujúce dialógy z roku 2024, </w:t>
      </w:r>
    </w:p>
    <w:p w14:paraId="124605C0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ôsmu revíziu Medzinárodného menového fondu týkajúcu sa rozšíreného finančného nástroja pre Ukrajinu na roky 2023 – 2026, </w:t>
      </w:r>
    </w:p>
    <w:p w14:paraId="23576234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</w:r>
      <w:bookmarkStart w:id="8" w:name="_Hlk204245553"/>
      <w:r w:rsidRPr="008A5F45">
        <w:rPr>
          <w:szCs w:val="24"/>
        </w:rPr>
        <w:t xml:space="preserve">so zreteľom na stanoviská Benátskej komisie Rady Európy, najmä na naliehavé stanovisko nadväzujúce na stanoviská k zákonu o zmenách niektorých legislatívnych aktov Ukrajiny s cieľom objasniť ustanovenia o výberovom konaní kandidátov na </w:t>
      </w:r>
      <w:r w:rsidRPr="008A5F45">
        <w:rPr>
          <w:szCs w:val="24"/>
        </w:rPr>
        <w:lastRenderedPageBreak/>
        <w:t xml:space="preserve">funkciu sudcu Ústavného súdu Ukrajiny z 9. októbra 2023 a na stanovisko nadväzujúce na stanovisko k zákonu o národnostných menšinách (komunitách) z 9. októbra 2023, </w:t>
      </w:r>
      <w:bookmarkEnd w:id="8"/>
    </w:p>
    <w:p w14:paraId="6A5F3B5B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správy Skupiny štátov proti korupcii Rady Európy (GRECO) o Ukrajine, najmä na štvrté kolo hodnotenia a na dodatok k druhej správe o plnení záväzkov v oblasti predchádzania korupcie, pokiaľ ide o poslancov, sudcov a prokurátorov na Ukrajine, ktorá bola zverejnená 22. novembra 2024, </w:t>
      </w:r>
    </w:p>
    <w:p w14:paraId="6275036C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správu, ktorú Ukrajina predložila podľa článku 68 ods. 1 Dohovoru Rady Európy o predchádzaní násiliu na ženách a domácemu násiliu a o boji proti nemu (základná správa) z 3. júla 2025 a na dodatočné informácie, ktoré Skupina expertov pre opatrenia na boj proti násiliu na ženách a domácemu násiliu získala od ukrajinských organizácií občianskej spoločnosti, </w:t>
      </w:r>
    </w:p>
    <w:p w14:paraId="3E113F9E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správy organizácie </w:t>
      </w:r>
      <w:proofErr w:type="spellStart"/>
      <w:r w:rsidRPr="008A5F45">
        <w:rPr>
          <w:szCs w:val="24"/>
        </w:rPr>
        <w:t>Human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Rights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Watch</w:t>
      </w:r>
      <w:proofErr w:type="spellEnd"/>
      <w:r w:rsidRPr="008A5F45">
        <w:rPr>
          <w:szCs w:val="24"/>
        </w:rPr>
        <w:t xml:space="preserve"> o Ukrajine vrátane jej správy z 5. decembra 2024 s názvom </w:t>
      </w:r>
      <w:proofErr w:type="spellStart"/>
      <w:r w:rsidRPr="008A5F45">
        <w:rPr>
          <w:szCs w:val="24"/>
        </w:rPr>
        <w:t>All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She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Did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Was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Help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People</w:t>
      </w:r>
      <w:proofErr w:type="spellEnd"/>
      <w:r w:rsidRPr="008A5F45">
        <w:rPr>
          <w:szCs w:val="24"/>
        </w:rPr>
        <w:t xml:space="preserve"> – </w:t>
      </w:r>
      <w:proofErr w:type="spellStart"/>
      <w:r w:rsidRPr="008A5F45">
        <w:rPr>
          <w:szCs w:val="24"/>
        </w:rPr>
        <w:t>Flawed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Anti-Collaboration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Legislation</w:t>
      </w:r>
      <w:proofErr w:type="spellEnd"/>
      <w:r w:rsidRPr="008A5F45">
        <w:rPr>
          <w:szCs w:val="24"/>
        </w:rPr>
        <w:t xml:space="preserve"> in </w:t>
      </w:r>
      <w:proofErr w:type="spellStart"/>
      <w:r w:rsidRPr="008A5F45">
        <w:rPr>
          <w:szCs w:val="24"/>
        </w:rPr>
        <w:t>Ukraine</w:t>
      </w:r>
      <w:proofErr w:type="spellEnd"/>
      <w:r w:rsidRPr="008A5F45">
        <w:rPr>
          <w:szCs w:val="24"/>
        </w:rPr>
        <w:t xml:space="preserve"> (Iba pomáhala ľuďom –chybná legislatíva proti kolaborácii na Ukrajine), </w:t>
      </w:r>
    </w:p>
    <w:p w14:paraId="36C27421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>so zreteľom na svoje uznesenie z 12. marca 2025 o bielej knihe o budúcnosti európskej obrany</w:t>
      </w:r>
      <w:r w:rsidRPr="008A5F45">
        <w:rPr>
          <w:szCs w:val="24"/>
          <w:vertAlign w:val="superscript"/>
        </w:rPr>
        <w:footnoteReference w:id="2"/>
      </w:r>
      <w:r w:rsidRPr="008A5F45">
        <w:rPr>
          <w:szCs w:val="24"/>
        </w:rPr>
        <w:t xml:space="preserve">, </w:t>
      </w:r>
    </w:p>
    <w:p w14:paraId="5CEDE6C2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vyhlásenia vedúcich predstaviteľov Fínska, Francúzska, Nemecka, Talianska, Spojeného kráľovstva a Ukrajiny po stretnutí s prezidentom USA Donaldom </w:t>
      </w:r>
      <w:proofErr w:type="spellStart"/>
      <w:r w:rsidRPr="008A5F45">
        <w:rPr>
          <w:szCs w:val="24"/>
        </w:rPr>
        <w:t>Trumpom</w:t>
      </w:r>
      <w:proofErr w:type="spellEnd"/>
      <w:r w:rsidRPr="008A5F45">
        <w:rPr>
          <w:szCs w:val="24"/>
        </w:rPr>
        <w:t xml:space="preserve"> vo Washingtone DC 18. augusta 2025, </w:t>
      </w:r>
    </w:p>
    <w:p w14:paraId="2DBA9956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vyhlásenie predsedníčky Komisie </w:t>
      </w:r>
      <w:proofErr w:type="spellStart"/>
      <w:r w:rsidRPr="008A5F45">
        <w:rPr>
          <w:szCs w:val="24"/>
        </w:rPr>
        <w:t>Ursuly</w:t>
      </w:r>
      <w:proofErr w:type="spellEnd"/>
      <w:r w:rsidRPr="008A5F45">
        <w:rPr>
          <w:szCs w:val="24"/>
        </w:rPr>
        <w:t xml:space="preserve"> von der </w:t>
      </w:r>
      <w:proofErr w:type="spellStart"/>
      <w:r w:rsidRPr="008A5F45">
        <w:rPr>
          <w:szCs w:val="24"/>
        </w:rPr>
        <w:t>Leyenovej</w:t>
      </w:r>
      <w:proofErr w:type="spellEnd"/>
      <w:r w:rsidRPr="008A5F45">
        <w:rPr>
          <w:szCs w:val="24"/>
        </w:rPr>
        <w:t xml:space="preserve"> s prezidentom Ukrajiny </w:t>
      </w:r>
      <w:proofErr w:type="spellStart"/>
      <w:r w:rsidRPr="008A5F45">
        <w:rPr>
          <w:szCs w:val="24"/>
        </w:rPr>
        <w:t>Volodymyrom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Zelenským</w:t>
      </w:r>
      <w:proofErr w:type="spellEnd"/>
      <w:r w:rsidRPr="008A5F45">
        <w:rPr>
          <w:szCs w:val="24"/>
        </w:rPr>
        <w:t xml:space="preserve"> po ich stretnutí v Bruseli 17. augusta 2025,</w:t>
      </w:r>
    </w:p>
    <w:p w14:paraId="6A99518E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spoločné vyhlásenie vedúcich predstaviteľov Francúzska, Talianska, Nemecka, Spojeného kráľovstva, Fínska, Poľska, predsedu Európskej rady Antónia </w:t>
      </w:r>
      <w:proofErr w:type="spellStart"/>
      <w:r w:rsidRPr="008A5F45">
        <w:rPr>
          <w:szCs w:val="24"/>
        </w:rPr>
        <w:t>Costu</w:t>
      </w:r>
      <w:proofErr w:type="spellEnd"/>
      <w:r w:rsidRPr="008A5F45">
        <w:rPr>
          <w:szCs w:val="24"/>
        </w:rPr>
        <w:t xml:space="preserve"> a predsedníčky Komisie </w:t>
      </w:r>
      <w:proofErr w:type="spellStart"/>
      <w:r w:rsidRPr="008A5F45">
        <w:rPr>
          <w:szCs w:val="24"/>
        </w:rPr>
        <w:t>Ursuly</w:t>
      </w:r>
      <w:proofErr w:type="spellEnd"/>
      <w:r w:rsidRPr="008A5F45">
        <w:rPr>
          <w:szCs w:val="24"/>
        </w:rPr>
        <w:t xml:space="preserve"> von der </w:t>
      </w:r>
      <w:proofErr w:type="spellStart"/>
      <w:r w:rsidRPr="008A5F45">
        <w:rPr>
          <w:szCs w:val="24"/>
        </w:rPr>
        <w:t>Leyenovej</w:t>
      </w:r>
      <w:proofErr w:type="spellEnd"/>
      <w:r w:rsidRPr="008A5F45">
        <w:rPr>
          <w:szCs w:val="24"/>
        </w:rPr>
        <w:t xml:space="preserve"> zo 16. augusta 2025 v nadväznosti na stretnutie prezidenta USA Donalda </w:t>
      </w:r>
      <w:proofErr w:type="spellStart"/>
      <w:r w:rsidRPr="008A5F45">
        <w:rPr>
          <w:szCs w:val="24"/>
        </w:rPr>
        <w:t>Trumpa</w:t>
      </w:r>
      <w:proofErr w:type="spellEnd"/>
      <w:r w:rsidRPr="008A5F45">
        <w:rPr>
          <w:szCs w:val="24"/>
        </w:rPr>
        <w:t xml:space="preserve"> s prezidentom Ruskej federácie </w:t>
      </w:r>
      <w:proofErr w:type="spellStart"/>
      <w:r w:rsidRPr="008A5F45">
        <w:rPr>
          <w:szCs w:val="24"/>
        </w:rPr>
        <w:t>Vladimirom</w:t>
      </w:r>
      <w:proofErr w:type="spellEnd"/>
      <w:r w:rsidRPr="008A5F45">
        <w:rPr>
          <w:szCs w:val="24"/>
        </w:rPr>
        <w:t xml:space="preserve"> Putinom v </w:t>
      </w:r>
      <w:proofErr w:type="spellStart"/>
      <w:r w:rsidRPr="008A5F45">
        <w:rPr>
          <w:szCs w:val="24"/>
        </w:rPr>
        <w:t>Anchorage</w:t>
      </w:r>
      <w:proofErr w:type="spellEnd"/>
      <w:r w:rsidRPr="008A5F45">
        <w:rPr>
          <w:szCs w:val="24"/>
        </w:rPr>
        <w:t xml:space="preserve"> na Aljaške 15. augusta 2025,</w:t>
      </w:r>
    </w:p>
    <w:p w14:paraId="16DAA235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 xml:space="preserve">so zreteľom na predchádzajúce vyhlásenia vrátane spoločného vyhlásenia vedúcich predstaviteľov Francúzska, Nemecka, Poľska, Spojeného kráľovstva a Ukrajiny po stretnutí v Kyjeve 10. mája 2025 a spoločného vyhlásenia skupiny </w:t>
      </w:r>
      <w:proofErr w:type="spellStart"/>
      <w:r w:rsidRPr="008A5F45">
        <w:rPr>
          <w:szCs w:val="24"/>
        </w:rPr>
        <w:t>Weimar</w:t>
      </w:r>
      <w:proofErr w:type="spellEnd"/>
      <w:r w:rsidRPr="008A5F45">
        <w:rPr>
          <w:szCs w:val="24"/>
        </w:rPr>
        <w:t>+ o Ukrajine a euroatlantickej bezpečnosti z 12. mája 2025,</w:t>
      </w:r>
    </w:p>
    <w:p w14:paraId="5C8D9B20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–</w:t>
      </w:r>
      <w:r w:rsidRPr="008A5F45">
        <w:rPr>
          <w:szCs w:val="24"/>
        </w:rPr>
        <w:tab/>
        <w:t>so zreteľom na spoločné vyhlásenie niekoľkých poslancov Európskeho parlamentu z 11. augusta 2025 o rokovaniach o spravodlivom mieri pre Ukrajinu na základe medzinárodného práva a vôle ukrajinského ľudu,</w:t>
      </w:r>
    </w:p>
    <w:p w14:paraId="3F850C97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–</w:t>
      </w:r>
      <w:r w:rsidRPr="008A5F45">
        <w:rPr>
          <w:snapToGrid w:val="0"/>
          <w:lang w:eastAsia="en-US"/>
        </w:rPr>
        <w:tab/>
        <w:t>so zreteľom na článok 55 rokovacieho poriadku,</w:t>
      </w:r>
    </w:p>
    <w:p w14:paraId="6E40E142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–</w:t>
      </w:r>
      <w:r w:rsidRPr="008A5F45">
        <w:rPr>
          <w:snapToGrid w:val="0"/>
          <w:lang w:eastAsia="en-US"/>
        </w:rPr>
        <w:tab/>
        <w:t>so zreteľom na správu Výboru pre zahraničné veci (A10-0154/2025),</w:t>
      </w:r>
    </w:p>
    <w:p w14:paraId="4A0E8A1A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lastRenderedPageBreak/>
        <w:t>A.</w:t>
      </w:r>
      <w:r w:rsidRPr="008A5F45">
        <w:rPr>
          <w:szCs w:val="24"/>
        </w:rPr>
        <w:tab/>
        <w:t>keďže Európsky parlament čo najdôraznejšie odsudzuje nezákonnú, neopodstatnenú a nevyprovokovanú útočnú vojnu Ruska proti Ukrajine a podporuje právo Ukrajiny na zvrchovanosť, nezávislosť a územnú celistvosť v rámci jej medzinárodne uznaných hraníc; keďže Rusko zaútočilo na Ukrajinu, a preto najpriamejšia a jediná spravodlivá cesta k mieru na Ukrajine spočíva v tom, že Rusko stiahne svoje sily z celého ukrajinského územia a zaplatí za škody, ktoré spôsobilo počas svojej nezákonnej útočnej vojny;</w:t>
      </w:r>
    </w:p>
    <w:p w14:paraId="2AD4DB4B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B.</w:t>
      </w:r>
      <w:r w:rsidRPr="008A5F45">
        <w:rPr>
          <w:szCs w:val="24"/>
        </w:rPr>
        <w:tab/>
        <w:t xml:space="preserve">keďže Rusko s politickou, materiálnou a vojenskou podporou, ktorú poskytujú jeho spojenci – najmä Bielorusko, Irán a Severná Kórea – vedie od 24. februára 2022 nezákonnú, nevyprovokovanú a neodôvodnenú </w:t>
      </w:r>
      <w:proofErr w:type="spellStart"/>
      <w:r w:rsidRPr="008A5F45">
        <w:rPr>
          <w:szCs w:val="24"/>
        </w:rPr>
        <w:t>plnoformátovú</w:t>
      </w:r>
      <w:proofErr w:type="spellEnd"/>
      <w:r w:rsidRPr="008A5F45">
        <w:rPr>
          <w:szCs w:val="24"/>
        </w:rPr>
        <w:t xml:space="preserve"> útočnú vojnu proti Ukrajine; keďže vojna Ruska proti Ukrajine však začala v roku 2014 nezákonným obsadením a anexiou Krymu a následnou okupáciou častí Doneckej a </w:t>
      </w:r>
      <w:proofErr w:type="spellStart"/>
      <w:r w:rsidRPr="008A5F45">
        <w:rPr>
          <w:szCs w:val="24"/>
        </w:rPr>
        <w:t>Luhanskej</w:t>
      </w:r>
      <w:proofErr w:type="spellEnd"/>
      <w:r w:rsidRPr="008A5F45">
        <w:rPr>
          <w:szCs w:val="24"/>
        </w:rPr>
        <w:t xml:space="preserve"> oblasti; keďže táto útočná vojna je zjavným a flagrantným porušením Charty OSN a základných zásad medzinárodného práva a medzinárodného humanitárneho práva stanovených v Ženevských dohovoroch z roku 1949;</w:t>
      </w:r>
    </w:p>
    <w:p w14:paraId="42ED898A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C.</w:t>
      </w:r>
      <w:r w:rsidRPr="008A5F45">
        <w:rPr>
          <w:szCs w:val="24"/>
        </w:rPr>
        <w:tab/>
        <w:t>keďže v júni a júli 2025 sa prudko zvýšil počet ruských raketových útokov a útokov vykonaných bezpilotnými vzdušnými prostriedkami na civilnú infraštruktúru vrátane nemocníc, škôl, obytných budov a kultúrnych inštitúcií, čo viedlo k najvyššiemu počtu civilných obetí od mája 2022; keďže podľa údajov monitorovacej misie OSN pre ľudské práva na Ukrajine bolo v júni 2025 zabitých najmenej 232 civilistov a 1 343 bolo zranených, zatiaľ čo v júli 2025 bolo zaznamenaných 286 úmrtí civilistov a 1 388 zranených, čo predstavuje najvyšší počet civilných obetí za jeden mesiac od mája 2022;</w:t>
      </w:r>
    </w:p>
    <w:p w14:paraId="2DC23CF0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D.</w:t>
      </w:r>
      <w:r w:rsidRPr="008A5F45">
        <w:rPr>
          <w:szCs w:val="24"/>
        </w:rPr>
        <w:tab/>
        <w:t xml:space="preserve">keďže Rusko vykonáva atentáty na popredných ukrajinských verejných činiteľov, vojakov a sabotáže na kritickej infraštruktúre; keďže 30. augusta 2025 bol v Ľvove brutálne zavraždený </w:t>
      </w:r>
      <w:proofErr w:type="spellStart"/>
      <w:r w:rsidRPr="008A5F45">
        <w:rPr>
          <w:szCs w:val="24"/>
        </w:rPr>
        <w:t>Andrij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Parubij</w:t>
      </w:r>
      <w:proofErr w:type="spellEnd"/>
      <w:r w:rsidRPr="008A5F45">
        <w:rPr>
          <w:szCs w:val="24"/>
        </w:rPr>
        <w:t>, bývalý predseda Najvyššej rady Ukrajiny a bývalý tajomník Rady pre národnú bezpečnosť a obranu;</w:t>
      </w:r>
    </w:p>
    <w:p w14:paraId="0FA899CF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E.</w:t>
      </w:r>
      <w:r w:rsidRPr="008A5F45">
        <w:rPr>
          <w:szCs w:val="24"/>
        </w:rPr>
        <w:tab/>
        <w:t>keďže Rusko pácha dokumentované vojnové zločiny a deportácie na všetkých ukrajinských územiach, ktoré nezákonne okupuje, pričom vo veľkej miere využíva manipuláciu s informáciami, dezinformácie a šírenie propagandy s cieľom zámerne udržiavať obyvateľstvo nesprávne informované a neinformované;</w:t>
      </w:r>
    </w:p>
    <w:p w14:paraId="52214CC6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F.</w:t>
      </w:r>
      <w:r w:rsidRPr="008A5F45">
        <w:rPr>
          <w:szCs w:val="24"/>
        </w:rPr>
        <w:tab/>
        <w:t xml:space="preserve">keďže 28. augusta 2025 Rusko vykonalo ďalší absolútne brutálny </w:t>
      </w:r>
      <w:proofErr w:type="spellStart"/>
      <w:r w:rsidRPr="008A5F45">
        <w:rPr>
          <w:szCs w:val="24"/>
        </w:rPr>
        <w:t>dronový</w:t>
      </w:r>
      <w:proofErr w:type="spellEnd"/>
      <w:r w:rsidRPr="008A5F45">
        <w:rPr>
          <w:szCs w:val="24"/>
        </w:rPr>
        <w:t xml:space="preserve"> a raketový útok na niekoľko budov v Kyjeve, pri ktorom bolo zabitých najmenej 23 ľudí a viac ako 63 bolo zranených vrátane detí; keďže pri tomto útoku boli vážne poškodené priestory delegácie EÚ na Ukrajine, čo predstavuje závažné porušenie Viedenského dohovoru o diplomatických stykoch; keďže počas útokov boli zasiahnuté a vážne poškodené aj kyjevské kancelárie Britskej rady, pričom jedna osoba bola zranená;</w:t>
      </w:r>
    </w:p>
    <w:p w14:paraId="628B3912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G.</w:t>
      </w:r>
      <w:r w:rsidRPr="008A5F45">
        <w:rPr>
          <w:szCs w:val="24"/>
        </w:rPr>
        <w:tab/>
        <w:t xml:space="preserve">keďže v reakcii na útočnú vojnu Ruska sa v januári 2023 začala činnosť hlavnej skupiny pre zriadenie osobitného tribunálu pre zločin agresie voči Ukrajine; keďže v marci 2023 bolo v Haagu zriadené Medzinárodné centrum pre stíhanie zločinu agresie v rámci agentúry </w:t>
      </w:r>
      <w:proofErr w:type="spellStart"/>
      <w:r w:rsidRPr="008A5F45">
        <w:rPr>
          <w:szCs w:val="24"/>
        </w:rPr>
        <w:t>Eurojust</w:t>
      </w:r>
      <w:proofErr w:type="spellEnd"/>
      <w:r w:rsidRPr="008A5F45">
        <w:rPr>
          <w:szCs w:val="24"/>
        </w:rPr>
        <w:t>; keďže hlavná skupina dokončila právny rámec pre tribunál v marci 2025; keďže viac ako 40 krajín schválilo jeho vytvorenie prostredníctvom spoločného vyhlásenia zo zasadnutia ministrov zahraničných vecí z 9. mája 2025 o ukončení práce hlavnej skupiny (</w:t>
      </w:r>
      <w:proofErr w:type="spellStart"/>
      <w:r w:rsidRPr="008A5F45">
        <w:rPr>
          <w:szCs w:val="24"/>
        </w:rPr>
        <w:t>Lvivské</w:t>
      </w:r>
      <w:proofErr w:type="spellEnd"/>
      <w:r w:rsidRPr="008A5F45">
        <w:rPr>
          <w:szCs w:val="24"/>
        </w:rPr>
        <w:t xml:space="preserve"> vyhlásenie); keďže 25. júna 2025 ukrajinský prezident </w:t>
      </w:r>
      <w:proofErr w:type="spellStart"/>
      <w:r w:rsidRPr="008A5F45">
        <w:rPr>
          <w:szCs w:val="24"/>
        </w:rPr>
        <w:t>Volodymyr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Zelenskyj</w:t>
      </w:r>
      <w:proofErr w:type="spellEnd"/>
      <w:r w:rsidRPr="008A5F45">
        <w:rPr>
          <w:szCs w:val="24"/>
        </w:rPr>
        <w:t xml:space="preserve"> a generálny tajomník Rady Európy </w:t>
      </w:r>
      <w:proofErr w:type="spellStart"/>
      <w:r w:rsidRPr="008A5F45">
        <w:rPr>
          <w:szCs w:val="24"/>
        </w:rPr>
        <w:t>Alain</w:t>
      </w:r>
      <w:proofErr w:type="spellEnd"/>
      <w:r w:rsidRPr="008A5F45">
        <w:rPr>
          <w:szCs w:val="24"/>
        </w:rPr>
        <w:t xml:space="preserve"> </w:t>
      </w:r>
      <w:proofErr w:type="spellStart"/>
      <w:r w:rsidRPr="008A5F45">
        <w:rPr>
          <w:szCs w:val="24"/>
        </w:rPr>
        <w:t>Berset</w:t>
      </w:r>
      <w:proofErr w:type="spellEnd"/>
      <w:r w:rsidRPr="008A5F45">
        <w:rPr>
          <w:szCs w:val="24"/>
        </w:rPr>
        <w:t xml:space="preserve"> podpísali v </w:t>
      </w:r>
      <w:r w:rsidRPr="008A5F45">
        <w:rPr>
          <w:szCs w:val="24"/>
        </w:rPr>
        <w:lastRenderedPageBreak/>
        <w:t>Štrasburgu formálnu dohodu o zriadení osobitného tribunálu pre zločin agresie voči Ukrajine;</w:t>
      </w:r>
    </w:p>
    <w:p w14:paraId="12194C05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H.</w:t>
      </w:r>
      <w:r w:rsidRPr="008A5F45">
        <w:rPr>
          <w:szCs w:val="24"/>
        </w:rPr>
        <w:tab/>
        <w:t xml:space="preserve">keďže prezident USA Donald </w:t>
      </w:r>
      <w:proofErr w:type="spellStart"/>
      <w:r w:rsidRPr="008A5F45">
        <w:rPr>
          <w:szCs w:val="24"/>
        </w:rPr>
        <w:t>Trump</w:t>
      </w:r>
      <w:proofErr w:type="spellEnd"/>
      <w:r w:rsidRPr="008A5F45">
        <w:rPr>
          <w:szCs w:val="24"/>
        </w:rPr>
        <w:t xml:space="preserve"> a prezident Ruskej federácie </w:t>
      </w:r>
      <w:proofErr w:type="spellStart"/>
      <w:r w:rsidRPr="008A5F45">
        <w:rPr>
          <w:szCs w:val="24"/>
        </w:rPr>
        <w:t>Vladimir</w:t>
      </w:r>
      <w:proofErr w:type="spellEnd"/>
      <w:r w:rsidRPr="008A5F45">
        <w:rPr>
          <w:szCs w:val="24"/>
        </w:rPr>
        <w:t xml:space="preserve"> Putin usporiadali 15. augusta 2025 v </w:t>
      </w:r>
      <w:proofErr w:type="spellStart"/>
      <w:r w:rsidRPr="008A5F45">
        <w:rPr>
          <w:szCs w:val="24"/>
        </w:rPr>
        <w:t>Anchorage</w:t>
      </w:r>
      <w:proofErr w:type="spellEnd"/>
      <w:r w:rsidRPr="008A5F45">
        <w:rPr>
          <w:szCs w:val="24"/>
        </w:rPr>
        <w:t xml:space="preserve"> na Aljaške dvojstranný samit; keďže po tomto samite nasledovali stretnutia prezidenta </w:t>
      </w:r>
      <w:proofErr w:type="spellStart"/>
      <w:r w:rsidRPr="008A5F45">
        <w:rPr>
          <w:szCs w:val="24"/>
        </w:rPr>
        <w:t>Trumpa</w:t>
      </w:r>
      <w:proofErr w:type="spellEnd"/>
      <w:r w:rsidRPr="008A5F45">
        <w:rPr>
          <w:szCs w:val="24"/>
        </w:rPr>
        <w:t xml:space="preserve"> s prezidentom </w:t>
      </w:r>
      <w:proofErr w:type="spellStart"/>
      <w:r w:rsidRPr="008A5F45">
        <w:rPr>
          <w:szCs w:val="24"/>
        </w:rPr>
        <w:t>Zelenským</w:t>
      </w:r>
      <w:proofErr w:type="spellEnd"/>
      <w:r w:rsidRPr="008A5F45">
        <w:rPr>
          <w:szCs w:val="24"/>
        </w:rPr>
        <w:t xml:space="preserve"> a európskymi vedúcimi predstaviteľmi 18. augusta 2025 vo Washingtone DC;</w:t>
      </w:r>
    </w:p>
    <w:p w14:paraId="6F86258B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I.</w:t>
      </w:r>
      <w:r w:rsidRPr="008A5F45">
        <w:rPr>
          <w:snapToGrid w:val="0"/>
          <w:lang w:eastAsia="en-US"/>
        </w:rPr>
        <w:tab/>
        <w:t>keďže Ukrajina preukázala pozoruhodnú odolnosť a odhodlanie vo svojom európskom smerovaní a dosiahla hmatateľný pokrok napriek prebiehajúcej ruskej útočnej vojne, ktorá si vyžiadala tisíce mŕtvych, spôsobila hlbokú traumu veteránom a ich rodinám, zanechala mnohé mestá a dôležitú občiansku infraštruktúru v troskách a viedla k pokračujúcej okupácii časti jej územia ruskými silami;</w:t>
      </w:r>
    </w:p>
    <w:p w14:paraId="085B3B83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J.</w:t>
      </w:r>
      <w:r w:rsidRPr="008A5F45">
        <w:rPr>
          <w:snapToGrid w:val="0"/>
          <w:lang w:eastAsia="en-US"/>
        </w:rPr>
        <w:tab/>
        <w:t>keďže v dôsledku ruskej invázie viac ako štyri milióny Ukrajincov v súčasnosti žije v členských štátoch EÚ vďaka mechanizmu dočasnej ochrany a využíva práva na pobyt, prístup na trh práce, bývanie, zdravotnú starostlivosť, sociálnu pomoc a vzdelávanie svojich detí;</w:t>
      </w:r>
    </w:p>
    <w:p w14:paraId="2F06C75D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K.</w:t>
      </w:r>
      <w:r w:rsidRPr="008A5F45">
        <w:rPr>
          <w:snapToGrid w:val="0"/>
          <w:lang w:eastAsia="en-US"/>
        </w:rPr>
        <w:tab/>
        <w:t>keďže proces pristúpenia Ukrajiny k EÚ predstavuje významný prínos a cestu k mieru a prosperite pre Ukrajinu, strategickú reakciu na agresiu Ruska a vierohodnú bezpečnostnú záruku pre Ukrajinu, čím sa posilní geopolitická odolnosť EÚ;</w:t>
      </w:r>
    </w:p>
    <w:p w14:paraId="321B0C29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L.</w:t>
      </w:r>
      <w:r w:rsidRPr="008A5F45">
        <w:rPr>
          <w:snapToGrid w:val="0"/>
          <w:lang w:eastAsia="en-US"/>
        </w:rPr>
        <w:tab/>
        <w:t xml:space="preserve">keďže legislatívne reformy, ktoré Ukrajina iniciovala, odrážajú jej odhodlanie dosiahnuť súlad s </w:t>
      </w:r>
      <w:proofErr w:type="spellStart"/>
      <w:r w:rsidRPr="008A5F45">
        <w:rPr>
          <w:i/>
          <w:iCs/>
          <w:snapToGrid w:val="0"/>
          <w:lang w:eastAsia="en-US"/>
        </w:rPr>
        <w:t>acquis</w:t>
      </w:r>
      <w:proofErr w:type="spellEnd"/>
      <w:r w:rsidRPr="008A5F45">
        <w:rPr>
          <w:i/>
          <w:iCs/>
          <w:snapToGrid w:val="0"/>
          <w:lang w:eastAsia="en-US"/>
        </w:rPr>
        <w:t xml:space="preserve"> </w:t>
      </w:r>
      <w:r w:rsidRPr="008A5F45">
        <w:rPr>
          <w:snapToGrid w:val="0"/>
          <w:lang w:eastAsia="en-US"/>
        </w:rPr>
        <w:t>EÚ;</w:t>
      </w:r>
    </w:p>
    <w:p w14:paraId="52AE3E69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M.</w:t>
      </w:r>
      <w:r w:rsidRPr="008A5F45">
        <w:rPr>
          <w:snapToGrid w:val="0"/>
          <w:lang w:eastAsia="en-US"/>
        </w:rPr>
        <w:tab/>
        <w:t>keďže skupina GRECO naďalej uznáva silné odhodlanie Ukrajiny v oblasti boja proti korupcii v mimoriadne zložitom období, v ktorom sa krajina nachádza; keďže skupina GRECO uznala najmä pokrok Ukrajiny pri predchádzaní korupcii medzi poslancami, sudcami a prokurátormi; keďže napriek pokroku pretrvávajú výzvy v oblastiach, ako je nezávislosť súdnictva a systémová korupcia, ktoré musí zodpovednejšie riešiť vláda intenzívnejším posilňovaním inštitucionálnych kapacít a pod medzinárodným dohľadom;</w:t>
      </w:r>
    </w:p>
    <w:p w14:paraId="019D20DC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N.</w:t>
      </w:r>
      <w:r w:rsidRPr="008A5F45">
        <w:rPr>
          <w:snapToGrid w:val="0"/>
          <w:lang w:eastAsia="en-US"/>
        </w:rPr>
        <w:tab/>
        <w:t>keďže OECD konštatovala, že Ukrajina v uplynulom desaťročí urobila významný pokrok v reforme svojho protikorupčného rámca, a to zvýšením transparentnosti, zodpovednosti a integrity prostredníctvom otvorených údajov, digitalizácie a posilnenia nezávislosti protikorupčných orgánov;</w:t>
      </w:r>
    </w:p>
    <w:p w14:paraId="04023BD1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O.</w:t>
      </w:r>
      <w:r w:rsidRPr="008A5F45">
        <w:rPr>
          <w:snapToGrid w:val="0"/>
          <w:lang w:eastAsia="en-US"/>
        </w:rPr>
        <w:tab/>
        <w:t xml:space="preserve">keďže v polovici júla 2025 sa ukrajinské orgány pokúsili oslabiť nezávislosť Národného protikorupčného úradu Ukrajiny (NPÚU) a Špecializovanej protikorupčnej prokuratúry (ŠPP) tým, že prijali zákon č. 12414, ktorým sa generálnemu prokurátorovi udelili rozsiahle právomoci zasahovať do ich vyšetrovaní; keďže 31. augusta 2025 v dôsledku rozsiahleho vnútorného a vonkajšieho tlaku Najvyššia rada Ukrajiny prijala zákon č. 13533 s cieľom obnoviť status </w:t>
      </w:r>
      <w:proofErr w:type="spellStart"/>
      <w:r w:rsidRPr="008A5F45">
        <w:rPr>
          <w:snapToGrid w:val="0"/>
          <w:lang w:eastAsia="en-US"/>
        </w:rPr>
        <w:t>quo</w:t>
      </w:r>
      <w:proofErr w:type="spellEnd"/>
      <w:r w:rsidRPr="008A5F45">
        <w:rPr>
          <w:snapToGrid w:val="0"/>
          <w:lang w:eastAsia="en-US"/>
        </w:rPr>
        <w:t xml:space="preserve"> </w:t>
      </w:r>
      <w:proofErr w:type="spellStart"/>
      <w:r w:rsidRPr="008A5F45">
        <w:rPr>
          <w:snapToGrid w:val="0"/>
          <w:lang w:eastAsia="en-US"/>
        </w:rPr>
        <w:t>ante</w:t>
      </w:r>
      <w:proofErr w:type="spellEnd"/>
      <w:r w:rsidRPr="008A5F45">
        <w:rPr>
          <w:snapToGrid w:val="0"/>
          <w:lang w:eastAsia="en-US"/>
        </w:rPr>
        <w:t>, čím prijala potrebné opatrenia na úplné obnovenie nezávislosti NPÚU a ŠPP;</w:t>
      </w:r>
    </w:p>
    <w:p w14:paraId="64BD74A0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P.</w:t>
      </w:r>
      <w:r w:rsidRPr="008A5F45">
        <w:rPr>
          <w:snapToGrid w:val="0"/>
          <w:lang w:eastAsia="en-US"/>
        </w:rPr>
        <w:tab/>
        <w:t xml:space="preserve">keďže hoci Ukrajina získala 35 bodov zo 100 a umiestnila sa na 105. mieste zo 180 krajín v indexe vnímania korupcie organizácie </w:t>
      </w:r>
      <w:proofErr w:type="spellStart"/>
      <w:r w:rsidRPr="008A5F45">
        <w:rPr>
          <w:snapToGrid w:val="0"/>
          <w:lang w:eastAsia="en-US"/>
        </w:rPr>
        <w:t>Transparency</w:t>
      </w:r>
      <w:proofErr w:type="spellEnd"/>
      <w:r w:rsidRPr="008A5F45">
        <w:rPr>
          <w:snapToGrid w:val="0"/>
          <w:lang w:eastAsia="en-US"/>
        </w:rPr>
        <w:t xml:space="preserve"> International za rok 2024, a hoci existuje silný záväzok k protikorupčnému úsiliu, je potrebné zaviesť skutočné reformy na realizáciu týchto zámerov;</w:t>
      </w:r>
      <w:r w:rsidRPr="008A5F45">
        <w:rPr>
          <w:b/>
          <w:bCs/>
          <w:snapToGrid w:val="0"/>
          <w:lang w:eastAsia="en-US"/>
        </w:rPr>
        <w:t xml:space="preserve"> </w:t>
      </w:r>
      <w:r w:rsidRPr="008A5F45">
        <w:rPr>
          <w:snapToGrid w:val="0"/>
          <w:lang w:eastAsia="en-US"/>
        </w:rPr>
        <w:t xml:space="preserve">keďže komplexná reforma verejnej správy, boj </w:t>
      </w:r>
      <w:r w:rsidRPr="008A5F45">
        <w:rPr>
          <w:snapToGrid w:val="0"/>
          <w:lang w:eastAsia="en-US"/>
        </w:rPr>
        <w:lastRenderedPageBreak/>
        <w:t>proti korupcii, podpora základných práv a účinné fungovanie demokratických inštitúcií sú základné podmienky pre pristúpenie k EÚ;</w:t>
      </w:r>
    </w:p>
    <w:p w14:paraId="53301033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Q.</w:t>
      </w:r>
      <w:r w:rsidRPr="008A5F45">
        <w:rPr>
          <w:snapToGrid w:val="0"/>
          <w:lang w:eastAsia="en-US"/>
        </w:rPr>
        <w:tab/>
        <w:t>keďže Ukrajina pokročila v regionálnej spolupráci a sociálno-ekonomických reformách s cieľom zosúladiť svoje politiky s normami EÚ;</w:t>
      </w:r>
    </w:p>
    <w:p w14:paraId="75EA4898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R.</w:t>
      </w:r>
      <w:r w:rsidRPr="008A5F45">
        <w:rPr>
          <w:szCs w:val="24"/>
        </w:rPr>
        <w:tab/>
        <w:t>keďže demokratické inštitúcie Ukrajiny preukázali prispôsobivosť a ukázali, že aj v čase pokračujúcej ruskej útočnej vojny a počas stanného práva zostáva Ukrajina inštitucionálne, demokraticky a hospodársky životaschopným štátom;</w:t>
      </w:r>
      <w:r w:rsidRPr="008A5F45">
        <w:rPr>
          <w:b/>
          <w:bCs/>
          <w:szCs w:val="24"/>
        </w:rPr>
        <w:t xml:space="preserve"> </w:t>
      </w:r>
      <w:r w:rsidRPr="008A5F45">
        <w:rPr>
          <w:szCs w:val="24"/>
        </w:rPr>
        <w:t xml:space="preserve">keďže zatiaľ čo Ukrajina zostáva vo vojne a podlieha stannému právu, voľby sú zakázané zákonom a v praxi neuskutočniteľné; keďže Európsky parlament víta náznaky, že prípravy na voľby sa budú môcť začať po zrušení stanného práva; </w:t>
      </w:r>
    </w:p>
    <w:p w14:paraId="37EFE7C7" w14:textId="77777777" w:rsidR="008A5F45" w:rsidRPr="008A5F45" w:rsidRDefault="008A5F45" w:rsidP="008A5F45">
      <w:pPr>
        <w:widowControl/>
        <w:spacing w:after="240"/>
        <w:ind w:left="567" w:hanging="567"/>
        <w:rPr>
          <w:szCs w:val="24"/>
        </w:rPr>
      </w:pPr>
      <w:r w:rsidRPr="008A5F45">
        <w:rPr>
          <w:szCs w:val="24"/>
        </w:rPr>
        <w:t>S.</w:t>
      </w:r>
      <w:r w:rsidRPr="008A5F45">
        <w:rPr>
          <w:szCs w:val="24"/>
        </w:rPr>
        <w:tab/>
        <w:t>keďže sa dosiahol pokrok v reforme verejnej správy, ale stále je potrebné ďalšie budovanie kapacít, tvorba politiky založená na dôkazoch a zlepšenia v riadení ľudských zdrojov;</w:t>
      </w:r>
    </w:p>
    <w:p w14:paraId="099BA12D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T.</w:t>
      </w:r>
      <w:r w:rsidRPr="008A5F45">
        <w:rPr>
          <w:snapToGrid w:val="0"/>
          <w:lang w:eastAsia="en-US"/>
        </w:rPr>
        <w:tab/>
        <w:t>keďže súdnictvo obnovilo kľúčové funkcie vrátane preverovania sudcov a vykonávania protikorupčných opatrení, hoci sa musia posilniť normy integrity a transparentnosti a mal by sa zabezpečiť stály dohľad medzinárodných partnerov;</w:t>
      </w:r>
    </w:p>
    <w:p w14:paraId="3282F3B2" w14:textId="77777777" w:rsidR="008A5F45" w:rsidRPr="008A5F45" w:rsidRDefault="008A5F45" w:rsidP="008A5F45">
      <w:pPr>
        <w:widowControl/>
        <w:spacing w:after="240"/>
        <w:ind w:left="567" w:hanging="567"/>
        <w:rPr>
          <w:b/>
          <w:bCs/>
          <w:snapToGrid w:val="0"/>
          <w:lang w:eastAsia="en-US"/>
        </w:rPr>
      </w:pPr>
      <w:r w:rsidRPr="008A5F45">
        <w:rPr>
          <w:snapToGrid w:val="0"/>
          <w:lang w:eastAsia="en-US"/>
        </w:rPr>
        <w:t>U.</w:t>
      </w:r>
      <w:r w:rsidRPr="008A5F45">
        <w:rPr>
          <w:snapToGrid w:val="0"/>
          <w:lang w:eastAsia="en-US"/>
        </w:rPr>
        <w:tab/>
        <w:t>keďže pri posilňovaní nezávislosti súdnictva sa využila pomoc medzinárodných expertov v komisiách pre výber sudcov, čo takisto prispelo k posilneniu dôvery verejnosti v súdny systém;</w:t>
      </w:r>
    </w:p>
    <w:p w14:paraId="64CBBDEB" w14:textId="77777777" w:rsidR="008A5F45" w:rsidRPr="008A5F45" w:rsidRDefault="008A5F45" w:rsidP="008A5F45">
      <w:pPr>
        <w:widowControl/>
        <w:spacing w:after="240"/>
        <w:ind w:left="567" w:hanging="567"/>
        <w:rPr>
          <w:b/>
          <w:bCs/>
          <w:snapToGrid w:val="0"/>
          <w:lang w:eastAsia="en-US"/>
        </w:rPr>
      </w:pPr>
      <w:r w:rsidRPr="008A5F45">
        <w:rPr>
          <w:snapToGrid w:val="0"/>
          <w:lang w:eastAsia="en-US"/>
        </w:rPr>
        <w:t>V.</w:t>
      </w:r>
      <w:r w:rsidRPr="008A5F45">
        <w:rPr>
          <w:snapToGrid w:val="0"/>
          <w:lang w:eastAsia="en-US"/>
        </w:rPr>
        <w:tab/>
        <w:t>keďže účasť medzinárodných expertov na výbere členov Vysokej komisie pre kvalifikáciu sudcov sa skončila 1. júna 2025;</w:t>
      </w:r>
    </w:p>
    <w:p w14:paraId="7741BA6F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W.</w:t>
      </w:r>
      <w:r w:rsidRPr="008A5F45">
        <w:rPr>
          <w:snapToGrid w:val="0"/>
          <w:lang w:eastAsia="en-US"/>
        </w:rPr>
        <w:tab/>
        <w:t>keďže Ukrajina napriek neustálemu ničeniu energetických zariadení zo strany Ruska preukázala záväzok k zelenej agende prijatím právnych predpisov o energii z obnoviteľných zdrojov a zosúladením s cieľmi Európskej zelenej dohody;</w:t>
      </w:r>
    </w:p>
    <w:p w14:paraId="2F9A1AE7" w14:textId="77777777" w:rsidR="008A5F45" w:rsidRPr="008A5F45" w:rsidRDefault="008A5F45" w:rsidP="008A5F45">
      <w:pPr>
        <w:widowControl/>
        <w:spacing w:after="240"/>
        <w:ind w:left="567" w:hanging="567"/>
        <w:rPr>
          <w:rFonts w:eastAsiaTheme="majorEastAsia"/>
          <w:iCs/>
          <w:szCs w:val="24"/>
        </w:rPr>
      </w:pPr>
      <w:r w:rsidRPr="008A5F45">
        <w:rPr>
          <w:szCs w:val="24"/>
        </w:rPr>
        <w:t>X.</w:t>
      </w:r>
      <w:r w:rsidRPr="008A5F45">
        <w:rPr>
          <w:szCs w:val="24"/>
        </w:rPr>
        <w:tab/>
        <w:t xml:space="preserve">keďže škody na životnom prostredí spôsobené Ruskom majú ničivé dôsledky na prírodné zdroje Ukrajiny, kritické ekosystémy a zdravie, živobytie a bezpečnosť ľudí; keďže cieľom zelenej obnovy je napraviť tieto škody a nasmerovať Ukrajinu na novú cestu environmentálnej a sociálnej udržateľnosti v súlade s environmentálnymi zákonmi v rámci </w:t>
      </w:r>
      <w:proofErr w:type="spellStart"/>
      <w:r w:rsidRPr="008A5F45">
        <w:rPr>
          <w:i/>
          <w:iCs/>
          <w:szCs w:val="24"/>
        </w:rPr>
        <w:t>acquis</w:t>
      </w:r>
      <w:proofErr w:type="spellEnd"/>
      <w:r w:rsidRPr="008A5F45">
        <w:rPr>
          <w:szCs w:val="24"/>
        </w:rPr>
        <w:t xml:space="preserve"> EÚ; keďže Ukrajina 1. januára 2025 ukončila svoju činnosť ako tranzitná krajina pre ruský plyn;</w:t>
      </w:r>
    </w:p>
    <w:p w14:paraId="4606DD05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Y.</w:t>
      </w:r>
      <w:r w:rsidRPr="008A5F45">
        <w:rPr>
          <w:snapToGrid w:val="0"/>
          <w:lang w:eastAsia="en-US"/>
        </w:rPr>
        <w:tab/>
        <w:t>keďže zahraniční investori a nadnárodné korporácie výrazne rozšírili svoju kontrolu nad prírodnými zdrojmi Ukrajiny vrátane poľnohospodárskej pôdy, nerastných surovín a kritickej infraštruktúry; keďže takýto vývoj ohrozuje národnú suverenitu, potravinovú bezpečnosť a hospodárske sebaurčenie;</w:t>
      </w:r>
    </w:p>
    <w:p w14:paraId="1059DF23" w14:textId="77777777" w:rsidR="008A5F45" w:rsidRPr="008A5F45" w:rsidRDefault="008A5F45" w:rsidP="008A5F45">
      <w:pPr>
        <w:widowControl/>
        <w:spacing w:after="240"/>
        <w:ind w:left="567" w:hanging="567"/>
        <w:rPr>
          <w:rFonts w:eastAsiaTheme="majorEastAsia"/>
          <w:bCs/>
          <w:iCs/>
          <w:szCs w:val="24"/>
        </w:rPr>
      </w:pPr>
      <w:r w:rsidRPr="008A5F45">
        <w:rPr>
          <w:szCs w:val="24"/>
        </w:rPr>
        <w:t>Z.</w:t>
      </w:r>
      <w:r w:rsidRPr="008A5F45">
        <w:rPr>
          <w:szCs w:val="24"/>
        </w:rPr>
        <w:tab/>
        <w:t>keďže EÚ v roku 2024 nakúpila ruské fosílne palivá v celkovej hodnote 21,9 miliardy EUR, čím prekonala finančnú pomoc poskytnutú Ukrajine v hodnote 18,7 miliardy EUR v tom istom roku; keďže od začiatku rozsiahlej invázie EÚ minula viac ako 200 miliárd EUR na ruské fosílne palivá, čím prispela k plneniu ruskej vojenskej pokladnice; keďže Komisia oznámila ukončenie dovozu ruského plynu do roku 2027; keďže v prípade, že by EÚ pokračovala v dovoze ruskej energie v takom rozsahu ako v roku 2024, do konca roka 2027 by Rusku zaplatila ďalších 57,4 miliardy EUR;</w:t>
      </w:r>
    </w:p>
    <w:p w14:paraId="62D1FEC8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lastRenderedPageBreak/>
        <w:t>AA.</w:t>
      </w:r>
      <w:r w:rsidRPr="008A5F45">
        <w:rPr>
          <w:snapToGrid w:val="0"/>
          <w:lang w:eastAsia="en-US"/>
        </w:rPr>
        <w:tab/>
        <w:t>keďže občianska spoločnosť zostáva pilierom odolnosti a demokracie na Ukrajine;</w:t>
      </w:r>
      <w:r w:rsidRPr="008A5F45">
        <w:rPr>
          <w:b/>
          <w:bCs/>
          <w:snapToGrid w:val="0"/>
          <w:lang w:eastAsia="en-US"/>
        </w:rPr>
        <w:t xml:space="preserve"> </w:t>
      </w:r>
      <w:r w:rsidRPr="008A5F45">
        <w:rPr>
          <w:snapToGrid w:val="0"/>
          <w:lang w:eastAsia="en-US"/>
        </w:rPr>
        <w:t>keďže aj napriek obmedzeniam vyplývajúcim zo stanného práva mimovládne organizácie pokračujú vo svojej činnosti relatívne bez prekážok, hoci prípady nátlaku na aktivistov vyvolávajú obavy a vyžadujú si vládne opatrenia;</w:t>
      </w:r>
      <w:r w:rsidRPr="008A5F45">
        <w:rPr>
          <w:b/>
          <w:bCs/>
          <w:snapToGrid w:val="0"/>
          <w:lang w:eastAsia="en-US"/>
        </w:rPr>
        <w:t xml:space="preserve"> </w:t>
      </w:r>
      <w:r w:rsidRPr="008A5F45">
        <w:rPr>
          <w:snapToGrid w:val="0"/>
          <w:lang w:eastAsia="en-US"/>
        </w:rPr>
        <w:t>keďže nedávne náhle zníženie miery financovania zo strany USA má pre ukrajinskú občiansku spoločnosť katastrofálne dôsledky;</w:t>
      </w:r>
    </w:p>
    <w:p w14:paraId="2D2819EC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AB.</w:t>
      </w:r>
      <w:r w:rsidRPr="008A5F45">
        <w:rPr>
          <w:snapToGrid w:val="0"/>
          <w:lang w:eastAsia="en-US"/>
        </w:rPr>
        <w:tab/>
        <w:t>keďže sloboda prejavu a nezávislosť médií čelia výzvam, najmä počas platnosti stanného práva; keďže sú potrebné opatrenia na obnovenie pluralizmu, ochranu novinárov a vytvorenie finančne priaznivého prostredia;</w:t>
      </w:r>
      <w:r w:rsidRPr="008A5F45">
        <w:rPr>
          <w:b/>
          <w:bCs/>
          <w:snapToGrid w:val="0"/>
          <w:lang w:eastAsia="en-US"/>
        </w:rPr>
        <w:t xml:space="preserve"> </w:t>
      </w:r>
      <w:r w:rsidRPr="008A5F45">
        <w:rPr>
          <w:snapToGrid w:val="0"/>
          <w:lang w:eastAsia="en-US"/>
        </w:rPr>
        <w:t>keďže je pochopiteľné, že počas stanného práva sú potrebné určité obmedzenia;</w:t>
      </w:r>
    </w:p>
    <w:p w14:paraId="76772F59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AC.</w:t>
      </w:r>
      <w:r w:rsidRPr="008A5F45">
        <w:rPr>
          <w:snapToGrid w:val="0"/>
          <w:lang w:eastAsia="en-US"/>
        </w:rPr>
        <w:tab/>
        <w:t xml:space="preserve">keďže Európska konfederácia odborových zväzov (ETUC) vyjadrila vážne obavy v súvislosti so zhoršovaním pracovných práv na Ukrajine vrátane porušovania slobôd odborových zväzov a sociálneho dialógu; keďže sloboda združovania, kolektívne vyjednávanie a právo na štrajk sú chránené dohovormi Medzinárodnej organizácie práce (MOP), ktorých je Ukrajina zmluvnou stranou, a sú kľúčovými prvkami </w:t>
      </w:r>
      <w:proofErr w:type="spellStart"/>
      <w:r w:rsidRPr="008A5F45">
        <w:rPr>
          <w:snapToGrid w:val="0"/>
          <w:lang w:eastAsia="en-US"/>
        </w:rPr>
        <w:t>acquis</w:t>
      </w:r>
      <w:proofErr w:type="spellEnd"/>
      <w:r w:rsidRPr="008A5F45">
        <w:rPr>
          <w:snapToGrid w:val="0"/>
          <w:lang w:eastAsia="en-US"/>
        </w:rPr>
        <w:t xml:space="preserve"> EÚ a kodanských kritérií;</w:t>
      </w:r>
    </w:p>
    <w:p w14:paraId="55606783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AD.</w:t>
      </w:r>
      <w:r w:rsidRPr="008A5F45">
        <w:rPr>
          <w:snapToGrid w:val="0"/>
          <w:lang w:eastAsia="en-US"/>
        </w:rPr>
        <w:tab/>
        <w:t>keďže proces integrácie Ukrajiny do EÚ sa vo veľkej miere opiera o verejný a inštitucionálny konsenzus, ktorý odráža silný spoločenský záväzok k členstvu v EÚ napriek súčasným ťažkostiam;</w:t>
      </w:r>
    </w:p>
    <w:p w14:paraId="6E6FE1EE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AE.</w:t>
      </w:r>
      <w:r w:rsidRPr="008A5F45">
        <w:rPr>
          <w:snapToGrid w:val="0"/>
          <w:lang w:eastAsia="en-US"/>
        </w:rPr>
        <w:tab/>
        <w:t>keďže pristúpenie k EÚ má pre krajinu a jej obyvateľov výrazný bezpečnostný rozmer a silný symbolický význam v kontexte existenčnej vojny Ukrajiny proti pokračujúcej ruskej agresii;</w:t>
      </w:r>
      <w:r w:rsidRPr="008A5F45">
        <w:rPr>
          <w:b/>
          <w:bCs/>
          <w:snapToGrid w:val="0"/>
          <w:lang w:eastAsia="en-US"/>
        </w:rPr>
        <w:t xml:space="preserve"> </w:t>
      </w:r>
      <w:r w:rsidRPr="008A5F45">
        <w:rPr>
          <w:snapToGrid w:val="0"/>
          <w:lang w:eastAsia="en-US"/>
        </w:rPr>
        <w:t>keďže neochvejná podpora EÚ zvrchovanosti, územnej celistvosti a nezávislosti Ukrajiny nezávisí od rýchlosti európskej integrácie krajiny;</w:t>
      </w:r>
    </w:p>
    <w:p w14:paraId="553B6364" w14:textId="77777777" w:rsidR="008A5F45" w:rsidRPr="008A5F45" w:rsidRDefault="008A5F45" w:rsidP="008A5F45">
      <w:pPr>
        <w:widowControl/>
        <w:spacing w:after="240"/>
        <w:ind w:left="567" w:hanging="567"/>
        <w:rPr>
          <w:b/>
          <w:snapToGrid w:val="0"/>
          <w:lang w:eastAsia="en-US"/>
        </w:rPr>
      </w:pPr>
      <w:r w:rsidRPr="008A5F45">
        <w:rPr>
          <w:snapToGrid w:val="0"/>
          <w:lang w:eastAsia="en-US"/>
        </w:rPr>
        <w:t>AF.</w:t>
      </w:r>
      <w:r w:rsidRPr="008A5F45">
        <w:rPr>
          <w:snapToGrid w:val="0"/>
          <w:lang w:eastAsia="en-US"/>
        </w:rPr>
        <w:tab/>
        <w:t>keďže členstvo v EÚ je naďalej mimoriadne dôležitou hnacou silou demokratického vývoja Ukrajiny a bude kľúčovým faktorom, pokiaľ ide o zaručenie budúcej bezpečnosti, stability a nezávislosti krajiny;</w:t>
      </w:r>
      <w:r w:rsidRPr="008A5F45">
        <w:rPr>
          <w:b/>
          <w:bCs/>
          <w:snapToGrid w:val="0"/>
          <w:lang w:eastAsia="en-US"/>
        </w:rPr>
        <w:t xml:space="preserve"> </w:t>
      </w:r>
      <w:r w:rsidRPr="008A5F45">
        <w:rPr>
          <w:snapToGrid w:val="0"/>
          <w:lang w:eastAsia="en-US"/>
        </w:rPr>
        <w:t>keďže členstvo Ukrajiny v EÚ je strategickou investíciou do mieru, bezpečnosti, demokracie a prosperity celého kontinentu, pričom posilní aj samotnú Úniu tým, že prispeje k jej geopolitickej odolnosti, zvýši jej hospodársky potenciál a posilní jej záväzok k spoločným hodnotám demokracie, právneho štátu a slobody;</w:t>
      </w:r>
    </w:p>
    <w:p w14:paraId="6260DDF3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AG.</w:t>
      </w:r>
      <w:r w:rsidRPr="008A5F45">
        <w:rPr>
          <w:snapToGrid w:val="0"/>
          <w:lang w:eastAsia="en-US"/>
        </w:rPr>
        <w:tab/>
        <w:t>keďže pristúpenie je naďalej procesom založeným na dosiahnutých výsledkoch, pričom pokrok pri vykonávaní reforiem sa musí dôkladne a starostlivo</w:t>
      </w:r>
      <w:bookmarkStart w:id="9" w:name="_Hlk204184035"/>
      <w:r w:rsidRPr="008A5F45">
        <w:rPr>
          <w:snapToGrid w:val="0"/>
          <w:lang w:eastAsia="en-US"/>
        </w:rPr>
        <w:t xml:space="preserve"> posudzovať, čo je aj v záujme Ukrajiny;</w:t>
      </w:r>
    </w:p>
    <w:bookmarkEnd w:id="9"/>
    <w:p w14:paraId="392F9F53" w14:textId="77777777" w:rsidR="008A5F45" w:rsidRPr="008A5F45" w:rsidRDefault="008A5F45" w:rsidP="008A5F45">
      <w:pPr>
        <w:widowControl/>
        <w:spacing w:after="240"/>
        <w:rPr>
          <w:rFonts w:eastAsiaTheme="majorEastAsia"/>
          <w:bCs/>
          <w:szCs w:val="24"/>
        </w:rPr>
      </w:pPr>
      <w:r w:rsidRPr="008A5F45">
        <w:rPr>
          <w:b/>
          <w:bCs/>
          <w:i/>
          <w:iCs/>
          <w:szCs w:val="24"/>
        </w:rPr>
        <w:t>Ruská útočná vojna ako kontext príprav na pristúpenie Ukrajiny k EÚ</w:t>
      </w:r>
    </w:p>
    <w:p w14:paraId="73000A24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1.</w:t>
      </w:r>
      <w:r w:rsidRPr="008A5F45">
        <w:rPr>
          <w:snapToGrid w:val="0"/>
          <w:lang w:eastAsia="en-US"/>
        </w:rPr>
        <w:tab/>
        <w:t>čo najdôraznejšie odsudzuje pokračujúcu útočnú vojnu Ruskej federácie proti Ukrajine a nerozlišujúce útoky Ruska na civilné obyvateľstvo a civilnú infraštruktúru; opätovne zdôrazňuje svoju neochvejnú solidaritu so statočným ukrajinským obyvateľstvom, ktoré od roku 2014 platí najvyššiu cenu za obranu zvrchovanosti Ukrajiny a územnej celistvosti, ako aj za ochranu Európy a našich spoločných demokratických hodnôt a zásad; vyjadruje hlbokú sústrasť rodinám padlých hrdinov a nevinných civilných obetí ruskej agresie vrátane viac ako 600 zabitých detí;</w:t>
      </w:r>
    </w:p>
    <w:p w14:paraId="639202DC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lastRenderedPageBreak/>
        <w:t>2.</w:t>
      </w:r>
      <w:r w:rsidRPr="008A5F45">
        <w:rPr>
          <w:snapToGrid w:val="0"/>
          <w:lang w:eastAsia="en-US"/>
        </w:rPr>
        <w:tab/>
        <w:t xml:space="preserve">dôrazne odsudzuje Ruskom organizované vraždy popredných ukrajinských verejných činiteľov a vojakov a jeho sabotáž ukrajinskej kritickej infraštruktúry; vyjadruje zdesenie a pobúrenie nad ohavnou vraždou bývalého predsedu Najvyššej rady Ukrajiny a bývalého tajomníka Rady národnej bezpečnosti a obrany </w:t>
      </w:r>
      <w:proofErr w:type="spellStart"/>
      <w:r w:rsidRPr="008A5F45">
        <w:rPr>
          <w:snapToGrid w:val="0"/>
          <w:lang w:eastAsia="en-US"/>
        </w:rPr>
        <w:t>Andrija</w:t>
      </w:r>
      <w:proofErr w:type="spellEnd"/>
      <w:r w:rsidRPr="008A5F45">
        <w:rPr>
          <w:snapToGrid w:val="0"/>
          <w:lang w:eastAsia="en-US"/>
        </w:rPr>
        <w:t xml:space="preserve"> </w:t>
      </w:r>
      <w:proofErr w:type="spellStart"/>
      <w:r w:rsidRPr="008A5F45">
        <w:rPr>
          <w:snapToGrid w:val="0"/>
          <w:lang w:eastAsia="en-US"/>
        </w:rPr>
        <w:t>Parubija</w:t>
      </w:r>
      <w:proofErr w:type="spellEnd"/>
      <w:r w:rsidRPr="008A5F45">
        <w:rPr>
          <w:snapToGrid w:val="0"/>
          <w:lang w:eastAsia="en-US"/>
        </w:rPr>
        <w:t>, ktorý preukázal pevné odhodlanie napĺňať európske ambície Ukrajiny, ku ktorej došlo 30. augusta 2025 v Ľvove;</w:t>
      </w:r>
    </w:p>
    <w:p w14:paraId="73848E75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3.</w:t>
      </w:r>
      <w:r w:rsidRPr="008A5F45">
        <w:rPr>
          <w:snapToGrid w:val="0"/>
          <w:lang w:eastAsia="en-US"/>
        </w:rPr>
        <w:tab/>
        <w:t xml:space="preserve">vyjadruje pobúrenie nad zintenzívnenými </w:t>
      </w:r>
      <w:proofErr w:type="spellStart"/>
      <w:r w:rsidRPr="008A5F45">
        <w:rPr>
          <w:snapToGrid w:val="0"/>
          <w:lang w:eastAsia="en-US"/>
        </w:rPr>
        <w:t>dronovými</w:t>
      </w:r>
      <w:proofErr w:type="spellEnd"/>
      <w:r w:rsidRPr="008A5F45">
        <w:rPr>
          <w:snapToGrid w:val="0"/>
          <w:lang w:eastAsia="en-US"/>
        </w:rPr>
        <w:t xml:space="preserve"> a raketovými útokmi Ruska na civilné ciele vrátane útoku na Kyjev z 28. augusta 2025, ktorý bol priamo zameraný na delegáciu EÚ na Ukrajine a Britskú radu; zdôrazňuje, že nedávny útok, ako aj všetky ostatné útoky na civilnú infraštruktúru predstavujú vojnový zločin a opätovne poukazujú na to, že Rusko si očividne neváži ľudský život, medzinárodné právo, úsilie USA o mier a základné zásady, ktorými sa riadi ochrana civilného obyvateľstva;</w:t>
      </w:r>
    </w:p>
    <w:p w14:paraId="3F5A04DB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4.</w:t>
      </w:r>
      <w:r w:rsidRPr="008A5F45">
        <w:rPr>
          <w:snapToGrid w:val="0"/>
          <w:lang w:eastAsia="en-US"/>
        </w:rPr>
        <w:tab/>
        <w:t>opätovne pripomína svoj neochvejný záväzok podporovať nezávislosť, zvrchovanosť a územnú celistvosť Ukrajiny v rámci jej medzinárodne uznaných hraníc; opätovne pripomína, že neuznáva územia Ukrajiny dočasne okupované Ruskom vrátane Krymu; dôrazne podčiarkuje prirodzené právo Ukrajiny na sebaobranu v súlade s článkom 51 Charty OSN, ktoré zahŕňa právo zasiahnuť vojenské ciele na ruskom území; opätovne potvrdzuje záväzok EÚ dosiahnuť spravodlivý a trvalý mier na Ukrajine za podmienok, ktoré sú prijateľné pre Ukrajinu a jej obyvateľov, ktorý zaručí zachovanie zvrchovanosti a územnej celistvosti Ukrajiny a zabezpečí stíhanie osôb zodpovedných za vojnové zločiny a platbu reparácií; vyzýva EÚ a jej členské štáty, aby aktívne pracovali na zachovaní a dosiahnutí čo najširšej medzinárodnej podpory pre Ukrajinu a na hľadaní mierového riešenia vojny, ktoré musí byť založené na plnom rešpektovaní nezávislosti, zvrchovanosti a územnej celistvosti Ukrajiny a zodpovednosti za vojnové zločiny a za zločin agresie, ako aj na ruských platbách za obrovské škody spôsobené na Ukrajine; zdôrazňuje, že akékoľvek mierové riešenie musí rešpektovať vôľu ukrajinského ľudu a nesmie byť nanútené žiadnym iným zahraničným aktérom a nesmie odmeňovať agresiu ani oslabovať budúcu bezpečnosť Ukrajiny; považuje neúprimný prístup k rokovaniam a neseriózne návrhy ruských vedúcich predstaviteľov v posledných mesiacoch, za ďalší dôkaz toho, že Rusko má v úmysle predlžovať vojnu na celom ukrajinskom území, kým to dokáže a kým mu to bude dovolené; zdôrazňuje, že mierovým rokovaniam musí predchádzať bezpodmienečné prímerie; vyzýva EÚ, aby naďalej podporovala ukrajinské a medzinárodné úsilie o posilnenie dokumentácie a vyšetrovania vojnových zločinov spáchaných ruskými silami;</w:t>
      </w:r>
    </w:p>
    <w:p w14:paraId="7B792431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5.</w:t>
      </w:r>
      <w:r w:rsidRPr="008A5F45">
        <w:rPr>
          <w:snapToGrid w:val="0"/>
          <w:lang w:eastAsia="en-US"/>
        </w:rPr>
        <w:tab/>
        <w:t>vyjadruje hlboké znepokojenie nad posunom v postoji USA k ruskej útočnej vojne, ktorý zahŕňal priamu spoluprácu s Ruskom bez vyvíjania zmysluplného tlaku, verejné vzdanie sa významného vplyvu, odmietnutie ďalších sankcií a diskusiu o zrušení existujúcich sankcií a pokusy prinútiť Ukrajinu, aby urobila územné ústupky a vzdala sa svojho legitímneho práva na sebaobranu; zdôrazňuje, že vzhľadom na tento vývoj musia EÚ a jej členské štáty zostať hlavnými strategickými spojencami Ukrajiny a mali by posilniť svoju vedúcu úlohu pri podpore boja Ukrajiny za suverenitu, mier a spravodlivosť; uznáva, že bezpečnosť Ukrajiny predstavuje kľúčovú súčasť bezpečnosti EÚ; konštatuje, že podpora EÚ pre Ukrajinu v súčasnosti prekonala podporu zo strany Spojených štátov, čo zdôrazňuje zásadnú úlohu EÚ pri podpore odolnosti a obnovy Ukrajiny;</w:t>
      </w:r>
    </w:p>
    <w:p w14:paraId="716E5572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6.</w:t>
      </w:r>
      <w:r w:rsidRPr="008A5F45">
        <w:rPr>
          <w:snapToGrid w:val="0"/>
          <w:lang w:eastAsia="en-US"/>
        </w:rPr>
        <w:tab/>
        <w:t xml:space="preserve">zdôrazňuje, že EÚ a jej členské štáty musia výrazne zvýšiť účinnosť a urýchliť dodávky vojenskej, materiálnej a finančnej pomoci, ktorú poskytujú na podporu práva Ukrajiny </w:t>
      </w:r>
      <w:r w:rsidRPr="008A5F45">
        <w:rPr>
          <w:snapToGrid w:val="0"/>
          <w:lang w:eastAsia="en-US"/>
        </w:rPr>
        <w:lastRenderedPageBreak/>
        <w:t>na sebaobranu; trvá na tom, že EÚ a jej členské štáty musia spolu s partnermi a spojencami prispieť k vybudovaniu silných bezpečnostných záruk pre Ukrajinu, ktoré by odrádzali od budúcej ruskej agresie, a umožniť tak Ukrajine plne sa sústrediť na uskutočňovanie potrebných reforiem na ceste k pristúpeniu k EÚ; zdôrazňuje význam trvalého posilnenia bezpečnosti na východnom krídle EÚ a NATO v reakcii na hrozby zo strany Ruska; vyzýva na rozvoj vojenskej a logistickej infraštruktúry v krajinách susediacich s Ukrajinou; uznáva zvrchované právo Ukrajiny vybrať si svoje vojenské aliancie;</w:t>
      </w:r>
    </w:p>
    <w:p w14:paraId="30D0FB1D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7.</w:t>
      </w:r>
      <w:r w:rsidRPr="008A5F45">
        <w:rPr>
          <w:snapToGrid w:val="0"/>
          <w:lang w:eastAsia="en-US"/>
        </w:rPr>
        <w:tab/>
        <w:t xml:space="preserve">berie na vedomie nedávne stretnutie prezidenta USA Donalda </w:t>
      </w:r>
      <w:proofErr w:type="spellStart"/>
      <w:r w:rsidRPr="008A5F45">
        <w:rPr>
          <w:snapToGrid w:val="0"/>
          <w:lang w:eastAsia="en-US"/>
        </w:rPr>
        <w:t>Trumpa</w:t>
      </w:r>
      <w:proofErr w:type="spellEnd"/>
      <w:r w:rsidRPr="008A5F45">
        <w:rPr>
          <w:snapToGrid w:val="0"/>
          <w:lang w:eastAsia="en-US"/>
        </w:rPr>
        <w:t xml:space="preserve"> a </w:t>
      </w:r>
      <w:proofErr w:type="spellStart"/>
      <w:r w:rsidRPr="008A5F45">
        <w:rPr>
          <w:snapToGrid w:val="0"/>
          <w:lang w:eastAsia="en-US"/>
        </w:rPr>
        <w:t>Vladimira</w:t>
      </w:r>
      <w:proofErr w:type="spellEnd"/>
      <w:r w:rsidRPr="008A5F45">
        <w:rPr>
          <w:snapToGrid w:val="0"/>
          <w:lang w:eastAsia="en-US"/>
        </w:rPr>
        <w:t xml:space="preserve"> Putina a zdôrazňuje, že je v očividnom rozpore s masívnou eskaláciou útokov Ruska proti Ukrajine, čo opäť dokazuje, že Rusko sa vôbec nezaujíma o mier, ale skôr o podriadenie Ukrajiny; zdôrazňuje, že </w:t>
      </w:r>
      <w:proofErr w:type="spellStart"/>
      <w:r w:rsidRPr="008A5F45">
        <w:rPr>
          <w:snapToGrid w:val="0"/>
          <w:lang w:eastAsia="en-US"/>
        </w:rPr>
        <w:t>Vladimir</w:t>
      </w:r>
      <w:proofErr w:type="spellEnd"/>
      <w:r w:rsidRPr="008A5F45">
        <w:rPr>
          <w:snapToGrid w:val="0"/>
          <w:lang w:eastAsia="en-US"/>
        </w:rPr>
        <w:t xml:space="preserve"> Putin sa do mierového úsilia USA zapája nečestne a len hrá o čas s cieľom pokračovať v útočnej vojne Ruska; vyzýva prezidenta </w:t>
      </w:r>
      <w:proofErr w:type="spellStart"/>
      <w:r w:rsidRPr="008A5F45">
        <w:rPr>
          <w:snapToGrid w:val="0"/>
          <w:lang w:eastAsia="en-US"/>
        </w:rPr>
        <w:t>Trumpa</w:t>
      </w:r>
      <w:proofErr w:type="spellEnd"/>
      <w:r w:rsidRPr="008A5F45">
        <w:rPr>
          <w:snapToGrid w:val="0"/>
          <w:lang w:eastAsia="en-US"/>
        </w:rPr>
        <w:t xml:space="preserve">, aby konal v súlade so svojím oznámením, že Spojené štáty prijmú ďalšie rozhodné hospodárske sankcie voči Rusku a krajinám, ktoré podporujú jeho vojnovú mašinériu; zdôrazňuje, že o žiadnom trvalom a spravodlivom mieri na Ukrajine nemožno rokovať bez plnej účasti ukrajinského vedenia a podpory jej ľudu, a to ani bez účasti Európskej únie; s uspokojením berie na vedomie, že 18. augusta 2025 sa uskutočnilo stretnutie prezidenta </w:t>
      </w:r>
      <w:proofErr w:type="spellStart"/>
      <w:r w:rsidRPr="008A5F45">
        <w:rPr>
          <w:snapToGrid w:val="0"/>
          <w:lang w:eastAsia="en-US"/>
        </w:rPr>
        <w:t>Trumpa</w:t>
      </w:r>
      <w:proofErr w:type="spellEnd"/>
      <w:r w:rsidRPr="008A5F45">
        <w:rPr>
          <w:snapToGrid w:val="0"/>
          <w:lang w:eastAsia="en-US"/>
        </w:rPr>
        <w:t xml:space="preserve"> s prezidentom </w:t>
      </w:r>
      <w:proofErr w:type="spellStart"/>
      <w:r w:rsidRPr="008A5F45">
        <w:rPr>
          <w:snapToGrid w:val="0"/>
          <w:lang w:eastAsia="en-US"/>
        </w:rPr>
        <w:t>Zelenským</w:t>
      </w:r>
      <w:proofErr w:type="spellEnd"/>
      <w:r w:rsidRPr="008A5F45">
        <w:rPr>
          <w:snapToGrid w:val="0"/>
          <w:lang w:eastAsia="en-US"/>
        </w:rPr>
        <w:t xml:space="preserve"> a viacerými európskymi lídrami; opätovne potvrdzuje svoje pevné odhodlanie poskytnúť bezpečnostné záruky a podniknúť všetky potrebné kroky na posilnenie ukrajinských ozbrojených síl a obranného priemyslu; odmieta akékoľvek ruské tvrdenia, že je garantom budúcich bezpečnostných opatrení pre Ukrajinu, a akékoľvek pokusy o podmieňovanie početnej a operačnej zvrchovanosti ukrajinských ozbrojených síl;</w:t>
      </w:r>
    </w:p>
    <w:p w14:paraId="5C3E5562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8.</w:t>
      </w:r>
      <w:r w:rsidRPr="008A5F45">
        <w:rPr>
          <w:snapToGrid w:val="0"/>
          <w:lang w:eastAsia="en-US"/>
        </w:rPr>
        <w:tab/>
        <w:t xml:space="preserve">pripomína, že Európa už podporila Ukrajinu vojenskou pomocou vo výške 50 miliárd EUR, ale zdôrazňuje, že je potrebná ďalšia pomoc a že táto podpora teraz závisí najmä od samotnej Európy; naliehavo vyzýva členské štáty, aby poskytli Ukrajine viac zbraní a munície ešte pred ukončením akýchkoľvek rokovaní a aby podstatne posilnili výmenu spravodajských informácií s Ukrajinou; vyzýva členské štáty EÚ, medzinárodných partnerov a spojencov NATO, aby zrušili všetky obmedzenia týkajúce sa použitia západných zbraňových systémov dodaných Ukrajine proti vojenským cieľom na ruskom území; víta úsilie Ukrajiny o posilnenie domácej obrannej priemyselnej základne vrátane výroby </w:t>
      </w:r>
      <w:proofErr w:type="spellStart"/>
      <w:r w:rsidRPr="008A5F45">
        <w:rPr>
          <w:snapToGrid w:val="0"/>
          <w:lang w:eastAsia="en-US"/>
        </w:rPr>
        <w:t>dronov</w:t>
      </w:r>
      <w:proofErr w:type="spellEnd"/>
      <w:r w:rsidRPr="008A5F45">
        <w:rPr>
          <w:snapToGrid w:val="0"/>
          <w:lang w:eastAsia="en-US"/>
        </w:rPr>
        <w:t xml:space="preserve"> a iných kritických technológií; trvá na tom, že je mimoriadne dôležité spolupracovať s Ukrajinou a integrovať ju do obranných iniciatív EÚ vrátane integrácie ukrajinského obranného priemyslu do európskej obrannej technologickej a priemyselnej základne s cieľom posilniť strategickú autonómiu EÚ; podporuje rozvoj spoločných projektov výroby zbraní s partnermi z EÚ a NATO; vyzýva Komisiu a členské štáty, aby tieto iniciatívy podporili prostredníctvom stratégie európskeho obranného priemyslu a príslušných nástrojov s cieľom posilniť spôsobilosti Ukrajiny v oblasti sebaobrany v dlhodobom horizonte; zdôrazňuje, že je naliehavo potrebné riadne financovať Nástroj na podporu Ukrajiny v rámci programu európskeho obranného priemyslu, ktorému ešte neboli pridelené žiadne finančné prostriedky;</w:t>
      </w:r>
    </w:p>
    <w:p w14:paraId="5E5E863D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9.</w:t>
      </w:r>
      <w:r w:rsidRPr="008A5F45">
        <w:rPr>
          <w:snapToGrid w:val="0"/>
          <w:lang w:eastAsia="en-US"/>
        </w:rPr>
        <w:tab/>
        <w:t>opätovne vyzýva členské štáty EÚ, aby nasledovali dánsky a holandský príklad a stali sa partnermi ukrajinského obranného priemyslu a čo najefektívnejšie podporili jeho výrobné kapacity;</w:t>
      </w:r>
    </w:p>
    <w:p w14:paraId="6B50B2BE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10.</w:t>
      </w:r>
      <w:r w:rsidRPr="008A5F45">
        <w:rPr>
          <w:snapToGrid w:val="0"/>
          <w:lang w:eastAsia="en-US"/>
        </w:rPr>
        <w:tab/>
        <w:t xml:space="preserve">víta úspechy vojenskej pomocnej misie Európskej únie na podporu Ukrajiny (EUMAM), ktorá poskytuje výcvik ukrajinskému vojenskému personálu; víta </w:t>
      </w:r>
      <w:r w:rsidRPr="008A5F45">
        <w:rPr>
          <w:snapToGrid w:val="0"/>
          <w:lang w:eastAsia="en-US"/>
        </w:rPr>
        <w:lastRenderedPageBreak/>
        <w:t xml:space="preserve">rozhodnutie Rady z 8. novembra 2024 predĺžiť mandát misie o dva roky; žiada, aby sa finančné, logistické a ľudské zdroje misie EUMAM rozšírili a prispôsobili vyvíjajúcim sa potrebám vojenského výcviku ukrajinských ozbrojených síl, ako aj dlhodobému reformnému úsiliu v súlade so spoločnými bezpečnostnými záväzkami medzi EÚ a Ukrajinou; zdôrazňuje, že misia EUMAM by mala fungovať aj ako platforma na výmenu najlepších postupov, ktorá zabezpečí, aby aj európske sily mali prospech zo skúseností, ktoré na bojisku získali Ukrajinské ozbrojené sily; </w:t>
      </w:r>
    </w:p>
    <w:p w14:paraId="11E60209" w14:textId="77777777" w:rsidR="008A5F45" w:rsidRPr="008A5F45" w:rsidRDefault="008A5F45" w:rsidP="008A5F45">
      <w:pPr>
        <w:widowControl/>
        <w:spacing w:after="240"/>
        <w:ind w:left="567" w:hanging="567"/>
        <w:rPr>
          <w:b/>
          <w:bCs/>
          <w:i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11.</w:t>
      </w:r>
      <w:r w:rsidRPr="008A5F45">
        <w:rPr>
          <w:snapToGrid w:val="0"/>
          <w:lang w:eastAsia="en-US"/>
        </w:rPr>
        <w:tab/>
        <w:t xml:space="preserve">čo najdôraznejšie odsudzuje násilné konanie Ruska a spoluúčasť Bieloruska na zlom zaobchádzaní s ukrajinskými deťmi vrátane vrážd, násilného premiestňovania, deportácií a nezákonných adopcií a vymazávania ukrajinskej identity prostredníctvom násilnej </w:t>
      </w:r>
      <w:proofErr w:type="spellStart"/>
      <w:r w:rsidRPr="008A5F45">
        <w:rPr>
          <w:snapToGrid w:val="0"/>
          <w:lang w:eastAsia="en-US"/>
        </w:rPr>
        <w:t>rusifikácie</w:t>
      </w:r>
      <w:proofErr w:type="spellEnd"/>
      <w:r w:rsidRPr="008A5F45">
        <w:rPr>
          <w:snapToGrid w:val="0"/>
          <w:lang w:eastAsia="en-US"/>
        </w:rPr>
        <w:t>; vyzýva EÚ, aby úzko spolupracovala s ukrajinskými orgánmi, medzinárodnými organizáciami a mimovládnymi organizáciami a podporovala ich pri dokumentovaní všetkých nezvestných a deportovaných detí, zaistila ich bezpečný návrat a reintegráciu a poskytovala potrebnú právnu, psychologickú a sociálnu podporu;</w:t>
      </w:r>
    </w:p>
    <w:p w14:paraId="3FE8D309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12.</w:t>
      </w:r>
      <w:r w:rsidRPr="008A5F45">
        <w:rPr>
          <w:snapToGrid w:val="0"/>
          <w:lang w:eastAsia="en-US"/>
        </w:rPr>
        <w:tab/>
        <w:t>odsudzuje neľudské zaobchádzanie Ruska s ukrajinskými vojnovými zajatcami vrátane mučenia a popráv, ktoré hrubo porušuje Ženevské dohovory, zatiaľ čo ruskí vojnoví zajatci na Ukrajine požívajú všetky práva, ktoré im priznáva medzinárodné právo, vrátane návštev a pomoci medzinárodných organizácií, ako je Medzinárodný výbor Červeného kríža (MVČK); víta doposiaľ najväčšiu výmenu väzňov, ktorá sa uskutočnila v máji 2025, a vyzýva EÚ, jej členské štáty a medzinárodné spoločenstvo, aby uľahčovali ďalšie výmeny a vyvíjali potrebný náklad na zabezpečenie ich pokračovania; odsudzuje nezákonné väznenie ukrajinských civilistov Ruskom, ktorí sú držaní v izolácii a v neľudských podmienkach, medzi ktoré patrí mučenie a mimosúdne popravy; vyzýva na zvýšenie medzinárodného tlaku s cieľom zabezpečiť prepustenie všetkých zadržiavaných Ukrajincov; vyzýva MVČK, aby trval na tom, aby ruské orgány poskytli medzinárodným zástupcom MVČK neobmedzený prístup do všetkých miest, kde sú zadržiavaní ukrajinskí vojnoví zajatci;</w:t>
      </w:r>
    </w:p>
    <w:p w14:paraId="61F4C9D9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13.</w:t>
      </w:r>
      <w:r w:rsidRPr="008A5F45">
        <w:rPr>
          <w:snapToGrid w:val="0"/>
          <w:lang w:eastAsia="en-US"/>
        </w:rPr>
        <w:tab/>
        <w:t>zdôrazňuje význam komplexných mechanizmov zodpovednosti a spravodlivosti; víta ratifikáciu Rímskeho štatútu Medzinárodného trestného súdu zo strany Ukrajiny a príslušné zmeny jej trestného zákonníka; víta spoločné vyhlásenie ministrov zahraničných vecí základnej skupiny (</w:t>
      </w:r>
      <w:proofErr w:type="spellStart"/>
      <w:r w:rsidRPr="008A5F45">
        <w:rPr>
          <w:snapToGrid w:val="0"/>
          <w:lang w:eastAsia="en-US"/>
        </w:rPr>
        <w:t>Ľvovské</w:t>
      </w:r>
      <w:proofErr w:type="spellEnd"/>
      <w:r w:rsidRPr="008A5F45">
        <w:rPr>
          <w:snapToGrid w:val="0"/>
          <w:lang w:eastAsia="en-US"/>
        </w:rPr>
        <w:t xml:space="preserve"> vyhlásenie) z 9. mája 2025 o zriadení osobitného tribunálu pre zločin agresie voči Ukrajine; zdôrazňuje, že stíhanie zločinu agresie má zásadný význam pre udržanie medzinárodného poriadku založeného na pravidlách a na zabránenie beztrestnosti; vyzýva inštitúcie EÚ a členské štáty, aby naďalej podporovali v podpore zriadenia a fungovania osobitného tribunálu v rámci Rady Európy; nabáda všetky strany, aby zaručili, že ukrajinské organizácie občianskej spoločnosti a obete vojny budú zohrávať zmysluplnú úlohu v práci tribunálu; domnieva sa, že spravodlivý a trvalý mier je možný len v prípade, že ukrajinské deti, iní násilne deportovaní alebo väznení civilisti a vojnoví zajatci budú prepustení a opäť sa spoja so svojimi rodinami, a že zodpovedné osoby budú postavené pred súd;</w:t>
      </w:r>
    </w:p>
    <w:p w14:paraId="06F071E9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14.</w:t>
      </w:r>
      <w:r w:rsidRPr="008A5F45">
        <w:rPr>
          <w:snapToGrid w:val="0"/>
          <w:lang w:eastAsia="en-US"/>
        </w:rPr>
        <w:tab/>
        <w:t>víta rozsudok Európskeho súdu pre ľudské práva z 9. júla 2025 vo veci Ukrajina a Holandsko/Rusko, v ktorom sa Rusko považuje za zodpovedné za rozsiahle a zjavné porušovanie ľudských práv na Ukrajine – vrátane zostrelenia MH17, mučenia, znásilňovania ako vojnovej zbrane, popráv bez riadneho konania, nezákonného a svojvoľného zadržiavania a organizovaného odsunu detí do Ruska a ich adopcie v Rusku;</w:t>
      </w:r>
    </w:p>
    <w:p w14:paraId="514EB695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lastRenderedPageBreak/>
        <w:t>15.</w:t>
      </w:r>
      <w:r w:rsidRPr="008A5F45">
        <w:rPr>
          <w:snapToGrid w:val="0"/>
          <w:lang w:eastAsia="en-US"/>
        </w:rPr>
        <w:tab/>
        <w:t>zdôrazňuje, že sankcie spolu s predchádzaním obchádzaniu sankcií a bojom proti nemu zostávajú kľúčovými nástrojmi na oslabenie schopnosti Ruska pokračovať v útočnej vojne a na neutralizovanie hrozby pre európsku bezpečnosť; vyzýva na rozšírenie sankcií zameraných na ruské hospodárstvo, a to aj v metalurgii, jadrovom, chemickom, energetickom a finančnom sektore; víta prijatie 18. balíka sankcií voči Ruskej federácii a vyzýva EÚ a jej členské štáty, aby prijali ďalšie balíky sankcií zamerané najmä na boj proti obchádzaniu existujúcich opatrení; zdôrazňuje, že prísne uplatňovanie a presadzovanie sankcií má zásadný význam pre odrezanie ruskej vojnovej mašinérie od zdrojov a posilnenie odolnosti Ukrajiny; vyzýva Komisiu a členské štáty, aby zabezpečili pokračujúcu účasť USA na uplatňovaní sankcií voči Rusku s cieľom udržiavať nátlak na ruské hospodárstvo a štátny rozpočet; zastáva názor, že sankcie sa musia predĺžiť a pokračovať dovtedy, kým Rusko neukončí svoju útočnú vojnu proti Ukrajine a nezaplatí vojnové reparácie;</w:t>
      </w:r>
    </w:p>
    <w:p w14:paraId="53BF6225" w14:textId="77777777" w:rsidR="008A5F45" w:rsidRPr="008A5F45" w:rsidRDefault="008A5F45" w:rsidP="008A5F45">
      <w:pPr>
        <w:spacing w:after="240"/>
        <w:ind w:left="567" w:hanging="567"/>
      </w:pPr>
      <w:r w:rsidRPr="008A5F45">
        <w:t>16.</w:t>
      </w:r>
      <w:r w:rsidRPr="008A5F45">
        <w:tab/>
        <w:t>naliehavo vyzýva na urýchlené postupné ukončenie používania ruských uhľovodíkových výrobkov v EÚ s cieľom konečne dosiahnuť úplný zákaz; opakuje, že ukončenie energetickej závislosti EÚ od ruských uhľovodíkov je nevyhnutné pre energetickú bezpečnosť Európy; víta účinné zavedenie úplného embarga EÚ na ruské uhlie, vďaka ktorému EÚ ukončila závislosť od ruského uhlia; pripomína embargo EÚ na ruskú ropu, vyjadruje však poľutovanie nad tým, že maďarská a slovenská vláda sa rozhodli zostať od nej závislé, a naliehavo ich vyzýva, aby urýchlene ukončili túto škodlivú závislosť, v prípade potreby s konkrétnymi podpornými opatreniami; vyzýva Radu, aby sankcionovala všetky plavidlá pôsobiace v rámci ruskej tieňovej flotily a kontaktovala vlajkové štáty, aby tieto plavidlá vyradili zo zoznamu svojich lodí, čím sa stanú „</w:t>
      </w:r>
      <w:proofErr w:type="spellStart"/>
      <w:r w:rsidRPr="008A5F45">
        <w:t>nepoistiteľnými</w:t>
      </w:r>
      <w:proofErr w:type="spellEnd"/>
      <w:r w:rsidRPr="008A5F45">
        <w:t xml:space="preserve">“ pre poisťovne; naliehavo vyzýva na zvýšenie úsilia o zabránenie obchádzaniu existujúcich sankcií voči ruskej rope; vyzýva EÚ a koalíciu G7, aby znížili cenový strop na ropu a ešte viac znížili finančnú kapacitu Ruska na vedenie vojny; víta plán </w:t>
      </w:r>
      <w:proofErr w:type="spellStart"/>
      <w:r w:rsidRPr="008A5F45">
        <w:t>RePowerEU</w:t>
      </w:r>
      <w:proofErr w:type="spellEnd"/>
      <w:r w:rsidRPr="008A5F45">
        <w:t xml:space="preserve">, ktorý nedávno oznámila Komisia; naliehavo však vyzýva Komisiu, aby vždy, keď je to možné, urýchlila harmonogram a aby v prípade potreby prijala dočasné opatrenia, ako je zníženie cenového stropu ropy a zavedenie cenového stropu pre skvapalnený zemný plyn a dovoznej kvóty; dôrazne odmieta výzvy na obnovenie projektov, ako je </w:t>
      </w:r>
      <w:proofErr w:type="spellStart"/>
      <w:r w:rsidRPr="008A5F45">
        <w:t>Nord</w:t>
      </w:r>
      <w:proofErr w:type="spellEnd"/>
      <w:r w:rsidRPr="008A5F45">
        <w:t xml:space="preserve"> Stream 1 a 2; vyjadruje hlboké poľutovanie nad tým, že ani viac ako tri roky po začiatku </w:t>
      </w:r>
      <w:proofErr w:type="spellStart"/>
      <w:r w:rsidRPr="008A5F45">
        <w:t>plnoformátovej</w:t>
      </w:r>
      <w:proofErr w:type="spellEnd"/>
      <w:r w:rsidRPr="008A5F45">
        <w:t xml:space="preserve"> invázie sa Rada nedohodla na úplnom embargu na ruský plyn; vyzýva na urýchlené prijatie takéhoto opatrenia;</w:t>
      </w:r>
    </w:p>
    <w:p w14:paraId="7025147C" w14:textId="77777777" w:rsidR="008A5F45" w:rsidRPr="008A5F45" w:rsidRDefault="008A5F45" w:rsidP="008A5F45">
      <w:pPr>
        <w:spacing w:after="240"/>
        <w:ind w:left="567" w:hanging="567"/>
      </w:pPr>
      <w:r w:rsidRPr="008A5F45">
        <w:t>17.</w:t>
      </w:r>
      <w:r w:rsidRPr="008A5F45">
        <w:tab/>
        <w:t xml:space="preserve">vyjadruje poľutovanie nad obštrukčným správaním niektorých vlád v EÚ, ktoré sa vyhrážajú vetovaním alebo oslabením reštriktívnych opatrení voči Rusku; podporuje zámer kriminalizovať porušovanie a obchádzanie sankcií na Ukrajine, ako sa navrhuje v naliehavom návrhu zákona č. 12406; zdôrazňuje, že presadzovanie takýchto právnych predpisov je nevyhnutné na odstránenie medzier, ktoré umožňujú stiahnutie sankcionovaných aktív počas fázy blokovania, a na postavenie pred súd osôb, ktoré umožňujú ruskú útočnú vojnu; </w:t>
      </w:r>
      <w:bookmarkStart w:id="10" w:name="_Hlk204184405"/>
      <w:r w:rsidRPr="008A5F45">
        <w:t xml:space="preserve">naliehavo vyzýva Ukrajinu, aby prijala tento návrh zákona v súlade s príslušnými najlepšími postupmi EÚ; </w:t>
      </w:r>
    </w:p>
    <w:bookmarkEnd w:id="10"/>
    <w:p w14:paraId="598FBA3A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18.</w:t>
      </w:r>
      <w:r w:rsidRPr="008A5F45">
        <w:rPr>
          <w:snapToGrid w:val="0"/>
          <w:lang w:eastAsia="en-US"/>
        </w:rPr>
        <w:tab/>
        <w:t xml:space="preserve">naliehavo vyzýva Komisiu a členské štáty, aby skonfiškovali </w:t>
      </w:r>
      <w:proofErr w:type="spellStart"/>
      <w:r w:rsidRPr="008A5F45">
        <w:rPr>
          <w:snapToGrid w:val="0"/>
          <w:lang w:eastAsia="en-US"/>
        </w:rPr>
        <w:t>imobilizovaný</w:t>
      </w:r>
      <w:proofErr w:type="spellEnd"/>
      <w:r w:rsidRPr="008A5F45">
        <w:rPr>
          <w:snapToGrid w:val="0"/>
          <w:lang w:eastAsia="en-US"/>
        </w:rPr>
        <w:t xml:space="preserve"> ruský majetok a sprístupnili ho na obranu, rekonštrukciu a odškodnenie obetí na Ukrajine v súlade s medzinárodným právom a zásadou zodpovednosti štátu; zdôrazňuje, že na dosiahnutie tohto cieľa je mimoriadne dôležité zabezpečiť, aby ruské štátne aktíva zostali </w:t>
      </w:r>
      <w:proofErr w:type="spellStart"/>
      <w:r w:rsidRPr="008A5F45">
        <w:rPr>
          <w:snapToGrid w:val="0"/>
          <w:lang w:eastAsia="en-US"/>
        </w:rPr>
        <w:t>imobilizované</w:t>
      </w:r>
      <w:proofErr w:type="spellEnd"/>
      <w:r w:rsidRPr="008A5F45">
        <w:rPr>
          <w:snapToGrid w:val="0"/>
          <w:lang w:eastAsia="en-US"/>
        </w:rPr>
        <w:t xml:space="preserve"> v rámci EÚ;</w:t>
      </w:r>
    </w:p>
    <w:p w14:paraId="79E83389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19.</w:t>
      </w:r>
      <w:r w:rsidRPr="008A5F45">
        <w:tab/>
        <w:t xml:space="preserve">vyzýva Radu a Komisiu, aby zaujali rozhodné vedúce postavenie a našli udržateľné </w:t>
      </w:r>
      <w:r w:rsidRPr="008A5F45">
        <w:lastRenderedPageBreak/>
        <w:t>riešenie v súvislosti s mechanizmom dočasnej ochrany EÚ pre viac ako štyri milióny Ukrajincov, ktorého platnosť bola predĺžená do marca 2026; zdôrazňuje potrebu zabezpečiť rovnaké zaobchádzanie a zabrániť fragmentácii v celej EÚ; zdôrazňuje, že je dôležité dodržiavať práva Ukrajincov, ktorí sa nemôžu vrátiť a chcú zostať v EÚ, a zároveň podporovať tých, ktorí sa rozhodnú vrátiť a obnoviť svoj život na Ukrajine;</w:t>
      </w:r>
    </w:p>
    <w:p w14:paraId="5C0E0142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20.</w:t>
      </w:r>
      <w:r w:rsidRPr="008A5F45">
        <w:rPr>
          <w:snapToGrid w:val="0"/>
          <w:lang w:eastAsia="en-US"/>
        </w:rPr>
        <w:tab/>
        <w:t>nabáda Ukrajinu a členské štáty, aby úzko spolupracovali s cieľom maximalizovať potenciálnu hospodársku účasť ukrajinských utečencov a diaspóry a zabezpečiť tak odolnosť a </w:t>
      </w:r>
      <w:proofErr w:type="spellStart"/>
      <w:r w:rsidRPr="008A5F45">
        <w:rPr>
          <w:snapToGrid w:val="0"/>
          <w:lang w:eastAsia="en-US"/>
        </w:rPr>
        <w:t>inkluzívnosť</w:t>
      </w:r>
      <w:proofErr w:type="spellEnd"/>
      <w:r w:rsidRPr="008A5F45">
        <w:rPr>
          <w:snapToGrid w:val="0"/>
          <w:lang w:eastAsia="en-US"/>
        </w:rPr>
        <w:t xml:space="preserve"> prebiehajúcej a budúcej hospodárskej obnovy a rekonštrukcie Ukrajiny;</w:t>
      </w:r>
    </w:p>
    <w:p w14:paraId="20532FCC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21.</w:t>
      </w:r>
      <w:r w:rsidRPr="008A5F45">
        <w:rPr>
          <w:snapToGrid w:val="0"/>
          <w:lang w:eastAsia="en-US"/>
        </w:rPr>
        <w:tab/>
        <w:t>vyzýva politické sily na Ukrajine, aby zostali jednotné a naďalej sa riadili zmyslom pre pevnú politickú jednotu a súdržnosť, čo preukázateľne posilňuje odolnosť Ukrajiny voči pretrvávajúcej existenčnej hrozbe pre slobodu a nezávislosť tejto krajiny; vyzýva všetkých politických aktérov na Ukrajine, najmä tých, ktorí sú v súčasnosti pri moci, aby využili svoje právomoci počas vojny na podporu politickej jednoty a súdržnej a inkluzívnej tvorby politík;</w:t>
      </w:r>
    </w:p>
    <w:p w14:paraId="325D7163" w14:textId="77777777" w:rsidR="008A5F45" w:rsidRPr="008A5F45" w:rsidRDefault="008A5F45" w:rsidP="008A5F45">
      <w:pPr>
        <w:spacing w:after="240"/>
        <w:rPr>
          <w:snapToGrid w:val="0"/>
          <w:lang w:eastAsia="en-US"/>
        </w:rPr>
      </w:pPr>
      <w:r w:rsidRPr="008A5F45">
        <w:rPr>
          <w:b/>
          <w:i/>
          <w:snapToGrid w:val="0"/>
          <w:lang w:eastAsia="en-US"/>
        </w:rPr>
        <w:t>Záväzok v súvislosti s pristúpením k EÚ</w:t>
      </w:r>
    </w:p>
    <w:p w14:paraId="45D3B95B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22.</w:t>
      </w:r>
      <w:r w:rsidRPr="008A5F45">
        <w:rPr>
          <w:snapToGrid w:val="0"/>
          <w:lang w:eastAsia="en-US"/>
        </w:rPr>
        <w:tab/>
        <w:t xml:space="preserve">víta neochvejné odhodlanie Ukrajiny plniť požiadavky na členstvo v EÚ vrátane dodržiavania </w:t>
      </w:r>
      <w:proofErr w:type="spellStart"/>
      <w:r w:rsidRPr="008A5F45">
        <w:rPr>
          <w:i/>
          <w:iCs/>
          <w:snapToGrid w:val="0"/>
          <w:lang w:eastAsia="en-US"/>
        </w:rPr>
        <w:t>acquis</w:t>
      </w:r>
      <w:proofErr w:type="spellEnd"/>
      <w:r w:rsidRPr="008A5F45">
        <w:rPr>
          <w:snapToGrid w:val="0"/>
          <w:lang w:eastAsia="en-US"/>
        </w:rPr>
        <w:t xml:space="preserve"> EÚ, a to aj napriek brutálnej a neúprosnej útočnej vojne zo strany Ruska a jej nedávnej opätovnej eskalácii; naliehavo vyzýva Ukrajinu, aby zachovala svoje odhodlanie a tempo reforiem; zdôrazňuje silnú dynamiku pri vykonávaní reforiem na Ukrajine a víta rastúcu mieru zosúladenia Ukrajiny so spoločnou zahraničnou a bezpečnostnou politikou EÚ, ktorá v roku 2024 dosiahla 95 %; konštatuje, že požiadavky EÚ na reformu v rámci prístupového procesu podporuje viac ako 70 % Ukrajincov, čo zdôrazňuje význam pokračujúceho vplyvu EÚ, štruktúrovanej podmienenosti a komunikácie s verejnosťou počas tohto obdobia;</w:t>
      </w:r>
    </w:p>
    <w:p w14:paraId="667AC274" w14:textId="77777777" w:rsidR="008A5F45" w:rsidRPr="008A5F45" w:rsidRDefault="008A5F45" w:rsidP="008A5F45">
      <w:pPr>
        <w:spacing w:after="240"/>
        <w:rPr>
          <w:b/>
          <w:i/>
          <w:snapToGrid w:val="0"/>
          <w:lang w:eastAsia="en-US"/>
        </w:rPr>
      </w:pPr>
      <w:r w:rsidRPr="008A5F45">
        <w:rPr>
          <w:b/>
          <w:i/>
          <w:snapToGrid w:val="0"/>
          <w:lang w:eastAsia="en-US"/>
        </w:rPr>
        <w:t>Demokracia, právny štát a boj proti korupcii</w:t>
      </w:r>
    </w:p>
    <w:p w14:paraId="0E82D9A6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23.</w:t>
      </w:r>
      <w:r w:rsidRPr="008A5F45">
        <w:rPr>
          <w:snapToGrid w:val="0"/>
          <w:lang w:eastAsia="en-US"/>
        </w:rPr>
        <w:tab/>
        <w:t xml:space="preserve">schvaľuje mimoriadne úsilie Ukrajiny o posilnenie demokratických inštitúcií počas vojny; nabáda Ukrajinu a jej vládu, aby udržali tempo reforiem; pripomína, že podľa všeobecne uznávaných demokratických zásad a ukrajinskej ústavy sa voľby nemôžu konať v čase vojny a platnosti stanného práva; zdôrazňuje, že demokratické voľby si vyžadujú primeraný čas na prípravu a prístup k informáciám, aby spĺňali medzinárodné normy; vyzýva ukrajinské orgány, aby sa zdržali neskorých a politicky motivovaných súdnych konaní a sankcií proti predstaviteľom opozície a aby zachovali parlamentný pluralizmus a podporovali konštruktívny dialóg medzi politickými frakciami vo </w:t>
      </w:r>
      <w:proofErr w:type="spellStart"/>
      <w:r w:rsidRPr="008A5F45">
        <w:rPr>
          <w:snapToGrid w:val="0"/>
          <w:lang w:eastAsia="en-US"/>
        </w:rPr>
        <w:t>Verchovnej</w:t>
      </w:r>
      <w:proofErr w:type="spellEnd"/>
      <w:r w:rsidRPr="008A5F45">
        <w:rPr>
          <w:snapToGrid w:val="0"/>
          <w:lang w:eastAsia="en-US"/>
        </w:rPr>
        <w:t xml:space="preserve"> rade;</w:t>
      </w:r>
    </w:p>
    <w:p w14:paraId="4CE4724C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24.</w:t>
      </w:r>
      <w:r w:rsidRPr="008A5F45">
        <w:rPr>
          <w:snapToGrid w:val="0"/>
          <w:lang w:eastAsia="en-US"/>
        </w:rPr>
        <w:tab/>
        <w:t xml:space="preserve">opakuje odporúčanie, aby sa v súvislosti s pristúpením k EÚ zrušili všetky obmedzenia týkajúce sa zahraničných ciest súvisiacich s mandátom a politických ciest členov </w:t>
      </w:r>
      <w:proofErr w:type="spellStart"/>
      <w:r w:rsidRPr="008A5F45">
        <w:rPr>
          <w:snapToGrid w:val="0"/>
          <w:lang w:eastAsia="en-US"/>
        </w:rPr>
        <w:t>Verchovnej</w:t>
      </w:r>
      <w:proofErr w:type="spellEnd"/>
      <w:r w:rsidRPr="008A5F45">
        <w:rPr>
          <w:snapToGrid w:val="0"/>
          <w:lang w:eastAsia="en-US"/>
        </w:rPr>
        <w:t xml:space="preserve"> rady; zdôrazňuje význam rešpektovania a posilňovania inštitucionálnej úlohy </w:t>
      </w:r>
      <w:proofErr w:type="spellStart"/>
      <w:r w:rsidRPr="008A5F45">
        <w:rPr>
          <w:snapToGrid w:val="0"/>
          <w:lang w:eastAsia="en-US"/>
        </w:rPr>
        <w:t>Verchovnej</w:t>
      </w:r>
      <w:proofErr w:type="spellEnd"/>
      <w:r w:rsidRPr="008A5F45">
        <w:rPr>
          <w:snapToGrid w:val="0"/>
          <w:lang w:eastAsia="en-US"/>
        </w:rPr>
        <w:t xml:space="preserve"> rady a podporuje prebiehajúce reformné úsilie o posilnenie jej legislatívnej kapacity, dohľadu nad výkonnou mocou a zodpovednosti voči verejnosti;</w:t>
      </w:r>
    </w:p>
    <w:p w14:paraId="7301A1E7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25.</w:t>
      </w:r>
      <w:r w:rsidRPr="008A5F45">
        <w:rPr>
          <w:snapToGrid w:val="0"/>
          <w:lang w:eastAsia="en-US"/>
        </w:rPr>
        <w:tab/>
        <w:t xml:space="preserve">víta prijatie zákona o tvorbe práva, ktorý Komisia posúdila ako základný krok smerom k štruktúrovanejšiemu a účinnejšiemu legislatívnemu procesu na Ukrajine po </w:t>
      </w:r>
      <w:r w:rsidRPr="008A5F45">
        <w:rPr>
          <w:snapToGrid w:val="0"/>
          <w:lang w:eastAsia="en-US"/>
        </w:rPr>
        <w:lastRenderedPageBreak/>
        <w:t xml:space="preserve">prípadnom zrušení stanného práva, a úsilie ukrajinskej ústrednej volebnej komisie o aktualizáciu vnútroštátneho registra voličov; </w:t>
      </w:r>
    </w:p>
    <w:p w14:paraId="20AD0206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26.</w:t>
      </w:r>
      <w:r w:rsidRPr="008A5F45">
        <w:tab/>
        <w:t xml:space="preserve">víta skutočnosť, že Ukrajina v spolupráci s Komisiou vypracovala tri plány reforiem týkajúce sa právneho štátu, reformy verejnej správy a fungovania demokratických inštitúcií, ktorých súčasťou je boj proti korupcii; konštatuje, že tieto plány budú po schválení Komisiou slúžiť ako kritická referenčná hodnota na monitorovanie pokroku Ukrajiny v oblasti reforiem; víta začlenenie protikorupčného úsilia ako neoddeliteľnej súčasti všetkých troch plánov; zdôrazňuje význam zakotvenia reforiem v rámci širšej spoločenskej a politickej transformácie, ak sa má zabezpečiť ich dlhodobá trvalosť, účinné vykonávanie a nezávislé fungovanie verejných inštitúcií; zdôrazňuje, že je dôležité podporovať konštruktívnu politickú kultúru a podporovať spoluprácu medzi politickými stranami na Ukrajine založenú na dôvere; pozitívne hodnotí aktívnu účasť ukrajinských poslancov na dialógu Jeana </w:t>
      </w:r>
      <w:proofErr w:type="spellStart"/>
      <w:r w:rsidRPr="008A5F45">
        <w:t>Monneta</w:t>
      </w:r>
      <w:proofErr w:type="spellEnd"/>
      <w:r w:rsidRPr="008A5F45">
        <w:t xml:space="preserve"> a nabáda na uplatňovanie najlepších európskych postupov na podporu spolupráce medzi stranami vzhľadom na spoločné výzvy na ceste k členstvu v EÚ;</w:t>
      </w:r>
    </w:p>
    <w:p w14:paraId="28335142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27.</w:t>
      </w:r>
      <w:r w:rsidRPr="008A5F45">
        <w:rPr>
          <w:snapToGrid w:val="0"/>
          <w:lang w:eastAsia="en-US"/>
        </w:rPr>
        <w:tab/>
        <w:t>víta pokrok v reforme súdnictva počas vykazovaného obdobia a nabáda Ukrajinu, aby ďalej zvyšovala transparentnosť svojich legislatívnych procesov a vyhradila na ňu zvýšené finančné, ľudské a technické zdroje na riešenie výziev, ktoré bránia rozvoju súdnictva, na zvyšovanie nezávislosti súdnictva a posilnenie boja proti korupcii, čím sa zabezpečí súlad s normami EÚ a zároveň sa zabráni povrchným opatreniam, ktoré by mohli brániť pristúpeniu k EÚ;</w:t>
      </w:r>
    </w:p>
    <w:p w14:paraId="53C129D7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28.</w:t>
      </w:r>
      <w:r w:rsidRPr="008A5F45">
        <w:tab/>
        <w:t xml:space="preserve">konštatuje, že napriek zlepšenému legislatívnemu rámcu zostáva súdnictvo jedným z odvetví, ktoré je vo väčšej miere vystavené korupcii a politickému zasahovaniu, o čom svedčia opakované prípady rozsiahlej korupcie a neprimeraného vplyvu na činnosť súdov a súdnych inštitúcií vrátane Ústavného súdu Ukrajiny (ÚSU) a Vysokej komisie pre kvalifikáciu sudcov (VKKS); so znepokojením berie na vedomie pokračujúcu paralýzu ÚSU a naliehavo vyzýva na urýchlené vymenovanie zostávajúcich sudcov a obsadenie voľných miest v Najvyššej súdnej rade; ďalej vyzýva </w:t>
      </w:r>
      <w:proofErr w:type="spellStart"/>
      <w:r w:rsidRPr="008A5F45">
        <w:t>Verchovnú</w:t>
      </w:r>
      <w:proofErr w:type="spellEnd"/>
      <w:r w:rsidRPr="008A5F45">
        <w:t xml:space="preserve"> radu, aby prijala zákon o Ústavnom súde v súlade so stanoviskami Benátskej komisie, a okrem toho vyzýva Ukrajinu, aby prijala akčný plán a vnútorné reformy s cieľom zabrániť neprimeranému zasahovaniu a posilniť súdnu etiku; zdôrazňuje osobitný význam zachovania inštitucionálnej nezávislosti VKKS aj vzhľadom na záväzky prijaté v rámci medzinárodných dohôd, a to aj s Medzinárodným menovým fondom; zdôrazňuje, že je potrebné zintenzívniť boj proti korupcii a osobným záujmom v súdnictve, čo je nevyhnutné na budovanie dôvery verejnosti a pokrok v prístupovom procese Ukrajiny; zdôrazňuje význam transparentných výberových postupov pre orgány správy súdnictva a riadiace pozície na základe zásluh vrátane zapojenia nezávislých národných a medzinárodných expertov; zdôrazňuje potrebu odpolitizovaného menovania sudcov, záruk funkčnej integrity, transparentnosti, integrity, zodpovednosti a posilneného medzinárodného monitorovania s cieľom zabrániť selektívnemu výkonu spravodlivosti a posilniť dôveru verejnosti v súdnictvo;</w:t>
      </w:r>
    </w:p>
    <w:p w14:paraId="346F0748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29.</w:t>
      </w:r>
      <w:r w:rsidRPr="008A5F45">
        <w:tab/>
        <w:t xml:space="preserve">so znepokojením berie na vedomie kritický nedostatok sudcov, nadmernú pracovnú záťaž na väčšine súdov, značné nedostatky vo financovaní a nerovnomerné rozdeľovanie práce sudcov, čo narúša kvalitu a včasnosť súdnych konaní a bráni prístupu občanov k spravodlivosti; zdôrazňuje, že tieto otázky treba riešiť aj využívaním mechanizmov mediácie a procesného filtrovania, aby sa znížil tlak na súdnictvo; konštatuje, že organizácia </w:t>
      </w:r>
      <w:proofErr w:type="spellStart"/>
      <w:r w:rsidRPr="008A5F45">
        <w:t>Transparency</w:t>
      </w:r>
      <w:proofErr w:type="spellEnd"/>
      <w:r w:rsidRPr="008A5F45">
        <w:t xml:space="preserve"> International zaradila Ukrajinu vo svojom </w:t>
      </w:r>
      <w:r w:rsidRPr="008A5F45">
        <w:lastRenderedPageBreak/>
        <w:t>indexe vnímania korupcie za rok 2024 na 105. miesto zo 180 krajín, pričom dosiahla 35 zo 100 bodov, čo zdôrazňuje rozsah pretrvávajúcich výziev v oblasti riadenia boja proti korupcie, zdôrazňuje, že zlepšenie justičného vzdelávania a dokončenie digitalizácie ukrajinských súdov sú kľúčové pre širšiu justičnú reformu na Ukrajine;</w:t>
      </w:r>
    </w:p>
    <w:p w14:paraId="22771765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30.</w:t>
      </w:r>
      <w:r w:rsidRPr="008A5F45">
        <w:rPr>
          <w:snapToGrid w:val="0"/>
          <w:lang w:eastAsia="en-US"/>
        </w:rPr>
        <w:tab/>
        <w:t>víta vymenovanie nového riaditeľa Národnej agentúry pre prevenciu korupcie (NAPK) a začatie nezávislého auditu, ktorým sa má posúdiť účinnosť Národného protikorupčného úradu Ukrajiny (NPÚU) pri vyšetrovaní korupcie; víta nadobudnutie účinnosti zmeneného trestného zákona a trestného poriadku, pričom očakáva, že zvýšia účinnosť boja proti korupcii najmú zlepšením právneho rámca dohody o vine a treste; uznáva nárast ročného počtu rozsudkov vynesených Najvyšším protikorupčným súdom (NPS) spolu s každoročným nárastom počtu obžalôb, ktoré predkladá NPÚU a Špecializovaná protikorupčná prokuratúra (ŠPP), čo svedčí o stabilnom pokroku v činnosti prokuratúry; víta obnovenie postupov podávania majetkových priznaní a prístupu verejnosti, posilnenie právnych predpisov týkajúcich sa konfliktu záujmov a zlepšenie nezávislosti inštitucionálnu nezávislosť Špecializovanej protikorupčnej prokuratúry; oceňuje prijatie akčného plánu na vykonávanie stratégie vymáhania majetku na roky 2024 – 2025 a súvisiacich opatrení; vyzýva na naliehavú reformu Agentúry pre vymáhanie a správu majetku a podporuje urýchlené prijatie návrhu zákona č. 12374-d s cieľom zlepšiť jej fungovanie; víta rozšírenie počtu zamestnancov v rámci špecializovanej prokuratúry pre životné prostredie na Úrade generálneho prokurátora a naliehavo vyzýva na pokračovanie v rozvoji protikorupčných politík v oblasti správy prírodných zdrojov;</w:t>
      </w:r>
    </w:p>
    <w:p w14:paraId="4DC9470C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31.</w:t>
      </w:r>
      <w:r w:rsidRPr="008A5F45">
        <w:tab/>
        <w:t>berie na vedomie pretrvávajúci nedostatok sudcov NPS a zdôrazňuje, že je naliehavo potrebné začať nové transparentné výberové konanie na obsadenie voľných pracovných miest, čím sa zabezpečí, aby mal súd dostatok zamestnancov a priestorov na účinné fungovanie; zdôrazňuje, že je potrebné bezodkladne obsadiť voľné miesto generálneho prokurátora, a zdôrazňuje, že je dôležité posilniť inštitucionálnu nezávislosť úradu a zároveň zabezpečiť riadne kontroly jeho právomocí;</w:t>
      </w:r>
    </w:p>
    <w:p w14:paraId="3DB76A88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32.</w:t>
      </w:r>
      <w:r w:rsidRPr="008A5F45">
        <w:rPr>
          <w:snapToGrid w:val="0"/>
          <w:lang w:eastAsia="en-US"/>
        </w:rPr>
        <w:tab/>
        <w:t>nabáda Ukrajinu, aby zabezpečila nezávislosť a účinnosť protikorupčných inštitúcií vrátane ŠPP a NPÚU zabezpečením transparentných postupov vymenúvania, ochranou týchto orgánov pred politickým zasahovaním a posilnením ich inštitucionálnej autonómie; zdôrazňuje, že je dôležité poskytnúť ŠPP väčšiu nezávislosť od generálnej prokuratúry a vybaviť NPÚU prostriedkami na včasný prístup k forenzným odborným znalostiam a autonómnou spôsobilosťou odpočúvania, aby mohla vykonávať účinné vyšetrovania; vyjadruje Ukrajine uznanie za zvýšenie počtu zamestnancov ŠPP a zdôrazňuje potrebu zosúladiť tento rast s primeranými finančnými a technickými zdrojmi na zabezpečenie operačnej kapacity; nabáda Ukrajinu, aby zvážila štrukturálnu reformu Štátneho vyšetrovacieho úradu s cieľom posilniť jeho nezávislosť a účinnosť, aby sa zabránilo jeho zneužitiu v kontexte povojnového politického vývoja na Ukrajine, najmä v súvislosti s volebnými kampaňami;</w:t>
      </w:r>
    </w:p>
    <w:p w14:paraId="407EAEB6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33.</w:t>
      </w:r>
      <w:r w:rsidRPr="008A5F45">
        <w:rPr>
          <w:snapToGrid w:val="0"/>
          <w:lang w:eastAsia="en-US"/>
        </w:rPr>
        <w:tab/>
        <w:t xml:space="preserve">vyjadruje znepokojenie nad neúspešným pokusom ukrajinských orgánov oslabiť nezávislosť protikorupčných inštitúcií; víta silnú opozíciu občianskej spoločnosti voči týmto neprijateľným pokusom, ktoré prinútili orgány ustúpiť; považuje tento krok orgánov za nebezpečný pokus o oslabenie výsledkov skutočného boja proti korupcii; zdôrazňuje, že tento krok by v prípade úspechu len pomohol nepriateľom Ukrajiny; zdôrazňuje, že by to malo slúžiť ako dôrazné upozornenie pre všetkých na Ukrajine, ktorí sa kvôli krátkozrakým záujmom nestránia ohroziť budúcnosť krajiny; opakuje, že </w:t>
      </w:r>
      <w:r w:rsidRPr="008A5F45">
        <w:rPr>
          <w:snapToGrid w:val="0"/>
          <w:lang w:eastAsia="en-US"/>
        </w:rPr>
        <w:lastRenderedPageBreak/>
        <w:t>boj proti korupcii si vyžaduje dlhodobý záväzok a komplexné úsilie o vytvorenie dobrej správy vecí verejných s dobre fungujúcim systémom bŕzd a protiváh; podporuje stanovisko Komisie, že tieto inštitúcie majú zásadný význam pre reformný program Ukrajiny a musia fungovať nezávisle, aby bojovali proti korupcii a udržali dôveru verejnosti;</w:t>
      </w:r>
    </w:p>
    <w:p w14:paraId="570144A6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34.</w:t>
      </w:r>
      <w:r w:rsidRPr="008A5F45">
        <w:rPr>
          <w:snapToGrid w:val="0"/>
          <w:lang w:eastAsia="en-US"/>
        </w:rPr>
        <w:tab/>
        <w:t>víta prijatie zákona o </w:t>
      </w:r>
      <w:proofErr w:type="spellStart"/>
      <w:r w:rsidRPr="008A5F45">
        <w:rPr>
          <w:snapToGrid w:val="0"/>
          <w:lang w:eastAsia="en-US"/>
        </w:rPr>
        <w:t>lobingu</w:t>
      </w:r>
      <w:proofErr w:type="spellEnd"/>
      <w:r w:rsidRPr="008A5F45">
        <w:rPr>
          <w:snapToGrid w:val="0"/>
          <w:lang w:eastAsia="en-US"/>
        </w:rPr>
        <w:t xml:space="preserve"> ako súčasť programu Ukrajiny na </w:t>
      </w:r>
      <w:proofErr w:type="spellStart"/>
      <w:r w:rsidRPr="008A5F45">
        <w:rPr>
          <w:snapToGrid w:val="0"/>
          <w:lang w:eastAsia="en-US"/>
        </w:rPr>
        <w:t>deoligarchizáciu</w:t>
      </w:r>
      <w:proofErr w:type="spellEnd"/>
      <w:r w:rsidRPr="008A5F45">
        <w:rPr>
          <w:snapToGrid w:val="0"/>
          <w:lang w:eastAsia="en-US"/>
        </w:rPr>
        <w:t>; zdôrazňuje, že je potrebné vypracovať novú a komplexnú stratégiu proti vplyvu oligarchie so zapojením národných a medzinárodných odborníkov a organizácií občianskej spoločnosti; nabáda ukrajinské orgány, aby pokračovali v práci na reforme správy štátom vlastnených podnikov v súlade s usmerneniami OECD s cieľom minimalizovať možnosť protekcie a predchádzať korupcii, a to aj zverejňovaním všetkých údajov o skutočných vlastníkoch štátom vlastnených podnikov a zabezpečením toho, aby všetky významné štátom vlastnené podniky mali nezávislé a rodovo vyvážené predstavenstvá;</w:t>
      </w:r>
    </w:p>
    <w:p w14:paraId="66B3678C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 xml:space="preserve">35. </w:t>
      </w:r>
      <w:r w:rsidRPr="008A5F45">
        <w:rPr>
          <w:snapToGrid w:val="0"/>
          <w:lang w:eastAsia="en-US"/>
        </w:rPr>
        <w:tab/>
        <w:t>zdôrazňuje význam ďalšej reformy finančnej kontroly vrátane zlepšenia monitorovania zo strany štátnej audítorskej služby a dôsledného vykonania reformy účtovnej komory s cieľom zabezpečiť štátne výdavky;</w:t>
      </w:r>
    </w:p>
    <w:p w14:paraId="0B985E7F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36.</w:t>
      </w:r>
      <w:r w:rsidRPr="008A5F45">
        <w:rPr>
          <w:snapToGrid w:val="0"/>
          <w:lang w:eastAsia="en-US"/>
        </w:rPr>
        <w:tab/>
        <w:t>berie na vedomie zistenia uvedené v dodatku k druhej správe o plnení záväzkov, ktorý prijala Skupina štátov proti korupcii Rady Európy 22. novembra 2024, podľa ktorých Ukrajina uspokojivo vykonala alebo uspokojivo vyriešila 18 z 31 odporúčaní uvedených v tejto správe; nabáda Ukrajinu, aby v plnej miere vykonala zostávajúce odporúčania, a najmä aby zaviedla systém náhodného prideľovania prípadov prokurátorom, presnejšie vymedzila disciplinárne previnenia a zároveň rozšírila rozsah dostupných disciplinárnych sankcií s cieľom zabezpečiť proporcionalitu a účinnosť, pričom je potrebné zohľadniť osobitné podmienky Ukrajiny;</w:t>
      </w:r>
    </w:p>
    <w:p w14:paraId="6F6DF28B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37.</w:t>
      </w:r>
      <w:r w:rsidRPr="008A5F45">
        <w:rPr>
          <w:snapToGrid w:val="0"/>
          <w:lang w:eastAsia="en-US"/>
        </w:rPr>
        <w:tab/>
        <w:t xml:space="preserve">naliehavo vyzýva Ukrajinu, aby uprednostnila posilnenie právneho štátu, reformu súdnictva a boj proti korupcii, a vyzýva EÚ a členské štáty, aby zintenzívnili podporu tohto úsilia, keďže pokrok v týchto oblastiach je rozhodujúci nielen pre členstvo v EÚ, ale aj pre úspešnú obnovu a hospodársku dôveru; odporúča prijatie spoľahlivého zákona o ochrane oznamovateľov v súlade s </w:t>
      </w:r>
      <w:proofErr w:type="spellStart"/>
      <w:r w:rsidRPr="008A5F45">
        <w:rPr>
          <w:i/>
          <w:iCs/>
          <w:snapToGrid w:val="0"/>
          <w:lang w:eastAsia="en-US"/>
        </w:rPr>
        <w:t>acquis</w:t>
      </w:r>
      <w:proofErr w:type="spellEnd"/>
      <w:r w:rsidRPr="008A5F45">
        <w:rPr>
          <w:snapToGrid w:val="0"/>
          <w:lang w:eastAsia="en-US"/>
        </w:rPr>
        <w:t xml:space="preserve"> EÚ; konštatuje, že platnosť súčasného protikorupčného politického rámca Ukrajiny uplynie v roku 2025, a zdôrazňuje potrebu obnoveného štátneho protikorupčného programu, v ktorom sa zohľadnia príspevky občianskej spoločnosti a stanovia ambiciózne ciele, merateľné kritériá a jasné harmonogramy;</w:t>
      </w:r>
    </w:p>
    <w:p w14:paraId="67FEB87A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38.</w:t>
      </w:r>
      <w:r w:rsidRPr="008A5F45">
        <w:rPr>
          <w:snapToGrid w:val="0"/>
          <w:lang w:eastAsia="en-US"/>
        </w:rPr>
        <w:tab/>
        <w:t>vyzýva Komisiu, aby zaradila Ukrajinu do súboru nástrojov EÚ na podporu právneho štátu s cieľom posilniť vykonávanie demokratických reforiem pred pristúpením; podporuje posilnenie kapacít orgánov presadzovania práva v oblasti finančného vyšetrovania vypracovaním metodických usmernení a objasnením úloh a to aj na zlepšenie reakcií na organizovaný zločin, napr. na využívanie tzv. bielych koní;</w:t>
      </w:r>
    </w:p>
    <w:p w14:paraId="31F8156F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39.</w:t>
      </w:r>
      <w:r w:rsidRPr="008A5F45">
        <w:tab/>
        <w:t xml:space="preserve">konštatuje, že útočná vojna Ruska vyvíja obrovský tlak na ukrajinský súdny systém, a to aj v dôsledku veľkého počtu prípadov kolaborácie; v tejto súvislosti vyzýva na starostlivé uplatňovanie právnych predpisov o kolaborácii, ochrane základných práv a spravodlivosti v súdnictve a nabáda na jednotný prístup prokuratúry založený na právnej jasnosti a faktickej prísnosti, ktorý je kľúčový pre opätovné začlenenie oslobodených území; v tejto súvislosti nabáda ukrajinské orgány, aby v súlade so </w:t>
      </w:r>
      <w:r w:rsidRPr="008A5F45">
        <w:lastRenderedPageBreak/>
        <w:t>štvrtým Ženevským dohovorom uprednostňovali trestné stíhania na základe ich závažnosti a významu pre bezpečnosť štátu; vyzýva na zlepšenie transparentnosti a prístupu verejnosti k údajom o takýchto trestných stíhaniach;</w:t>
      </w:r>
    </w:p>
    <w:p w14:paraId="155B197F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40.</w:t>
      </w:r>
      <w:r w:rsidRPr="008A5F45">
        <w:tab/>
        <w:t xml:space="preserve">naliehavo vyzýva Ukrajinu, aby regulovala virtuálne aktíva prijatím komplexných právnych predpisov, určením orgánu dohľadu, vykonaním posúdenia rizík a podporou odhaľovania finančnej trestnej činnosti týkajúcej sa virtuálnych aktív; v tejto súvislosti víta nedávne prijatie návrhu zákona č. 11290 </w:t>
      </w:r>
      <w:proofErr w:type="spellStart"/>
      <w:r w:rsidRPr="008A5F45">
        <w:t>Verchovnou</w:t>
      </w:r>
      <w:proofErr w:type="spellEnd"/>
      <w:r w:rsidRPr="008A5F45">
        <w:t xml:space="preserve"> radou, pričom naliehavo vyzýva na prijatie návrhu zákona č. 12207, ktorým sa okrem iného zavádzajú európske systémy certifikácie kybernetickej bezpečnosti a ktorého cieľom je zosúladiť ukrajinské právne predpisy s normami EÚ; </w:t>
      </w:r>
    </w:p>
    <w:p w14:paraId="62EDCC44" w14:textId="77777777" w:rsidR="008A5F45" w:rsidRPr="008A5F45" w:rsidRDefault="008A5F45" w:rsidP="008A5F45">
      <w:pPr>
        <w:spacing w:after="240"/>
        <w:rPr>
          <w:snapToGrid w:val="0"/>
          <w:lang w:eastAsia="en-US"/>
        </w:rPr>
      </w:pPr>
      <w:r w:rsidRPr="008A5F45">
        <w:rPr>
          <w:b/>
          <w:i/>
          <w:snapToGrid w:val="0"/>
          <w:lang w:eastAsia="en-US"/>
        </w:rPr>
        <w:t>Základné slobody a ľudské práva</w:t>
      </w:r>
    </w:p>
    <w:p w14:paraId="57C23035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41.</w:t>
      </w:r>
      <w:r w:rsidRPr="008A5F45">
        <w:rPr>
          <w:snapToGrid w:val="0"/>
          <w:lang w:eastAsia="en-US"/>
        </w:rPr>
        <w:tab/>
        <w:t xml:space="preserve">oceňuje záväzok Ukrajiny dodržiavať základné práva v kontexte a napriek prebiehajúcej ruskej útočnej vojne; zdôrazňuje zásadnú úlohu občianskej spoločnosti v reforme a procese pristúpenia do EÚ; zdôrazňuje potrebu zachovať bezpečné, podporné a </w:t>
      </w:r>
      <w:proofErr w:type="spellStart"/>
      <w:r w:rsidRPr="008A5F45">
        <w:rPr>
          <w:snapToGrid w:val="0"/>
          <w:lang w:eastAsia="en-US"/>
        </w:rPr>
        <w:t>participatívne</w:t>
      </w:r>
      <w:proofErr w:type="spellEnd"/>
      <w:r w:rsidRPr="008A5F45">
        <w:rPr>
          <w:snapToGrid w:val="0"/>
          <w:lang w:eastAsia="en-US"/>
        </w:rPr>
        <w:t xml:space="preserve"> prostredie pre organizácie občianskej spoločnosti vrátane obhajcov ľudských práv a aktivistov; požaduje naliehavú aktualizáciu národnej stratégie v oblasti ľudských práv a komplexný plán vykonávania; nabáda na zmysluplný občiansky dialóg vo všetkých oblastiach verejného a politického života a naliehavo vyzýva na pokračujúcu politickú jednotu okolo európskej cesty Ukrajiny; nabáda na zosúladenie právnych predpisov vymedzujúcich mandát ukrajinského ombudsmana s </w:t>
      </w:r>
      <w:proofErr w:type="spellStart"/>
      <w:r w:rsidRPr="008A5F45">
        <w:rPr>
          <w:i/>
          <w:iCs/>
          <w:snapToGrid w:val="0"/>
          <w:lang w:eastAsia="en-US"/>
        </w:rPr>
        <w:t>acquis</w:t>
      </w:r>
      <w:proofErr w:type="spellEnd"/>
      <w:r w:rsidRPr="008A5F45">
        <w:rPr>
          <w:snapToGrid w:val="0"/>
          <w:lang w:eastAsia="en-US"/>
        </w:rPr>
        <w:t xml:space="preserve"> EÚ;</w:t>
      </w:r>
    </w:p>
    <w:p w14:paraId="4FC0437C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42.</w:t>
      </w:r>
      <w:r w:rsidRPr="008A5F45">
        <w:rPr>
          <w:snapToGrid w:val="0"/>
          <w:lang w:eastAsia="en-US"/>
        </w:rPr>
        <w:tab/>
        <w:t>uznáva výzvy spojené so zachovaním pluralitných médií v podmienkach vojny vrátane kolapsu trhu, bezpečnostných obmedzení a nedostatku ľudských zdrojov; domnieva sa, že dynamický informačný priestor a sloboda médií v Ukrajine predstavujú jednu z kľúčových silných stránok tejto krajiny v boji proti ruskej invázii a ruskej propagande; vyzýva na obnovenie úplného celoštátneho vysielania pre poskytovateľov médií ako súčasť politiky, pričom dôrazne odmieta ďalšie skĺznutie k politickej cenzúre pri uplatňovaní prípadných obmedzení v čase vojny;</w:t>
      </w:r>
    </w:p>
    <w:p w14:paraId="1DE9CAE9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43.</w:t>
      </w:r>
      <w:r w:rsidRPr="008A5F45">
        <w:rPr>
          <w:snapToGrid w:val="0"/>
          <w:lang w:eastAsia="en-US"/>
        </w:rPr>
        <w:tab/>
        <w:t>oceňuje odvážnu prácu ukrajinských obhajcov ľudských práv a novinárov, ktorí dokumentujú porušovanie ľudských práv v dočasne okupovaných regiónoch; uznáva strategickú pozíciu Ukrajiny na čele informačnej vojny a víta jej zapojenie do európskych iniciatív, ako je štít na obranu demokracie a spoločné bezpečnostné záväzky na boj proti zahraničnej manipulácii s informáciami a zasahovaniu zo zahraničia; uznáva, že Ukrajina je kľúčovým partnerom EÚ v boji proti zahraničnej manipulácii s informáciami a zasahovaniu zo zahraničia, a naliehavo vyzýva EÚ a jej členské štáty, aby zintenzívnili boj proti ruským dezinformáciám a hybridným hrozbám; vyzýva na podporu digitálnej gramotnosti, presadzovanie aktu o digitálnych službách na platformách sociálnych médií a posilnenie vlastnej strategickej komunikácie EÚ s cieľom bojovať proti zasahovaniu Ruska a jasne informovať verejnosť o významnej podpore EÚ Ukrajine;</w:t>
      </w:r>
    </w:p>
    <w:p w14:paraId="2D19FE79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44.</w:t>
      </w:r>
      <w:r w:rsidRPr="008A5F45">
        <w:rPr>
          <w:snapToGrid w:val="0"/>
          <w:lang w:eastAsia="en-US"/>
        </w:rPr>
        <w:tab/>
        <w:t xml:space="preserve">víta legislatívne iniciatívy na podporu rovnosti LGBTQI+ osôb a iných marginalizovaných skupín, najmä návrhy zákonov 5488 (trestné činy z nenávisti), 12252 (občianske partnerstvá) a 9103 (registrované partnerstvá); naliehavo vyzýva na urýchlené prijatie týchto zákonov s cieľom zabezpečiť súlad s normami Európskeho súdu pre ľudské práva; vyzýva na prijatie nového antidiskriminačného zákona, ktorý by </w:t>
      </w:r>
      <w:r w:rsidRPr="008A5F45">
        <w:rPr>
          <w:snapToGrid w:val="0"/>
          <w:lang w:eastAsia="en-US"/>
        </w:rPr>
        <w:lastRenderedPageBreak/>
        <w:t>sa vzťahoval na sexuálnu orientáciu, rodovú identitu a zdravotné postihnutie, a na ďalšie posilnenie ukrajinského antidiskriminačného právneho rámca;</w:t>
      </w:r>
    </w:p>
    <w:p w14:paraId="594439C7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45.</w:t>
      </w:r>
      <w:r w:rsidRPr="008A5F45">
        <w:rPr>
          <w:snapToGrid w:val="0"/>
          <w:lang w:eastAsia="en-US"/>
        </w:rPr>
        <w:tab/>
        <w:t>víta zmeny zákona o národnostných menšinách z júla 2024, ktorými sa zavádzajú dvojjazyčné vzdelávacie osnovy, a nabáda na urýchlené vykonávanie týchto reforiem prostredníctvom primeraného financovania a odbornej prípravy učiteľov; víta vytvorenie Rady národnostných menšín a prijatie akčného plánu na ochranu práv národnostných menšín do roku 2027, ktorých cieľom je harmonizovať ukrajinské právne predpisy s európskymi normami; vyzýva na štruktúrovaný a vecný dialóg s menšinovými komunitami a na úplné vykonávanie odporúčaní Benátskej komisie;</w:t>
      </w:r>
    </w:p>
    <w:p w14:paraId="29696E9F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46.</w:t>
      </w:r>
      <w:r w:rsidRPr="008A5F45">
        <w:rPr>
          <w:snapToGrid w:val="0"/>
          <w:lang w:eastAsia="en-US"/>
        </w:rPr>
        <w:tab/>
        <w:t>vyjadruje Ukrajine uznanie za jej schopnosť zabezpečovať kontinuitu a reformu vzdelávania, najmä prostredníctvom digitálnych nástrojov, programov podporovaných EÚ a rozvoja odolnej verejnej infraštruktúry; vyzýva Komisiu, aby rozšírila podporu ukrajinských študentov a inštitúcií v rámci programov Erasmus+, Horizont Európa a EU4Youth;</w:t>
      </w:r>
    </w:p>
    <w:p w14:paraId="4CC58FBF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47.</w:t>
      </w:r>
      <w:r w:rsidRPr="008A5F45">
        <w:tab/>
        <w:t>víta ratifikáciu Istanbulského dohovoru Ukrajinou a zriadenie centier na podporu pozostalých; nabáda Ukrajinu, aby poskytovala trvalé financovanie na prevenciu rodovo motivovaného násilia a podporu obetí, najmä vzhľadom na zvýšené riziká počas vojny; nabáda Ukrajinu, aby zlepšila zákon o zásadách prevencie a boja proti diskriminácii na Ukrajine a trestný zákon Ukrajiny o zločinoch z nenávisti v súlade s medzinárodnými normami a aby zaviedla potrebné legislatívne zmeny na vykonávanie Istanbulského dohovoru;</w:t>
      </w:r>
    </w:p>
    <w:p w14:paraId="52285EE3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48.</w:t>
      </w:r>
      <w:r w:rsidRPr="008A5F45">
        <w:rPr>
          <w:snapToGrid w:val="0"/>
          <w:lang w:eastAsia="en-US"/>
        </w:rPr>
        <w:tab/>
        <w:t>uznáva zvýšené riziko obchodovania s ľuďmi, najmä so ženami a deťmi, počas konfliktu a v období po skončení konfliktu; vyzýva ukrajinské orgány, aby s podporou EÚ posilnili mechanizmy odhaľovania a spolupracovali s občianskou spoločnosťou s cieľom zabezpečiť ochranu a rehabilitáciu obetí v súlade so smernicou EÚ o boji proti obchodovaniu s ľuďmi</w:t>
      </w:r>
      <w:r w:rsidRPr="008A5F45">
        <w:rPr>
          <w:snapToGrid w:val="0"/>
          <w:vertAlign w:val="superscript"/>
          <w:lang w:eastAsia="en-US"/>
        </w:rPr>
        <w:footnoteReference w:id="3"/>
      </w:r>
      <w:r w:rsidRPr="008A5F45">
        <w:rPr>
          <w:snapToGrid w:val="0"/>
          <w:lang w:eastAsia="en-US"/>
        </w:rPr>
        <w:t>;</w:t>
      </w:r>
    </w:p>
    <w:p w14:paraId="71CD15C2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49.</w:t>
      </w:r>
      <w:r w:rsidRPr="008A5F45">
        <w:rPr>
          <w:snapToGrid w:val="0"/>
          <w:lang w:eastAsia="en-US"/>
        </w:rPr>
        <w:tab/>
        <w:t>podporuje zvýšenú pomoc EÚ Ukrajine v oblasti telesnej rehabilitácie a protetickej starostlivosti, najmä pre zranených vojakov, obete mín a osoby po amputácii; zdôrazňuje význam rozvoja národného systému v oblasti protetiky a rehabilitácie s podporou EÚ a členských štátov; podporuje partnerstvá s európskymi zdravotníckymi zariadeniami s cieľom posilniť kapacity, odbornú prípravu a prístup k modernému vybaveniu;</w:t>
      </w:r>
    </w:p>
    <w:p w14:paraId="63C8B7DF" w14:textId="77777777" w:rsidR="008A5F45" w:rsidRPr="008A5F45" w:rsidRDefault="008A5F45" w:rsidP="008A5F45">
      <w:pPr>
        <w:spacing w:after="240"/>
        <w:ind w:left="567" w:hanging="567"/>
      </w:pPr>
      <w:r w:rsidRPr="008A5F45">
        <w:t>50.</w:t>
      </w:r>
      <w:r w:rsidRPr="008A5F45">
        <w:tab/>
        <w:t xml:space="preserve">berie na vedomie prijatie zákona, ktorý umožní pravoslávnym farnostiam z Ukrajiny vystúpiť z jurisdikcie Moskovského patriarchátu a slobodne sa rozhodnúť o svojej novej hierarchickej príslušnosti; odsudzuje nezákonné privlastňovanie a odstraňovanie predmetov kultúrneho dedičstva z dočasne okupovaných ukrajinských území ruskými silami; naliehavo vyzýva na rešpektovanie náboženského a kultúrneho dedičstva v dočasne okupovaných oblastiach vrátane 485 už zničených miest, miest uctievania a posvätných miest; zdôrazňuje zodpovednosť všetkých strán za ochranu kultúrneho </w:t>
      </w:r>
      <w:r w:rsidRPr="008A5F45">
        <w:lastRenderedPageBreak/>
        <w:t>dedičstva v súlade s medzinárodnými dohovormi;</w:t>
      </w:r>
    </w:p>
    <w:p w14:paraId="2642E4B8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51.</w:t>
      </w:r>
      <w:r w:rsidRPr="008A5F45">
        <w:tab/>
        <w:t>Vyzýva Ukrajinu, aby pokračovala v aproximácii pracovnoprávnych noriem, najmä pokiaľ ide o slobodu zhromažďovania a sociálny dialóg, a povzbudzuje Ukrajinu, aby pokračovala v zosúlaďovaní svojich vnútroštátnych právnych predpisov v oblasti pracovného a sociálneho práva s normami EÚ, najmä v oblasti zamestnanosti, sociálnej politiky a rovnosti príležitostí; vyzýva Komisiu, aby poskytla dodatočnú podporu na dosiahnutie tohto pokroku; zdôrazňuje potrebu rozsiahlych konzultácií s odborovými zväzmi a občianskou spoločnosťou a odporúča v tejto súvislosti vziať do úvahy odborné znalosti Medzinárodnej organizácie práce;</w:t>
      </w:r>
    </w:p>
    <w:p w14:paraId="6F4D203C" w14:textId="77777777" w:rsidR="008A5F45" w:rsidRPr="008A5F45" w:rsidRDefault="008A5F45" w:rsidP="008A5F45">
      <w:pPr>
        <w:spacing w:after="240"/>
        <w:rPr>
          <w:snapToGrid w:val="0"/>
          <w:lang w:eastAsia="en-US"/>
        </w:rPr>
      </w:pPr>
      <w:r w:rsidRPr="008A5F45">
        <w:rPr>
          <w:b/>
          <w:i/>
          <w:snapToGrid w:val="0"/>
          <w:lang w:eastAsia="en-US"/>
        </w:rPr>
        <w:t>Regionálna spolupráca a dobré susedské vzťahy</w:t>
      </w:r>
    </w:p>
    <w:p w14:paraId="7CDAA33E" w14:textId="77777777" w:rsidR="008A5F45" w:rsidRPr="008A5F45" w:rsidRDefault="008A5F45" w:rsidP="008A5F45">
      <w:pPr>
        <w:spacing w:after="240"/>
        <w:ind w:left="567" w:hanging="567"/>
      </w:pPr>
      <w:r w:rsidRPr="008A5F45">
        <w:t>52.</w:t>
      </w:r>
      <w:r w:rsidRPr="008A5F45">
        <w:tab/>
        <w:t>víta aktívnu účasť Ukrajiny na regionálnych iniciatívach, ako je jej vedúce postavenie vo fóre občianskej spoločnosti Východného partnerstva a koordinácia cezhraničných projektov s členskými štátmi EÚ;</w:t>
      </w:r>
    </w:p>
    <w:p w14:paraId="6AB56EB1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53.</w:t>
      </w:r>
      <w:r w:rsidRPr="008A5F45">
        <w:tab/>
        <w:t>víta nedávne spoločné oznámenie Komisie a vysokej predstaviteľky Únie pre zahraničné veci a bezpečnostnú politiku s názvom Strategický prístup Európskej únie k čiernomorskému regiónu</w:t>
      </w:r>
      <w:r w:rsidRPr="008A5F45">
        <w:rPr>
          <w:bCs/>
          <w:iCs/>
          <w:vertAlign w:val="superscript"/>
        </w:rPr>
        <w:footnoteReference w:id="4"/>
      </w:r>
      <w:r w:rsidRPr="008A5F45">
        <w:t xml:space="preserve">, a najmä možnosti, aby Ukrajina významne prispela v tomto rámci; podporuje pokračujúcu aktívnu účasť Ukrajiny na Východnom partnerstve a Parlamentnom zhromaždení </w:t>
      </w:r>
      <w:proofErr w:type="spellStart"/>
      <w:r w:rsidRPr="008A5F45">
        <w:t>Euronest</w:t>
      </w:r>
      <w:proofErr w:type="spellEnd"/>
      <w:r w:rsidRPr="008A5F45">
        <w:t xml:space="preserve"> ako lídra integrácie, ktorý presadzuje európske hodnoty a reformy v celom regióne;</w:t>
      </w:r>
    </w:p>
    <w:p w14:paraId="4D646F2A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54.</w:t>
      </w:r>
      <w:r w:rsidRPr="008A5F45">
        <w:rPr>
          <w:snapToGrid w:val="0"/>
          <w:lang w:eastAsia="en-US"/>
        </w:rPr>
        <w:tab/>
        <w:t xml:space="preserve">víta a podporuje všetky snahy Ukrajiny a členských štátov EÚ riešiť nevyriešené aspekty historických dvojstranných a regionálnych vzťahov, ako je </w:t>
      </w:r>
      <w:proofErr w:type="spellStart"/>
      <w:r w:rsidRPr="008A5F45">
        <w:rPr>
          <w:snapToGrid w:val="0"/>
          <w:lang w:eastAsia="en-US"/>
        </w:rPr>
        <w:t>Volyňský</w:t>
      </w:r>
      <w:proofErr w:type="spellEnd"/>
      <w:r w:rsidRPr="008A5F45">
        <w:rPr>
          <w:snapToGrid w:val="0"/>
          <w:lang w:eastAsia="en-US"/>
        </w:rPr>
        <w:t xml:space="preserve"> masaker, v duchu skutočného a úprimného zmierenia a pri rešpektovaní hodnôt EÚ týkajúcich sa ľudskej dôstojnosti, a dobrých susedských vzťahov, ako aj kritického hodnotenia historických udalostí; verí, že pri dobrej vôli všetkých zúčastnených strán sa začne trpezlivý proces zmierenia s konštruktívnym prístupom a bude smerovať k vzájomnému porozumeniu; v tejto súvislosti víta prebiehajúce rozhovory medzi poľskými a ukrajinskými orgánmi, ktoré viedli k obnoveniu exhumácie hrobov poľských občanov na ukrajinskom území v apríli 2025; dúfa, že tento proces bude pokračovať s jasným cieľom zabezpečiť obetiam dôstojný pohreb a spomienku;</w:t>
      </w:r>
    </w:p>
    <w:p w14:paraId="2109898F" w14:textId="77777777" w:rsidR="008A5F45" w:rsidRPr="008A5F45" w:rsidRDefault="008A5F45" w:rsidP="008A5F45">
      <w:pPr>
        <w:spacing w:after="240"/>
        <w:ind w:left="567" w:hanging="567"/>
      </w:pPr>
      <w:r w:rsidRPr="008A5F45">
        <w:t>55.</w:t>
      </w:r>
      <w:r w:rsidRPr="008A5F45">
        <w:tab/>
        <w:t xml:space="preserve">vyjadruje hlboké znepokojenie nad nedávnym odhalením spravodajských aktivít maďarských bezpečnostných agentúr v juhozápadnej Zakarpatskej oblasti Ukrajiny; vyjadruje poľutovanie nad systematickou politikou maďarskej vlády zameranou na oslabovanie úsilia Ukrajiny o sebaobranu a zneužívanie otázok súvisiacich s maďarskou menšinou na Ukrajine na politické ciele, čím sa brzdí pokrok Ukrajiny smerom k integrácii do EÚ; </w:t>
      </w:r>
    </w:p>
    <w:p w14:paraId="05EEEAA0" w14:textId="77777777" w:rsidR="008A5F45" w:rsidRPr="008A5F45" w:rsidRDefault="008A5F45" w:rsidP="008A5F45">
      <w:pPr>
        <w:spacing w:after="240"/>
        <w:rPr>
          <w:snapToGrid w:val="0"/>
          <w:lang w:eastAsia="en-US"/>
        </w:rPr>
      </w:pPr>
      <w:r w:rsidRPr="008A5F45">
        <w:rPr>
          <w:b/>
          <w:i/>
          <w:snapToGrid w:val="0"/>
          <w:lang w:eastAsia="en-US"/>
        </w:rPr>
        <w:t>Sociálno-ekonomické reformy</w:t>
      </w:r>
    </w:p>
    <w:p w14:paraId="39ABAE07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56.</w:t>
      </w:r>
      <w:r w:rsidRPr="008A5F45">
        <w:rPr>
          <w:snapToGrid w:val="0"/>
          <w:lang w:eastAsia="en-US"/>
        </w:rPr>
        <w:tab/>
        <w:t xml:space="preserve">víta skutočnosť, že Ukrajina vykonala prioritný akčný plán na roky 2023 – 2024 a že prijala právne predpisy potrebné na reformu Úradu pre hospodársku bezpečnosť </w:t>
      </w:r>
      <w:r w:rsidRPr="008A5F45">
        <w:rPr>
          <w:snapToGrid w:val="0"/>
          <w:lang w:eastAsia="en-US"/>
        </w:rPr>
        <w:lastRenderedPageBreak/>
        <w:t>Ukrajiny, ktoré umožnia účinnejší boj proti vyhýbaniu sa daňovým povinnostiam a ekonomickej kriminalite;</w:t>
      </w:r>
    </w:p>
    <w:p w14:paraId="0A401B56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57.</w:t>
      </w:r>
      <w:r w:rsidRPr="008A5F45">
        <w:rPr>
          <w:snapToGrid w:val="0"/>
          <w:lang w:eastAsia="en-US"/>
        </w:rPr>
        <w:tab/>
        <w:t xml:space="preserve">pripomína prijatie zákona o miestnej verejnej službe v roku 2023 a nabáda ukrajinskú vládu, aby prijala systémový prístup k nadchádzajúcim reformám verejnej správy stanovením jasnej vízie a štruktúrovanej stratégie vykonávania; zdôrazňuje potrebu vybudovať inštitucionálne a administratívne kapacity potrebné na zabezpečenie dlhodobého úspechu a vplyvu reforiem súvisiacich s pristúpením, a to nielen v rámci právnych predpisov, ale aj v praxi; víta skutočnosť, že </w:t>
      </w:r>
      <w:proofErr w:type="spellStart"/>
      <w:r w:rsidRPr="008A5F45">
        <w:rPr>
          <w:snapToGrid w:val="0"/>
          <w:lang w:eastAsia="en-US"/>
        </w:rPr>
        <w:t>Verchovna</w:t>
      </w:r>
      <w:proofErr w:type="spellEnd"/>
      <w:r w:rsidRPr="008A5F45">
        <w:rPr>
          <w:snapToGrid w:val="0"/>
          <w:lang w:eastAsia="en-US"/>
        </w:rPr>
        <w:t xml:space="preserve"> rada nedávno prijala návrh zákona č. 8222, ktorým sa štandardizuje systém odmeňovania štátnych zamestnancov s cieľom zlepšiť efektívnosť riadenia a zároveň ju zosúladiť s európskymi normami riadenia verejnej správy;</w:t>
      </w:r>
    </w:p>
    <w:p w14:paraId="58656F15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58.</w:t>
      </w:r>
      <w:r w:rsidRPr="008A5F45">
        <w:rPr>
          <w:snapToGrid w:val="0"/>
          <w:lang w:eastAsia="en-US"/>
        </w:rPr>
        <w:tab/>
        <w:t>nabáda Ukrajinu, aby dosiahla pokrok pri schvaľovaní zmien zákona o miestnej štátnej správe vrátane návrhu zákona č. 4298 s cieľom zosúladiť reformy miestnej správy s normami EÚ; požaduje vyvážený právny rámec administratívneho dohľadu, ktorý bude rešpektovať zásadu proporcionality a Európsku chartu miestnej samosprávy a zároveň chrániť právomoci, výsady a samosprávne funkcie miestnych orgánov; pripomína svoju výzvu na formálne zavedenie právnej subjektivity pre miestne a regionálne verejné orgány;</w:t>
      </w:r>
    </w:p>
    <w:p w14:paraId="4663655A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59.</w:t>
      </w:r>
      <w:r w:rsidRPr="008A5F45">
        <w:rPr>
          <w:snapToGrid w:val="0"/>
          <w:lang w:eastAsia="en-US"/>
        </w:rPr>
        <w:tab/>
        <w:t>vyzýva na neustále napredovanie vo vykonávaní decentralizačnej reformy a posilnenie samosprávy na miestnej úrovni; víta začatie tretej fázy programu U-LEAD podporovaného EÚ a členskými štátmi, ktorý sa zameriava na posilnenie miestnej samosprávy a podporu odolnej obnovy na miestnej a regionálnej úrovni; zdôrazňuje, že je dôležité zabezpečiť, aby sa všetky budúce ústavné alebo inštitucionálne reformy vrátane volebných a decentralizačných reforiem uskutočňovali transparentne, inkluzívne a v súlade s odporúčaniami Benátskej komisie;</w:t>
      </w:r>
    </w:p>
    <w:p w14:paraId="6E33F6AC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60.</w:t>
      </w:r>
      <w:r w:rsidRPr="008A5F45">
        <w:rPr>
          <w:snapToGrid w:val="0"/>
          <w:lang w:eastAsia="en-US"/>
        </w:rPr>
        <w:tab/>
        <w:t>víta, že Ukrajina dosiahla kľúčové míľniky, a vyzýva Ukrajinu, aby naďalej dosahovala pokrok vo vykonávaní Plánu pre Ukrajinu podľa nariadenia (EÚ) 2024/792 a zároveň dodržiavala hodnoty a normy, z ktorých vychádza; zdôrazňuje, že je potrebné, aby Komisia zachovala podmienenosť, najmä pokiaľ ide o pilier III nástroja, s cieľom zabezpečiť udržateľnosť a zodpovednosť v reformnom procese; zdôrazňuje silnú dynamiku pri vykonávaní reforiem, ktorá je výsledkom širokého spoločenského konsenzu a podmienok Nástroja pre Ukrajinu;</w:t>
      </w:r>
    </w:p>
    <w:p w14:paraId="5A8B218A" w14:textId="77777777" w:rsidR="008A5F45" w:rsidRPr="008A5F45" w:rsidRDefault="008A5F45" w:rsidP="008A5F45">
      <w:pPr>
        <w:spacing w:after="240"/>
        <w:ind w:left="567" w:hanging="567"/>
      </w:pPr>
      <w:r w:rsidRPr="008A5F45">
        <w:t>61.</w:t>
      </w:r>
      <w:r w:rsidRPr="008A5F45">
        <w:tab/>
        <w:t xml:space="preserve">víta pokračujúcu podporu organizácií občianskej spoločnosti prostredníctvom okna pre občiansku spoločnosť Nástroja pre Ukrajinu a nabáda Ukrajinu, aby zabezpečila, že požiadavky na finančné výkazníctvo nebudú neprimerane obmedzovať činnosti organizácií občianskej spoločnosti; </w:t>
      </w:r>
      <w:bookmarkStart w:id="11" w:name="_Hlk204185250"/>
      <w:r w:rsidRPr="008A5F45">
        <w:t>zdôrazňuje význam zmysluplnej spolupráce s občianskou spoločnosťou a miestnymi orgánmi s cieľom zabezpečiť účinné vykonávanie a kvalitné reformy v rámci Plánu pre Ukrajinu;</w:t>
      </w:r>
      <w:bookmarkEnd w:id="11"/>
      <w:r w:rsidRPr="008A5F45">
        <w:t xml:space="preserve"> vyzýva ukrajinské súdne orgány, aby posilnili existujúce mechanizmy na ochranu aktivistov občianskej spoločnosti, a to aj prostredníctvom súdnych opatrení; naliehavo vyzýva Ukrajinu, aby zabezpečila, že požiadavky na finančné vykazovanie a regulácia skutočného vlastníctva právnických osôb nebudú mať neprimeraný vplyv na fungovanie a nezávislosť organizácií občianskej spoločnosti; víta pokračujúcu podporu organizácií občianskej spoločnosti prostredníctvom segmentu Nástroja pre Ukrajinu týkajúceho sa občianskej spoločnosti; </w:t>
      </w:r>
    </w:p>
    <w:p w14:paraId="26928B1E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lastRenderedPageBreak/>
        <w:t>62.</w:t>
      </w:r>
      <w:r w:rsidRPr="008A5F45">
        <w:tab/>
        <w:t xml:space="preserve">zdôrazňuje, že obnova Ukrajiny musí byť úzko prepojená s jej reformami pred vstupom do EÚ a musí sa riadiť zásadami sociálnej spravodlivosti, udržateľnosti, transparentnosti a miestnej zodpovednosti; okrem toho zdôrazňuje, že obnova Ukrajiny musí byť založená na pevnom právnom štáte, transparentnej správe vecí verejných a demokratickom začlenení; zdôrazňuje, že reforma súdnictva, úsilie v oblasti boja proti korupcii a zlepšenie verejnej správy sú nielen podmienkami pristúpenia k EÚ, ale aj zásadnými podmienkami pre prilákanie investícií a obnovenie dôvery medzi partnermi a občanmi Ukrajiny; vyzýva na začlenenie prístupov zohľadňujúcich rodové hľadisko do všetkých snáh o obnovu vrátane zvýšeného zastúpenia žien a menšín v rozhodovacích procesoch; vyzýva ukrajinskú vládu, aby zabezpečila transparentnosť pri realizácii projektu </w:t>
      </w:r>
      <w:proofErr w:type="spellStart"/>
      <w:r w:rsidRPr="008A5F45">
        <w:t>RebuildUkraine</w:t>
      </w:r>
      <w:proofErr w:type="spellEnd"/>
      <w:r w:rsidRPr="008A5F45">
        <w:t>, ako aj konzultácie a účasť občianskej spoločnosti a rizikových skupín spoločnosti, najmä pokiaľ ide o dodržiavanie základných práv a zásad právneho štátu, ako aj nediskriminačné rozdeľovanie a využívanie finančných prostriedkov EÚ;</w:t>
      </w:r>
    </w:p>
    <w:p w14:paraId="5EEFCB86" w14:textId="77777777" w:rsidR="008A5F45" w:rsidRPr="008A5F45" w:rsidRDefault="008A5F45" w:rsidP="008A5F45">
      <w:pPr>
        <w:spacing w:after="240"/>
        <w:ind w:left="567" w:hanging="567"/>
      </w:pPr>
      <w:r w:rsidRPr="008A5F45">
        <w:t>63.</w:t>
      </w:r>
      <w:r w:rsidRPr="008A5F45">
        <w:tab/>
        <w:t xml:space="preserve">zdôrazňuje zásadnú úlohu, ktorú zohráva Nástroj EÚ pre Ukrajinu a úverový program v rámci EVP, ktoré v roku 2025 spolu poskytnú viac ako 30 miliárd EUR na podporu verejných služieb, </w:t>
      </w:r>
      <w:proofErr w:type="spellStart"/>
      <w:r w:rsidRPr="008A5F45">
        <w:t>makrofinančnej</w:t>
      </w:r>
      <w:proofErr w:type="spellEnd"/>
      <w:r w:rsidRPr="008A5F45">
        <w:t xml:space="preserve"> stability a programu reforiem na Ukrajine; vyzýva na pokračovanie a zvýšenie finančnej podpory pre Ukrajinu v rokoch 2026 a 2027, a to aj prostredníctvom nového balíka </w:t>
      </w:r>
      <w:proofErr w:type="spellStart"/>
      <w:r w:rsidRPr="008A5F45">
        <w:t>makrofinančnej</w:t>
      </w:r>
      <w:proofErr w:type="spellEnd"/>
      <w:r w:rsidRPr="008A5F45">
        <w:t xml:space="preserve"> pomoci na pokrytie očakávaného rozpočtového deficitu Ukrajiny vo výške 39 miliárd EUR; okrem toho konštatuje, že finančná a hospodárska odolnosť Ukrajiny zostáva základným predpokladom pre udržanie jej obranyschopnosti a reformný proces; žiada preto, aby sa zvážili riešenia na zmiernenie zahraničného dlhu Ukrajiny; </w:t>
      </w:r>
    </w:p>
    <w:p w14:paraId="305FB46A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64.</w:t>
      </w:r>
      <w:r w:rsidRPr="008A5F45">
        <w:tab/>
        <w:t>berie na vedomie dohodu o hospodárskom partnerstve medzi USA a Ukrajinou v oblasti kritických nerastných surovín a potvrdenie dohody o dlhodobej podpore bezpečnosti a obnovy Ukrajiny zo strany USA a berie na vedomie zámer vyjadrený v dohode chrániť proces pristúpenia Ukrajiny k EÚ, a súvisiace povinnosti, a zabezpečiť zlučiteľnosť so záväzkami Ukrajiny voči medzinárodným finančným inštitúciám alebo iným oficiálnym veriteľom; vyzýva Komisiu, aby vyzvala obe strany, aby ďalej objasnili, ako sa budú vykonávať ustanovenia určené na zabezpečenie cesty Ukrajiny k integrácii do EÚ, a aby pravidelne podávala správy o ich zlučiteľnosti s právom Únie; považuje za kľúčové, aby sa pri každej ťažbe nerastných surovín podľa tejto dohody plne dodržiavali vysoké sociálne a ekologické normy a aby sa ich dodržiavanie zaručilo prostredníctvom robustných kontrolných mechanizmov; ďalej očakáva, že Ukrajina v plnej miere začlení príslušné právne predpisy EÚ vrátane rámcovej smernice o vode</w:t>
      </w:r>
      <w:r w:rsidRPr="008A5F45">
        <w:rPr>
          <w:bCs/>
          <w:iCs/>
          <w:vertAlign w:val="superscript"/>
        </w:rPr>
        <w:footnoteReference w:id="5"/>
      </w:r>
      <w:r w:rsidRPr="008A5F45">
        <w:t xml:space="preserve"> a smernice o nakladaní s odpadom z ťažobného priemyslu</w:t>
      </w:r>
      <w:r w:rsidRPr="008A5F45">
        <w:rPr>
          <w:bCs/>
          <w:iCs/>
          <w:vertAlign w:val="superscript"/>
        </w:rPr>
        <w:footnoteReference w:id="6"/>
      </w:r>
      <w:r w:rsidRPr="008A5F45">
        <w:t xml:space="preserve"> do svojho vnútroštátneho právneho rámca;</w:t>
      </w:r>
    </w:p>
    <w:p w14:paraId="62990D17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65.</w:t>
      </w:r>
      <w:r w:rsidRPr="008A5F45">
        <w:rPr>
          <w:snapToGrid w:val="0"/>
          <w:lang w:eastAsia="en-US"/>
        </w:rPr>
        <w:tab/>
        <w:t>pripomína, že v rámci rozširovania EÚ je potrebné zabezpečiť, aby pristúpenie neviedlo k využívaniu prírodných zdrojov kandidátskych krajín a neprispievalo k sociálnej nerovnosti a zhoršovaniu životného prostredia;</w:t>
      </w:r>
    </w:p>
    <w:p w14:paraId="2498093E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lastRenderedPageBreak/>
        <w:t>66.</w:t>
      </w:r>
      <w:r w:rsidRPr="008A5F45">
        <w:tab/>
        <w:t>víta pokrok Ukrajiny pri čiastočnom prijímaní právnych predpisov o dobrých životných podmienkach zvierat, hoci s výrazným oneskorením oproti záväzkom prijatým v rámci prehĺbenej a komplexnej zóny voľného obchodu; nabáda Ukrajinu, aby dosiahla ďalší pokrok pri prijímaní nariadenia Rady (ES) č. 1/2005</w:t>
      </w:r>
      <w:r w:rsidRPr="008A5F45">
        <w:rPr>
          <w:bCs/>
          <w:iCs/>
          <w:vertAlign w:val="superscript"/>
        </w:rPr>
        <w:footnoteReference w:id="7"/>
      </w:r>
      <w:r w:rsidRPr="008A5F45">
        <w:t xml:space="preserve"> o ochrane zvierat počas prepravy, pričom by mala zohľadniť prebiehajúcu revíziu týchto právnych predpisov v EÚ, ktorá má zásadný význam pre splnenie výrobných noriem EÚ a uľahčenie zvýšeného vývozu výrobkov živočíšneho pôvodu do EÚ; vyzýva EÚ a jej členské štáty, aby v tejto súvislosti poskytli Ukrajine finančnú a technickú pomoc;</w:t>
      </w:r>
    </w:p>
    <w:p w14:paraId="77A759D9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67.</w:t>
      </w:r>
      <w:r w:rsidRPr="008A5F45">
        <w:tab/>
        <w:t xml:space="preserve">zdôrazňuje odolnosť a význam odvetvia poľnohospodárstva (19 % HDP, 53 % vývozu tovaru), zdôrazňuje však potrebu diverzifikácie hodnotových reťazcov a prínos urýchleného prijatia rastlinolekárskych noriem EÚ; zdôrazňuje význam environmentálnych záruk pri zabezpečovaní zelenej obnovy Ukrajiny; vyzýva Komisiu, aby ďalej podporovala Ukrajinu pri zavádzaní postupov posudzovania vplyvov na životné prostredie, najmä v odvetví lesného hospodárstva a poľnohospodárstva, a postupov strategického environmentálneho hodnotenia; ďalej vyzýva Komisiu, aby ďalej podporovala Ukrajinu pri budovaní administratívnych kapacít na úplné vykonávanie </w:t>
      </w:r>
      <w:proofErr w:type="spellStart"/>
      <w:r w:rsidRPr="008A5F45">
        <w:rPr>
          <w:i/>
          <w:iCs/>
        </w:rPr>
        <w:t>acquis</w:t>
      </w:r>
      <w:proofErr w:type="spellEnd"/>
      <w:r w:rsidRPr="008A5F45">
        <w:t xml:space="preserve"> EÚ v oblasti životného prostredia vrátane účasti verejnosti na rozhodovacom procese a pri zosúlaďovaní jej právnych predpisov so smernicou o obnoviteľných zdrojoch energie</w:t>
      </w:r>
      <w:r w:rsidRPr="008A5F45">
        <w:rPr>
          <w:bCs/>
          <w:iCs/>
          <w:vertAlign w:val="superscript"/>
        </w:rPr>
        <w:footnoteReference w:id="8"/>
      </w:r>
      <w:r w:rsidRPr="008A5F45">
        <w:t xml:space="preserve">, najmä s kritériami udržateľnosti pre </w:t>
      </w:r>
      <w:proofErr w:type="spellStart"/>
      <w:r w:rsidRPr="008A5F45">
        <w:t>bioenergiu</w:t>
      </w:r>
      <w:proofErr w:type="spellEnd"/>
      <w:r w:rsidRPr="008A5F45">
        <w:t>;</w:t>
      </w:r>
    </w:p>
    <w:p w14:paraId="6A2EE13A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68.</w:t>
      </w:r>
      <w:r w:rsidRPr="008A5F45">
        <w:rPr>
          <w:snapToGrid w:val="0"/>
          <w:lang w:eastAsia="en-US"/>
        </w:rPr>
        <w:tab/>
        <w:t xml:space="preserve">vyzýva </w:t>
      </w:r>
      <w:proofErr w:type="spellStart"/>
      <w:r w:rsidRPr="008A5F45">
        <w:rPr>
          <w:snapToGrid w:val="0"/>
          <w:lang w:eastAsia="en-US"/>
        </w:rPr>
        <w:t>Verchovnú</w:t>
      </w:r>
      <w:proofErr w:type="spellEnd"/>
      <w:r w:rsidRPr="008A5F45">
        <w:rPr>
          <w:snapToGrid w:val="0"/>
          <w:lang w:eastAsia="en-US"/>
        </w:rPr>
        <w:t xml:space="preserve"> radu a ukrajinskú vládu, aby novelizovali zákon č. 12089, ktorý umožňuje legalizáciu vlastníctva pôdy nezákonne odňatej štátu vrátane lesov a vodných plôch súkromným osobám, čo nie je v súlade s </w:t>
      </w:r>
      <w:proofErr w:type="spellStart"/>
      <w:r w:rsidRPr="008A5F45">
        <w:rPr>
          <w:i/>
          <w:iCs/>
          <w:snapToGrid w:val="0"/>
          <w:lang w:eastAsia="en-US"/>
        </w:rPr>
        <w:t>acquis</w:t>
      </w:r>
      <w:proofErr w:type="spellEnd"/>
      <w:r w:rsidRPr="008A5F45">
        <w:rPr>
          <w:snapToGrid w:val="0"/>
          <w:lang w:eastAsia="en-US"/>
        </w:rPr>
        <w:t xml:space="preserve"> EÚ, keďže zákon v súčasnej podobe obsahuje právne neistoty, ktoré znemožňujú vrátenie takejto pôdy štátu;</w:t>
      </w:r>
    </w:p>
    <w:p w14:paraId="2383509A" w14:textId="77777777" w:rsidR="008A5F45" w:rsidRPr="008A5F45" w:rsidRDefault="008A5F45" w:rsidP="008A5F45">
      <w:pPr>
        <w:spacing w:after="240"/>
        <w:rPr>
          <w:snapToGrid w:val="0"/>
          <w:lang w:eastAsia="en-US"/>
        </w:rPr>
      </w:pPr>
      <w:r w:rsidRPr="008A5F45">
        <w:rPr>
          <w:b/>
          <w:i/>
          <w:snapToGrid w:val="0"/>
          <w:lang w:eastAsia="en-US"/>
        </w:rPr>
        <w:t>Energetika, životné prostredie, udržateľný rozvoj a prepojenosť</w:t>
      </w:r>
    </w:p>
    <w:p w14:paraId="7FB7F850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69.</w:t>
      </w:r>
      <w:r w:rsidRPr="008A5F45">
        <w:tab/>
        <w:t>víta významný pokrok dosiahnutý v oblasti reforiem odvetvia energetiky a zosúladenie Ukrajiny s cieľmi Európskej zelenej dohody a nabáda Ukrajinu, aby v tomto úsilí nepoľavila; zdôrazňuje potrebu ďalšieho posilnenia energetickej bezpečnosti Ukrajiny prehĺbením jej integrácie do energetického trhu EÚ, a to aj prostredníctvom synchronizácie ukrajinskej elektrickej siete s kontinentálnou Európou a posilnenej spolupráce v oblasti skladovania a dodávok plynu, ako aj urýchlením zavádzania obnoviteľných zdrojov energie a opatrení v oblasti energetickej efektívnosti; zdôrazňuje, že posilnenie odolnosti kritickej energetickej infraštruktúry je aj naďalej kľúčom k hospodárskej stabilite a strategickej autonómii Ukrajiny;</w:t>
      </w:r>
    </w:p>
    <w:p w14:paraId="4FBE0322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70.</w:t>
      </w:r>
      <w:r w:rsidRPr="008A5F45">
        <w:tab/>
        <w:t xml:space="preserve">zdôrazňuje, že Ukrajina má značný potenciál ako dodávateľ energie a energeticky náročných výrobkov do zvyšku Európy; nabáda Ukrajinu, aby pokračovala v rozvoji energetických prepojení so susednými členskými štátmi a regionálnymi partnermi, ako </w:t>
      </w:r>
      <w:r w:rsidRPr="008A5F45">
        <w:lastRenderedPageBreak/>
        <w:t>je Moldavská republika, s cieľom hlbšie sa integrovať do energetického trhu EÚ; uznáva, že ruská útočná vojna zasiahla a zničila významné siete a zariadenia; preto naliehavo vyzýva Ukrajinu, aby využila obnovu na lepšiu opätovnú výstavbu, pričom by mala využívať technológie a postupy, ktoré sú najšetrnejšie k životnému prostrediu, investovať do obnoviteľných zdrojov energie a energetickej efektívnosti a minimalizovať vplyv na životné prostredie v celom výrobnom reťazci; víta pokračujúcu angažovanosť Komisie v tejto oblasti s cieľom podporiť reformu ukrajinského odvetvia energetiky vrátane obnovy a zelenej transformácie; vyzýva na urýchlenie plnenia existujúcich záväzkov v rámci Plánu pre Ukrajinu a balíkov Energetického spoločenstva vrátane rozdelenia regionálnych distribučných spoločností;</w:t>
      </w:r>
    </w:p>
    <w:p w14:paraId="478B02BF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71.</w:t>
      </w:r>
      <w:r w:rsidRPr="008A5F45">
        <w:tab/>
        <w:t>nabáda Ukrajinu, aby preskúmala nákladovo najefektívnejšie a najspoľahlivejšie riešenia pre ukrajinský energetický sektor v nadväznosti na útoky Ruska na jej energetickú infraštruktúru, napríklad nahradením svojich elektrární na fosílne palivá, pokiaľ je to možné vzhľadom na prebiehajúcu vojnu, decentralizovanými a udržateľnými energetickými technológiami; vyzýva Komisiu a ukrajinské orgány, aby strategicky využívali finančné prostriedky v rámci Nástroja pre Ukrajinu na uprednostňovanie investícií do obnoviteľných zdrojov energie, ktoré majú zásadný význam pre zabezpečenie dlhodobej energetickej bezpečnosti, environmentálnej udržateľnosti a hospodárskej odolnosti na Ukrajine aj na zvyšku kontinentu;</w:t>
      </w:r>
    </w:p>
    <w:p w14:paraId="3AF53998" w14:textId="77777777" w:rsidR="008A5F45" w:rsidRPr="008A5F45" w:rsidRDefault="008A5F45" w:rsidP="008A5F45">
      <w:pPr>
        <w:spacing w:after="240"/>
        <w:ind w:left="567" w:hanging="567"/>
      </w:pPr>
      <w:r w:rsidRPr="008A5F45">
        <w:t>72.</w:t>
      </w:r>
      <w:r w:rsidRPr="008A5F45">
        <w:tab/>
        <w:t>vyjadruje vážne znepokojenie nad škodlivým vplyvom Ruska v Medzinárodnej agentúre pre atómovú energiu (MAAE) napriek tomu, že Rusko opakovane porušuje jej základné zásady týkajúce sa jadrovej bezpečnosti a nezasahovania; vyzýva EÚ a jej členské štáty, aby presadzovali väčšiu kontrolu úlohy Ruska v rámci MAAE a preskúmali reformy, ktorými by sa zabezpečilo, že útočiace štáty nebudú môcť narušiť neutralitu a dôveryhodnosť medzinárodného jadrového dohľadu;</w:t>
      </w:r>
    </w:p>
    <w:p w14:paraId="6CAF5EBF" w14:textId="77777777" w:rsidR="008A5F45" w:rsidRPr="008A5F45" w:rsidRDefault="008A5F45" w:rsidP="008A5F45">
      <w:pPr>
        <w:spacing w:after="240"/>
        <w:ind w:left="567" w:hanging="567"/>
        <w:rPr>
          <w:b/>
          <w:bCs/>
          <w:i/>
          <w:iCs/>
        </w:rPr>
      </w:pPr>
      <w:r w:rsidRPr="008A5F45">
        <w:t>73.</w:t>
      </w:r>
      <w:r w:rsidRPr="008A5F45">
        <w:tab/>
        <w:t xml:space="preserve">zdôrazňuje, že ruská útočná vojna predstavuje </w:t>
      </w:r>
      <w:proofErr w:type="spellStart"/>
      <w:r w:rsidRPr="008A5F45">
        <w:t>ekocídu</w:t>
      </w:r>
      <w:proofErr w:type="spellEnd"/>
      <w:r w:rsidRPr="008A5F45">
        <w:t>, ktorá spôsobila závažné a dlhodobé škody na životnom prostredí Ukrajiny vrátane zničenia ekosystémov, kontaminácie vody a pôdy, ako aj poškodenie priemyselnej a energetickej infraštruktúry; považuje medzinárodné uznanie za vojnové zločiny za kľúčové na zabezpečenie plnej právnej zodpovednosti Ruska a následnej kompenzácie pre Ukrajinu a žiada, aby EÚ v rámci rekonštrukcie Ukrajiny podporovala komplexnú stratégiu obnovy životného prostredia; vyzýva EÚ a jej členské štáty, aby plne podporovali všetky iniciatívy dokumentujúce ničenie životného prostredia spôsobené vojnou Ruska a podporili úsilie o vyvodenie zodpovednosti a odškodnenie v zahraničných jurisdikciách;</w:t>
      </w:r>
    </w:p>
    <w:p w14:paraId="1ED2C01F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74.</w:t>
      </w:r>
      <w:r w:rsidRPr="008A5F45">
        <w:rPr>
          <w:snapToGrid w:val="0"/>
          <w:lang w:eastAsia="en-US"/>
        </w:rPr>
        <w:tab/>
        <w:t>vyjadruje Ukrajine uznanie za prijatie jej národného energetického a klimatického plánu, v rámci ktorého sa koordinujú a plánujú politiky v oblasti energetiky a klímy do roku 2030 a ktorý zahŕňa konkrétne ciele vrátane výrazného zníženia emisií skleníkových plynov a zvýšenia podielu energie z obnoviteľných zdrojov; podporuje pokračujúce úsilie fondu energetickej hospodárnosti a novozriadeného fondu na dekarbonizáciu; vyzýva EÚ a členské štáty, aby zabezpečili finančnú udržateľnosť týchto nástrojov, najmä v súvislosti s rekonštrukciou a integráciou obnoviteľných zdrojov energie do oblasti bývania; nabáda Ukrajinu, aby do energetických reforiem začlenila zásadu spravodlivej transformácie s cieľom zmierniť sociálne dôsledky a podporiť zraniteľné skupiny;</w:t>
      </w:r>
    </w:p>
    <w:p w14:paraId="16212D1F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lastRenderedPageBreak/>
        <w:t>75.</w:t>
      </w:r>
      <w:r w:rsidRPr="008A5F45">
        <w:rPr>
          <w:snapToGrid w:val="0"/>
          <w:lang w:eastAsia="en-US"/>
        </w:rPr>
        <w:tab/>
        <w:t>naliehavo vyzýva Komisiu a členské štáty, aby začlenili jadrovú bezpečnosť ako ústrednú zložku stratégie obnovy a integrácie Ukrajiny do EÚ a zabezpečili zosúladenie s </w:t>
      </w:r>
      <w:proofErr w:type="spellStart"/>
      <w:r w:rsidRPr="008A5F45">
        <w:rPr>
          <w:i/>
          <w:iCs/>
          <w:snapToGrid w:val="0"/>
          <w:lang w:eastAsia="en-US"/>
        </w:rPr>
        <w:t>acquis</w:t>
      </w:r>
      <w:proofErr w:type="spellEnd"/>
      <w:r w:rsidRPr="008A5F45">
        <w:rPr>
          <w:snapToGrid w:val="0"/>
          <w:lang w:eastAsia="en-US"/>
        </w:rPr>
        <w:t xml:space="preserve"> EÚ v oblasti jadrovej energie a ochrany pred žiarením v rámci spoločenstva </w:t>
      </w:r>
      <w:proofErr w:type="spellStart"/>
      <w:r w:rsidRPr="008A5F45">
        <w:rPr>
          <w:snapToGrid w:val="0"/>
          <w:lang w:eastAsia="en-US"/>
        </w:rPr>
        <w:t>Euratom</w:t>
      </w:r>
      <w:proofErr w:type="spellEnd"/>
      <w:r w:rsidRPr="008A5F45">
        <w:rPr>
          <w:snapToGrid w:val="0"/>
          <w:lang w:eastAsia="en-US"/>
        </w:rPr>
        <w:t xml:space="preserve">; podporuje posilnenie ukrajinskej jadrovej bezpečnosti a schopnosti reagovať na rádiologické havarijné situácie ako ústredný prvok obnovy krajiny a stratégie integrácie do EÚ, a to aj prostredníctvom technickej a finančnej pomoci zo strany EÚ a medzinárodných partnerov; vyzýva na vytvorenie iniciatívy pod vedením EÚ na posilnenie jadrovej bezpečnosti, ochranu kritickej infraštruktúry a predchádzanie rádiologickým incidentom spôsobeným ruskou agresiou; vyjadruje vážne znepokojenie nad pokusmi Ruskej federácie de </w:t>
      </w:r>
      <w:proofErr w:type="spellStart"/>
      <w:r w:rsidRPr="008A5F45">
        <w:rPr>
          <w:snapToGrid w:val="0"/>
          <w:lang w:eastAsia="en-US"/>
        </w:rPr>
        <w:t>facto</w:t>
      </w:r>
      <w:proofErr w:type="spellEnd"/>
      <w:r w:rsidRPr="008A5F45">
        <w:rPr>
          <w:snapToGrid w:val="0"/>
          <w:lang w:eastAsia="en-US"/>
        </w:rPr>
        <w:t xml:space="preserve"> pripojiť ukrajinskú kritickú infraštruktúru vrátane dôveryhodných verejných správ o tom, že má v úmysle odpojiť Záporožskú jadrovú elektráreň (ZNPP) z ukrajinskej elektrickej siete a násilne ju integrovať do ruského energetického systému, čo by porušilo zvrchovanosť a medzinárodné právo Ukrajiny a predstavovalo by významné riziko pre jadrovú bezpečnosť; žiada okamžité a bezpodmienečné stiahnutie všetkého ruského vojenského personálu a vybavenia z areálu Záporožskej jadrovej elektrárne a všetkých ostatných jadrových areálov na Ukrajine a vyzýva MAAE, aby sa verejne a jednoznačne vyjadrila proti takýmto plánom; zdôrazňuje, že integrita a odolnosť ukrajinskej jadrovej infraštruktúry nie je výlučne národnou záležitosťou, ale spoločnou európskou zodpovednosťou; vyzýva na koordinované plánovanie pre prípad nepredvídaných udalostí a zvýšenú cezhraničnú spoluprácu medzi členskými štátmi EÚ v reakcii na potenciálne jadrové hrozby vyplývajúce z ruských aktivít na Ukrajine;</w:t>
      </w:r>
    </w:p>
    <w:p w14:paraId="11CCB929" w14:textId="77777777" w:rsidR="008A5F45" w:rsidRPr="008A5F45" w:rsidRDefault="008A5F45" w:rsidP="008A5F45">
      <w:pPr>
        <w:spacing w:after="240"/>
        <w:ind w:left="567" w:hanging="567"/>
      </w:pPr>
      <w:r w:rsidRPr="008A5F45">
        <w:t>76.</w:t>
      </w:r>
      <w:r w:rsidRPr="008A5F45">
        <w:tab/>
        <w:t xml:space="preserve">naliehavo vyzýva Ukrajinu, aby účinne bojovala proti nezákonnej ťažbe dreva v súlade s normami udržateľného obhospodarovania lesov a ochrany životného prostredia, ako je napríklad nezákonná ťažba dreva v pralesoch Karpát; vyzýva EÚ, aby prispela k predchádzaniu nezákonnej ťažbe dreva v súvislosti s nezákonným projektom výstavby lyžiarskeho strediska </w:t>
      </w:r>
      <w:proofErr w:type="spellStart"/>
      <w:r w:rsidRPr="008A5F45">
        <w:t>Svidovec</w:t>
      </w:r>
      <w:proofErr w:type="spellEnd"/>
      <w:r w:rsidRPr="008A5F45">
        <w:t xml:space="preserve">; nabáda Ukrajinu, aby investovala do ekologicky a environmentálne bezpečnej a udržateľnej turistickej infraštruktúry; </w:t>
      </w:r>
    </w:p>
    <w:p w14:paraId="75E80487" w14:textId="77777777" w:rsidR="008A5F45" w:rsidRPr="008A5F45" w:rsidRDefault="008A5F45" w:rsidP="008A5F45">
      <w:pPr>
        <w:spacing w:after="240"/>
        <w:ind w:left="567" w:hanging="567"/>
      </w:pPr>
      <w:r w:rsidRPr="008A5F45">
        <w:t>77.</w:t>
      </w:r>
      <w:r w:rsidRPr="008A5F45">
        <w:tab/>
        <w:t xml:space="preserve">vyzýva Komisiu, aby pomáhala Ukrajine v napredovaní smerom k dosiahnutiu vysokej miery primeranosti jej siete Smaragd, pokiaľ ide o územia s osobitným ochranárskym významom; </w:t>
      </w:r>
    </w:p>
    <w:p w14:paraId="61029671" w14:textId="77777777" w:rsidR="008A5F45" w:rsidRPr="008A5F45" w:rsidRDefault="008A5F45" w:rsidP="008A5F45">
      <w:pPr>
        <w:widowControl/>
        <w:spacing w:after="240"/>
        <w:ind w:left="567" w:hanging="567"/>
        <w:rPr>
          <w:snapToGrid w:val="0"/>
          <w:lang w:eastAsia="en-US"/>
        </w:rPr>
      </w:pPr>
      <w:r w:rsidRPr="008A5F45">
        <w:rPr>
          <w:snapToGrid w:val="0"/>
          <w:lang w:eastAsia="en-US"/>
        </w:rPr>
        <w:t>78.</w:t>
      </w:r>
      <w:r w:rsidRPr="008A5F45">
        <w:rPr>
          <w:snapToGrid w:val="0"/>
          <w:lang w:eastAsia="en-US"/>
        </w:rPr>
        <w:tab/>
        <w:t>víta skutočnosť, že vývoz orientovaný na EÚ predstavoval v roku 2024 63 % celkového vývozu (nárast zo 42 % v roku 2021), čo odráža úspešnú zmenu obchodnej orientácie;</w:t>
      </w:r>
    </w:p>
    <w:p w14:paraId="3B52605E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79.</w:t>
      </w:r>
      <w:r w:rsidRPr="008A5F45">
        <w:tab/>
        <w:t xml:space="preserve">poukazuje na strategický význam rozvoja a rozširovania železničných koridorov spájajúcich Ukrajinu s EÚ prostredníctvom </w:t>
      </w:r>
      <w:proofErr w:type="spellStart"/>
      <w:r w:rsidRPr="008A5F45">
        <w:t>transeurópskej</w:t>
      </w:r>
      <w:proofErr w:type="spellEnd"/>
      <w:r w:rsidRPr="008A5F45">
        <w:t xml:space="preserve"> dopravnej siete (TEN-T), ktoré slúžia na civilné aj vojenské logistické účely ako súčasť širšej stratégie dvojakého využitia infraštruktúry; podporuje pokračujúce úsilie o zosúladenie ukrajinských digitálnych a dopravných noriem s normami EÚ, čím sa uľahčí obchod, mobilita a bezpečná komunikácia; zdôrazňuje, že lepšia prepojenosť podporí hospodársku obnovu a integráciu Ukrajiny;</w:t>
      </w:r>
    </w:p>
    <w:p w14:paraId="6247BE87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80.</w:t>
      </w:r>
      <w:r w:rsidRPr="008A5F45">
        <w:tab/>
        <w:t xml:space="preserve">vyzýva Komisiu a členské štáty, aby vyčlenili všetky potrebné finančné prostriedky na zlepšenie plánovanej dopravnej prepojenosti a odolnosti Ukrajiny do roku 2050 vrátane ďalšej aktualizácie máp siete TEN-T; víta úspešný rozvoj a realizáciu koridorov solidarity, ktoré umožnili Ukrajine obísť ruskú čiernomorskú blokádu a vyvážať rôzne tovary na svetové trhy cez susedné členské štáty EÚ a Moldavsko; oceňuje skutočnosť, že napriek vojnovým krutostiam a výraznému poklesu v produkcii obilia zohrala </w:t>
      </w:r>
      <w:r w:rsidRPr="008A5F45">
        <w:lastRenderedPageBreak/>
        <w:t xml:space="preserve">Ukrajina kľúčovú úlohu pri predchádzaní celosvetovej potravinovej kríze, keď bolo prostredníctvom humanitárneho potravinového programu Obilie z Ukrajiny, ktorý začal prezident </w:t>
      </w:r>
      <w:proofErr w:type="spellStart"/>
      <w:r w:rsidRPr="008A5F45">
        <w:t>Zelenskyj</w:t>
      </w:r>
      <w:proofErr w:type="spellEnd"/>
      <w:r w:rsidRPr="008A5F45">
        <w:t xml:space="preserve"> v roku 2022, do krajín postihnutých najhoršou potravinovou krízou, najmä do Afriky, dodaných viac ako 170 000 ton pšenice; konštatuje, že prevažná väčšina ukrajinského vývozu obilia je určená pre rozvojové krajiny;</w:t>
      </w:r>
    </w:p>
    <w:p w14:paraId="75652CB6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81.</w:t>
      </w:r>
      <w:r w:rsidRPr="008A5F45">
        <w:tab/>
        <w:t xml:space="preserve">uznáva pokrok v integrácii Ukrajiny do iniciatív EÚ v oblasti dopravy a digitálnej </w:t>
      </w:r>
      <w:proofErr w:type="spellStart"/>
      <w:r w:rsidRPr="008A5F45">
        <w:t>pripojiteľnosti</w:t>
      </w:r>
      <w:proofErr w:type="spellEnd"/>
      <w:r w:rsidRPr="008A5F45">
        <w:t xml:space="preserve"> a zdôrazňuje význam zosúladenia s </w:t>
      </w:r>
      <w:proofErr w:type="spellStart"/>
      <w:r w:rsidRPr="008A5F45">
        <w:rPr>
          <w:i/>
          <w:iCs/>
        </w:rPr>
        <w:t>acquis</w:t>
      </w:r>
      <w:proofErr w:type="spellEnd"/>
      <w:r w:rsidRPr="008A5F45">
        <w:t xml:space="preserve"> EÚ v týchto oblastiach; víta najmä kroky prijaté s cieľom začleniť Ukrajinu do bezplatnej </w:t>
      </w:r>
      <w:proofErr w:type="spellStart"/>
      <w:r w:rsidRPr="008A5F45">
        <w:t>roamingovej</w:t>
      </w:r>
      <w:proofErr w:type="spellEnd"/>
      <w:r w:rsidRPr="008A5F45">
        <w:t xml:space="preserve"> zóny EÚ, čím sa pre občanov a podniky odstránia poplatky za mobilný roaming medzi Ukrajinou a EÚ;</w:t>
      </w:r>
    </w:p>
    <w:p w14:paraId="457142FE" w14:textId="77777777" w:rsidR="008A5F45" w:rsidRPr="008A5F45" w:rsidRDefault="008A5F45" w:rsidP="008A5F45">
      <w:pPr>
        <w:spacing w:after="240"/>
        <w:ind w:left="567" w:hanging="567"/>
      </w:pPr>
      <w:r w:rsidRPr="008A5F45">
        <w:t>82.</w:t>
      </w:r>
      <w:r w:rsidRPr="008A5F45">
        <w:tab/>
        <w:t xml:space="preserve">zdôrazňuje význam posilnenia prepojenosti, </w:t>
      </w:r>
      <w:proofErr w:type="spellStart"/>
      <w:r w:rsidRPr="008A5F45">
        <w:t>interoperability</w:t>
      </w:r>
      <w:proofErr w:type="spellEnd"/>
      <w:r w:rsidRPr="008A5F45">
        <w:t>, bezpečnosti a kapacity digitálnych a IT systémov medzi EÚ a Ukrajinou v súlade s dohodou o pridružení; vyzýva na pokračujúce úsilie o harmonizáciu digitálnych politík, rozšírenie spolupráce v oblasti kybernetickej bezpečnosti a zabezpečenie odolnej a bezpečnej digitálnej infraštruktúry; v tejto súvislosti víta uzavretie dohody o spolupráci medzi Agentúrou Európskej únie pre kybernetickú bezpečnosť a ukrajinskými orgánmi pre kybernetickú bezpečnosť v decembri 2023;</w:t>
      </w:r>
    </w:p>
    <w:p w14:paraId="2523F44D" w14:textId="77777777" w:rsidR="008A5F45" w:rsidRPr="008A5F45" w:rsidRDefault="008A5F45" w:rsidP="008A5F45">
      <w:pPr>
        <w:spacing w:after="240"/>
        <w:ind w:left="567" w:hanging="567"/>
        <w:rPr>
          <w:b/>
          <w:bCs/>
          <w:i/>
          <w:iCs/>
        </w:rPr>
      </w:pPr>
      <w:r w:rsidRPr="008A5F45">
        <w:rPr>
          <w:b/>
          <w:i/>
        </w:rPr>
        <w:t>Prístupové rokovania</w:t>
      </w:r>
    </w:p>
    <w:p w14:paraId="6F5FE245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83.</w:t>
      </w:r>
      <w:r w:rsidRPr="008A5F45">
        <w:tab/>
        <w:t xml:space="preserve">víta rozhodnutie Európskej rady zo 14. – 15. decembra 2023 začať prístupové rokovania s Ukrajinou, ktoré predstavuje historický míľnik na ceste Ukrajiny k členstvu v EÚ; oceňuje rýchle zvolanie prvej medzivládnej konferencie o pristúpení medzi EÚ a Ukrajinou 25. júna 2024, ktorou sa oficiálne začal proces rokovaní, a víta posúdenie komisárky </w:t>
      </w:r>
      <w:proofErr w:type="spellStart"/>
      <w:r w:rsidRPr="008A5F45">
        <w:t>Kosovej</w:t>
      </w:r>
      <w:proofErr w:type="spellEnd"/>
      <w:r w:rsidRPr="008A5F45">
        <w:t>, podľa ktorého by sa všetky skríningy mohli dokončiť do jesene 2025;</w:t>
      </w:r>
    </w:p>
    <w:p w14:paraId="4C786907" w14:textId="77777777" w:rsidR="008A5F45" w:rsidRPr="008A5F45" w:rsidRDefault="008A5F45" w:rsidP="008A5F45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8A5F45">
        <w:rPr>
          <w:snapToGrid w:val="0"/>
          <w:lang w:eastAsia="en-US"/>
        </w:rPr>
        <w:t>84.</w:t>
      </w:r>
      <w:r w:rsidRPr="008A5F45">
        <w:rPr>
          <w:snapToGrid w:val="0"/>
          <w:lang w:eastAsia="en-US"/>
        </w:rPr>
        <w:tab/>
        <w:t xml:space="preserve">uznáva významné reformy a záväzky Ukrajiny, a preto odporúča, aby Komisia urýchlene otvorila rokovacie bloky s Ukrajinou s cieľom čo najrýchlejšie pokročiť v úsilí krajiny o členstvo v EÚ, a to v závislosti od jej pokračujúceho vykonávania </w:t>
      </w:r>
      <w:proofErr w:type="spellStart"/>
      <w:r w:rsidRPr="008A5F45">
        <w:rPr>
          <w:i/>
          <w:iCs/>
          <w:snapToGrid w:val="0"/>
          <w:lang w:eastAsia="en-US"/>
        </w:rPr>
        <w:t>acquis</w:t>
      </w:r>
      <w:proofErr w:type="spellEnd"/>
      <w:r w:rsidRPr="008A5F45">
        <w:rPr>
          <w:snapToGrid w:val="0"/>
          <w:lang w:eastAsia="en-US"/>
        </w:rPr>
        <w:t xml:space="preserve"> EÚ a dokončenia reforiem, ktoré realizuje; zdôrazňuje, že prístupové rokovania by mali sledovať jasný a transparentný smer a riadiť sa objektívnymi a merateľnými kritériami; zdôrazňuje, že tieto reformy musia zahŕňať hĺbkové reformy vo všetkých základných oblastiach a fungovanie stabilných inštitúcií, ktoré podporujú demokraciu, právny štát, ľudské práva, a najmä rešpektovanie a ochranu menšín; zdôrazňuje odporúčania Komisie na nasledujúci rok;</w:t>
      </w:r>
    </w:p>
    <w:p w14:paraId="4262040A" w14:textId="77777777" w:rsidR="008A5F45" w:rsidRPr="008A5F45" w:rsidRDefault="008A5F45" w:rsidP="008A5F45">
      <w:pPr>
        <w:spacing w:after="240"/>
        <w:ind w:left="567" w:hanging="567"/>
      </w:pPr>
      <w:r w:rsidRPr="008A5F45">
        <w:t>85.</w:t>
      </w:r>
      <w:r w:rsidRPr="008A5F45">
        <w:tab/>
      </w:r>
      <w:bookmarkStart w:id="12" w:name="_Hlk204187147"/>
      <w:bookmarkStart w:id="13" w:name="_Hlk204186804"/>
      <w:r w:rsidRPr="008A5F45">
        <w:t>vyzýva maďarskú vládu a členské štáty, aby pri riešení akýchkoľvek otázok podobných tým, ktoré sa týkajú ukrajinského zákona o národnostných menšinách</w:t>
      </w:r>
      <w:bookmarkEnd w:id="12"/>
      <w:r w:rsidRPr="008A5F45">
        <w:t xml:space="preserve">, </w:t>
      </w:r>
      <w:bookmarkStart w:id="14" w:name="_Hlk204187133"/>
      <w:r w:rsidRPr="008A5F45">
        <w:t>konali v dobrej viere a aby sa zdržali používania</w:t>
      </w:r>
      <w:bookmarkStart w:id="15" w:name="_Hlk204187250"/>
      <w:r w:rsidRPr="008A5F45">
        <w:t xml:space="preserve"> takýchto otázok ako dôvodu blokovania pristúpenia Ukrajiny</w:t>
      </w:r>
      <w:bookmarkEnd w:id="14"/>
      <w:bookmarkEnd w:id="15"/>
      <w:r w:rsidRPr="008A5F45">
        <w:t xml:space="preserve"> k EÚ; </w:t>
      </w:r>
      <w:bookmarkEnd w:id="13"/>
      <w:r w:rsidRPr="008A5F45">
        <w:t>vyzýva preto maďarskú vládu, aby už neblokovala začiatok prvých blokov rokovaní a umožnila Ukrajine a jej susedovi Moldavsku spoločne napredovať na ich ceste k členstvu v EÚ;</w:t>
      </w:r>
    </w:p>
    <w:p w14:paraId="4541CCF3" w14:textId="77777777" w:rsidR="008A5F45" w:rsidRPr="008A5F45" w:rsidRDefault="008A5F45" w:rsidP="008A5F45">
      <w:pPr>
        <w:tabs>
          <w:tab w:val="left" w:pos="1560"/>
        </w:tabs>
        <w:spacing w:after="240"/>
        <w:ind w:left="567" w:hanging="567"/>
        <w:rPr>
          <w:b/>
          <w:bCs/>
          <w:i/>
          <w:iCs/>
        </w:rPr>
      </w:pPr>
      <w:r w:rsidRPr="008A5F45">
        <w:t>86.</w:t>
      </w:r>
      <w:r w:rsidRPr="008A5F45">
        <w:tab/>
        <w:t xml:space="preserve">pripomína, že proces rozširovania sa nesmie </w:t>
      </w:r>
      <w:proofErr w:type="spellStart"/>
      <w:r w:rsidRPr="008A5F45">
        <w:t>inštrumentalizovať</w:t>
      </w:r>
      <w:proofErr w:type="spellEnd"/>
      <w:r w:rsidRPr="008A5F45">
        <w:t xml:space="preserve"> na riešenie dvojstranných sporov ani na spomalenie prístupu založeného na zásluhách, a že takéto otázky by sa mali riešiť nezávisle od prístupového procesu a prostredníctvom konštruktívneho dialógu a skutočnej spolupráce; pripomína, že nadmerné oneskorenia na ceste k plnému členstvu v EÚ môžu negatívne ovplyvniť podporu verejnosti a </w:t>
      </w:r>
      <w:r w:rsidRPr="008A5F45">
        <w:lastRenderedPageBreak/>
        <w:t>politické odhodlanie v kandidátskej krajine;</w:t>
      </w:r>
    </w:p>
    <w:p w14:paraId="08604D8A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87.</w:t>
      </w:r>
      <w:r w:rsidRPr="008A5F45">
        <w:tab/>
        <w:t xml:space="preserve">v rámci prípravy rokovaní vyzýva na nepretržitú podporu EÚ, najmä vo forme odbornej pomoci s cieľom kompenzovať akékoľvek administratívne nedostatky vyplývajúce z prebiehajúcej agresie voči Ukrajine; ďalej vyzýva EÚ, aby poskytla technickú pomoc s cieľom pomôcť Ukrajine účinne splniť všetky prístupové požiadavky; vyjadruje poľutovanie nad rozhodnutím vlády USA zastaviť financovanie Agentúry USA pre medzinárodný rozvoj (USAID), ktoré už priamo ovplyvňuje podporu kľúčových reformných procesov na Ukrajine, a to aj v súvislosti s právnym štátom, bojom proti korupcii, správou verejných financií, hospodárskym rozvojom, energetickou bezpečnosťou, ale aj poskytovaním humanitárnej pomoci; víta úsilie Komisie a medzinárodných partnerov o riešenie najnaliehavejších nedostatkov, ktoré toto zrušenie financovania spôsobilo; </w:t>
      </w:r>
    </w:p>
    <w:p w14:paraId="718B50A4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88.</w:t>
      </w:r>
      <w:r w:rsidRPr="008A5F45">
        <w:tab/>
        <w:t>zdôrazňuje, že pred pristúpením Ukrajiny k EÚ je potrebná zvýšená podpora EÚ na urýchlenie integrácie Ukrajiny prostredníctvom cielených programov finančnej a technickej pomoci, a zdôrazňuje, že Ukrajina aj EÚ by mali prospech z postupnej integrácie krajiny do politík a programov EÚ spolu s formálnymi prístupovými rokovaniami;</w:t>
      </w:r>
    </w:p>
    <w:p w14:paraId="08A1958C" w14:textId="77777777" w:rsidR="008A5F45" w:rsidRPr="008A5F45" w:rsidRDefault="008A5F45" w:rsidP="008A5F45">
      <w:pPr>
        <w:spacing w:after="240"/>
        <w:ind w:left="567" w:hanging="567"/>
        <w:rPr>
          <w:bCs/>
          <w:iCs/>
        </w:rPr>
      </w:pPr>
      <w:r w:rsidRPr="008A5F45">
        <w:t>89.</w:t>
      </w:r>
      <w:r w:rsidRPr="008A5F45">
        <w:tab/>
        <w:t xml:space="preserve">konštatuje, že zložitosť integrácie Ukrajiny do EÚ vzhľadom na jej veľkosť a prebiehajúcu vojnu predstavuje výzvy v kľúčových odvetviach, ako je poľnohospodárstvo, a vyžaduje si inštitucionálne a finančné reformy v rámci EÚ s cieľom zabezpečiť jej schopnosť absorbovať Ukrajinu; vyzýva preto EÚ a jej členské štáty, aby proaktívne riešili tieto výzvy, jasne </w:t>
      </w:r>
      <w:proofErr w:type="spellStart"/>
      <w:r w:rsidRPr="008A5F45">
        <w:t>odkomunikovali</w:t>
      </w:r>
      <w:proofErr w:type="spellEnd"/>
      <w:r w:rsidRPr="008A5F45">
        <w:t xml:space="preserve"> výhody integrácie Ukrajiny občanom EÚ, našli udržateľné a spravodlivé riešenia pre citlivé odvetvia a súbežne s prebiehajúcimi prístupovými rokovaniami realizovali vnútorné reformy EÚ; vyzýva Komisiu, aby v súvislosti s pristúpením Ukrajiny podporila odvetvia, ktoré sú najviac vystavené vplyvu liberalizácie obchodu; zároveň konštatuje, že na základe skúseností z predchádzajúcich kôl rozširovania môže existovať potreba prechodných období v určitých špecifických odvetviach, v ktorých sa ešte neuplatňuje úplné </w:t>
      </w:r>
      <w:proofErr w:type="spellStart"/>
      <w:r w:rsidRPr="008A5F45">
        <w:rPr>
          <w:i/>
          <w:iCs/>
        </w:rPr>
        <w:t>acquis</w:t>
      </w:r>
      <w:proofErr w:type="spellEnd"/>
      <w:r w:rsidRPr="008A5F45">
        <w:t>, aby sa súčasné členské štáty mohli prispôsobiť; opätovne pripomína svoju výzvu členským štátom, aby preukázali jasný a jednoznačný politický záväzok k procesu rozširovania a nezneužívali ho na riešenie dvojstranných sporov, ktoré by sa mali riešiť nezávisle od prístupového procesu;</w:t>
      </w:r>
    </w:p>
    <w:p w14:paraId="39F2D9FA" w14:textId="77777777" w:rsidR="008A5F45" w:rsidRPr="008A5F45" w:rsidRDefault="008A5F45" w:rsidP="008A5F45">
      <w:pPr>
        <w:spacing w:after="240"/>
        <w:ind w:left="567" w:hanging="567"/>
      </w:pPr>
      <w:r w:rsidRPr="008A5F45">
        <w:t>90.</w:t>
      </w:r>
      <w:r w:rsidRPr="008A5F45">
        <w:tab/>
        <w:t>opakuje svoju výzvu na posilnenie akcieschopnosti EÚ prostredníctvom reformy rozhodovania, a to</w:t>
      </w:r>
      <w:bookmarkStart w:id="16" w:name="_Hlk204186408"/>
      <w:r w:rsidRPr="008A5F45">
        <w:t xml:space="preserve"> aj zavedením hlasovania kvalifikovanou väčšinou v Rade</w:t>
      </w:r>
      <w:bookmarkEnd w:id="16"/>
      <w:r w:rsidRPr="008A5F45">
        <w:t xml:space="preserve"> pri čiastkových krokoch prístupového procesu, najmä na začiatku rokovaní a pri otváraní a uzatváraní jednotlivých tematických blokov a kapitol;</w:t>
      </w:r>
    </w:p>
    <w:p w14:paraId="34A1158D" w14:textId="77777777" w:rsidR="008A5F45" w:rsidRPr="008A5F45" w:rsidRDefault="008A5F45" w:rsidP="008A5F45">
      <w:pPr>
        <w:widowControl/>
        <w:spacing w:after="240"/>
        <w:jc w:val="center"/>
      </w:pPr>
      <w:r w:rsidRPr="008A5F45">
        <w:t>°</w:t>
      </w:r>
    </w:p>
    <w:p w14:paraId="22C491E0" w14:textId="77777777" w:rsidR="008A5F45" w:rsidRPr="008A5F45" w:rsidRDefault="008A5F45" w:rsidP="008A5F45">
      <w:pPr>
        <w:widowControl/>
        <w:spacing w:after="240"/>
        <w:jc w:val="center"/>
      </w:pPr>
      <w:r w:rsidRPr="008A5F45">
        <w:t>°     °</w:t>
      </w:r>
    </w:p>
    <w:p w14:paraId="685AEC53" w14:textId="473FFA8F" w:rsidR="008A5F45" w:rsidRPr="005F5751" w:rsidRDefault="008A5F45" w:rsidP="008A5F45">
      <w:pPr>
        <w:widowControl/>
        <w:spacing w:after="240"/>
        <w:ind w:left="567" w:hanging="567"/>
      </w:pPr>
      <w:r w:rsidRPr="008A5F45">
        <w:rPr>
          <w:snapToGrid w:val="0"/>
          <w:lang w:eastAsia="en-US"/>
        </w:rPr>
        <w:t>91.</w:t>
      </w:r>
      <w:r w:rsidRPr="008A5F45">
        <w:rPr>
          <w:snapToGrid w:val="0"/>
          <w:lang w:eastAsia="en-US"/>
        </w:rPr>
        <w:tab/>
        <w:t>poveruje svoju predsedníčku, aby postúpila toto uznesenie prezidentovi, vláde a parlamentu Ukrajiny, vládam a parlamentom členských štátov, Rade a Komisii.</w:t>
      </w:r>
    </w:p>
    <w:sectPr w:rsidR="008A5F45" w:rsidRPr="005F5751" w:rsidSect="002E6B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8DBF9" w14:textId="77777777" w:rsidR="002056EF" w:rsidRPr="002E6B1B" w:rsidRDefault="002056EF">
      <w:r w:rsidRPr="002E6B1B">
        <w:separator/>
      </w:r>
    </w:p>
  </w:endnote>
  <w:endnote w:type="continuationSeparator" w:id="0">
    <w:p w14:paraId="4D7291B5" w14:textId="77777777" w:rsidR="002056EF" w:rsidRPr="002E6B1B" w:rsidRDefault="002056EF">
      <w:r w:rsidRPr="002E6B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D95EC" w14:textId="77777777" w:rsidR="00064002" w:rsidRPr="002E6B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3887C" w14:textId="77777777" w:rsidR="00064002" w:rsidRPr="002E6B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F9B2D" w14:textId="77777777" w:rsidR="00064002" w:rsidRPr="002E6B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B0371" w14:textId="77777777" w:rsidR="002056EF" w:rsidRPr="002E6B1B" w:rsidRDefault="002056EF">
      <w:r w:rsidRPr="002E6B1B">
        <w:separator/>
      </w:r>
    </w:p>
  </w:footnote>
  <w:footnote w:type="continuationSeparator" w:id="0">
    <w:p w14:paraId="5E781328" w14:textId="77777777" w:rsidR="002056EF" w:rsidRPr="002E6B1B" w:rsidRDefault="002056EF">
      <w:r w:rsidRPr="002E6B1B">
        <w:continuationSeparator/>
      </w:r>
    </w:p>
  </w:footnote>
  <w:footnote w:id="1">
    <w:p w14:paraId="73F2A44E" w14:textId="77777777" w:rsidR="008A5F45" w:rsidRPr="008A5F45" w:rsidRDefault="008A5F45" w:rsidP="008A5F45">
      <w:pPr>
        <w:pStyle w:val="FootnoteText"/>
        <w:ind w:left="567" w:hanging="567"/>
        <w:rPr>
          <w:sz w:val="24"/>
          <w:lang w:val="fi-FI"/>
        </w:rPr>
      </w:pPr>
      <w:r w:rsidRPr="002E6B1B">
        <w:rPr>
          <w:rStyle w:val="FootnoteReference"/>
          <w:sz w:val="24"/>
        </w:rPr>
        <w:footnoteRef/>
      </w:r>
      <w:r w:rsidRPr="008A5F45">
        <w:rPr>
          <w:sz w:val="24"/>
          <w:lang w:val="fi-FI"/>
        </w:rPr>
        <w:t xml:space="preserve"> </w:t>
      </w:r>
      <w:r w:rsidRPr="008A5F45">
        <w:rPr>
          <w:sz w:val="24"/>
          <w:lang w:val="fi-FI"/>
        </w:rPr>
        <w:tab/>
        <w:t xml:space="preserve">Ú. v. EÚ L, 2024/792, 29.2.2024, ELI: </w:t>
      </w:r>
      <w:hyperlink r:id="rId1" w:history="1">
        <w:r w:rsidRPr="008A5F45">
          <w:rPr>
            <w:rStyle w:val="Hyperlink"/>
            <w:sz w:val="24"/>
            <w:lang w:val="fi-FI"/>
          </w:rPr>
          <w:t>http://data.europa.eu/eli/reg/2024/792/oj</w:t>
        </w:r>
      </w:hyperlink>
      <w:r w:rsidRPr="008A5F45">
        <w:rPr>
          <w:sz w:val="24"/>
          <w:lang w:val="fi-FI"/>
        </w:rPr>
        <w:t>.</w:t>
      </w:r>
    </w:p>
  </w:footnote>
  <w:footnote w:id="2">
    <w:p w14:paraId="3E962C56" w14:textId="77777777" w:rsidR="008A5F45" w:rsidRPr="008A5F45" w:rsidRDefault="008A5F45" w:rsidP="008A5F45">
      <w:pPr>
        <w:pStyle w:val="FootnoteText"/>
        <w:ind w:left="567" w:hanging="567"/>
        <w:rPr>
          <w:sz w:val="24"/>
          <w:lang w:val="fi-FI"/>
        </w:rPr>
      </w:pPr>
      <w:r w:rsidRPr="002E6B1B">
        <w:rPr>
          <w:rStyle w:val="FootnoteReference"/>
          <w:sz w:val="24"/>
        </w:rPr>
        <w:footnoteRef/>
      </w:r>
      <w:r w:rsidRPr="008A5F45">
        <w:rPr>
          <w:sz w:val="24"/>
          <w:lang w:val="fi-FI"/>
        </w:rPr>
        <w:t xml:space="preserve"> </w:t>
      </w:r>
      <w:r w:rsidRPr="008A5F45">
        <w:rPr>
          <w:sz w:val="24"/>
          <w:lang w:val="fi-FI"/>
        </w:rPr>
        <w:tab/>
        <w:t xml:space="preserve">Ú. v. EÚ C, C/2025/3151, 20.6.2025, ELI: </w:t>
      </w:r>
      <w:hyperlink r:id="rId2" w:history="1">
        <w:r w:rsidRPr="008A5F45">
          <w:rPr>
            <w:rStyle w:val="Hyperlink"/>
            <w:sz w:val="24"/>
            <w:lang w:val="fi-FI"/>
          </w:rPr>
          <w:t>http://data.europa.eu/eli/C/2025/3151/oj</w:t>
        </w:r>
      </w:hyperlink>
      <w:r w:rsidRPr="008A5F45">
        <w:rPr>
          <w:sz w:val="24"/>
          <w:lang w:val="fi-FI"/>
        </w:rPr>
        <w:t>.</w:t>
      </w:r>
    </w:p>
  </w:footnote>
  <w:footnote w:id="3">
    <w:p w14:paraId="222FBD94" w14:textId="77777777" w:rsidR="008A5F45" w:rsidRPr="008A5F45" w:rsidRDefault="008A5F45" w:rsidP="008A5F45">
      <w:pPr>
        <w:pStyle w:val="FootnoteText"/>
        <w:ind w:left="567" w:hanging="567"/>
        <w:rPr>
          <w:sz w:val="24"/>
          <w:lang w:val="fi-FI"/>
        </w:rPr>
      </w:pPr>
      <w:r w:rsidRPr="002E6B1B">
        <w:rPr>
          <w:rStyle w:val="FootnoteReference"/>
          <w:sz w:val="24"/>
        </w:rPr>
        <w:footnoteRef/>
      </w:r>
      <w:r w:rsidRPr="008A5F45">
        <w:rPr>
          <w:sz w:val="24"/>
          <w:lang w:val="fi-FI"/>
        </w:rPr>
        <w:t xml:space="preserve"> </w:t>
      </w:r>
      <w:r w:rsidRPr="008A5F45">
        <w:rPr>
          <w:sz w:val="24"/>
          <w:lang w:val="fi-FI"/>
        </w:rPr>
        <w:tab/>
        <w:t xml:space="preserve">Smernica Európskeho parlamentu a Rady (EÚ) 2024/1712 z 13. júna 2024, ktorou sa mení smernica 2011/36/EÚ o prevencii obchodovania s ľuďmi a boji proti nemu a o ochrane obetí obchodovania (Ú. v. EÚ L, 2024/1712, 24.6.2024, ELI: </w:t>
      </w:r>
      <w:hyperlink r:id="rId3" w:history="1">
        <w:r w:rsidRPr="008A5F45">
          <w:rPr>
            <w:rStyle w:val="Hyperlink"/>
            <w:sz w:val="24"/>
            <w:lang w:val="fi-FI"/>
          </w:rPr>
          <w:t>http://data.europa.eu/eli/dir/2024/1712/oj</w:t>
        </w:r>
      </w:hyperlink>
      <w:r w:rsidRPr="008A5F45">
        <w:rPr>
          <w:sz w:val="24"/>
          <w:lang w:val="fi-FI"/>
        </w:rPr>
        <w:t>).</w:t>
      </w:r>
    </w:p>
  </w:footnote>
  <w:footnote w:id="4">
    <w:p w14:paraId="1C88A48B" w14:textId="77777777" w:rsidR="008A5F45" w:rsidRPr="008A5F45" w:rsidRDefault="008A5F45" w:rsidP="008A5F45">
      <w:pPr>
        <w:pStyle w:val="FootnoteText"/>
        <w:ind w:left="567" w:hanging="567"/>
        <w:rPr>
          <w:sz w:val="24"/>
          <w:lang w:val="fi-FI"/>
        </w:rPr>
      </w:pPr>
      <w:r w:rsidRPr="002E6B1B">
        <w:rPr>
          <w:rStyle w:val="FootnoteReference"/>
          <w:sz w:val="24"/>
        </w:rPr>
        <w:footnoteRef/>
      </w:r>
      <w:r w:rsidRPr="008A5F45">
        <w:rPr>
          <w:sz w:val="24"/>
          <w:lang w:val="fi-FI"/>
        </w:rPr>
        <w:t xml:space="preserve"> </w:t>
      </w:r>
      <w:r w:rsidRPr="008A5F45">
        <w:rPr>
          <w:sz w:val="24"/>
          <w:lang w:val="fi-FI"/>
        </w:rPr>
        <w:tab/>
        <w:t>Spoločné oznámenie Komisie a vysokého predstaviteľa Únie pre zahraničné veci a bezpečnostnú politiku z 28. mája 2025 s názvom Strategický prístup Európskej únie k čiernomorskému regiónu (JOIN(2025)0135).</w:t>
      </w:r>
    </w:p>
  </w:footnote>
  <w:footnote w:id="5">
    <w:p w14:paraId="411D30CD" w14:textId="77777777" w:rsidR="008A5F45" w:rsidRPr="008A5F45" w:rsidRDefault="008A5F45" w:rsidP="008A5F45">
      <w:pPr>
        <w:pStyle w:val="FootnoteText"/>
        <w:ind w:left="567" w:hanging="567"/>
        <w:rPr>
          <w:sz w:val="24"/>
          <w:lang w:val="fi-FI"/>
        </w:rPr>
      </w:pPr>
      <w:r w:rsidRPr="002E6B1B">
        <w:rPr>
          <w:rStyle w:val="FootnoteReference"/>
          <w:sz w:val="24"/>
        </w:rPr>
        <w:footnoteRef/>
      </w:r>
      <w:r w:rsidRPr="008A5F45">
        <w:rPr>
          <w:sz w:val="24"/>
          <w:lang w:val="fi-FI"/>
        </w:rPr>
        <w:t xml:space="preserve"> </w:t>
      </w:r>
      <w:r w:rsidRPr="008A5F45">
        <w:rPr>
          <w:sz w:val="24"/>
          <w:lang w:val="fi-FI"/>
        </w:rPr>
        <w:tab/>
        <w:t xml:space="preserve">Smernica Európskeho parlamentu a Rady 2000/60/ES z 23. októbra 2000, ktorou sa stanovuje rámec pôsobnosti pre opatrenia Spoločenstva v oblasti vodného hospodárstva (Ú. v. ES L 327, 22.12.2000, s. 1, ELI: </w:t>
      </w:r>
      <w:hyperlink r:id="rId4" w:history="1">
        <w:r w:rsidRPr="008A5F45">
          <w:rPr>
            <w:rStyle w:val="Hyperlink"/>
            <w:sz w:val="24"/>
            <w:lang w:val="fi-FI"/>
          </w:rPr>
          <w:t>http://data.europa.eu/eli/dir/2000/60/oj</w:t>
        </w:r>
      </w:hyperlink>
      <w:r w:rsidRPr="008A5F45">
        <w:rPr>
          <w:sz w:val="24"/>
          <w:lang w:val="fi-FI"/>
        </w:rPr>
        <w:t>).</w:t>
      </w:r>
    </w:p>
  </w:footnote>
  <w:footnote w:id="6">
    <w:p w14:paraId="17E60D2E" w14:textId="21EE3B70" w:rsidR="008A5F45" w:rsidRPr="008A5F45" w:rsidRDefault="008A5F45" w:rsidP="008A5F45">
      <w:pPr>
        <w:pStyle w:val="FootnoteText"/>
        <w:ind w:left="567" w:hanging="567"/>
        <w:rPr>
          <w:sz w:val="24"/>
          <w:lang w:val="fi-FI"/>
        </w:rPr>
      </w:pPr>
      <w:r w:rsidRPr="002E6B1B">
        <w:rPr>
          <w:rStyle w:val="FootnoteReference"/>
          <w:sz w:val="24"/>
        </w:rPr>
        <w:footnoteRef/>
      </w:r>
      <w:r w:rsidRPr="008A5F45">
        <w:rPr>
          <w:sz w:val="24"/>
          <w:lang w:val="fi-FI"/>
        </w:rPr>
        <w:t xml:space="preserve"> </w:t>
      </w:r>
      <w:r w:rsidRPr="008A5F45">
        <w:rPr>
          <w:sz w:val="24"/>
          <w:lang w:val="fi-FI"/>
        </w:rPr>
        <w:tab/>
        <w:t xml:space="preserve">Smernica Európskeho parlamentu a Rady 2006/21/ES z 15. marca 2006 o nakladaní s odpadom z ťažobného priemyslu, ktorou sa mení smernica 2004/35/ES (Ú. v. EÚ L 102, 11.4.2006, </w:t>
      </w:r>
      <w:r w:rsidR="00A36F84">
        <w:rPr>
          <w:sz w:val="24"/>
          <w:lang w:val="fi-FI"/>
        </w:rPr>
        <w:t>s</w:t>
      </w:r>
      <w:r w:rsidRPr="008A5F45">
        <w:rPr>
          <w:sz w:val="24"/>
          <w:lang w:val="fi-FI"/>
        </w:rPr>
        <w:t xml:space="preserve">. 15, ELI: </w:t>
      </w:r>
      <w:hyperlink r:id="rId5" w:history="1">
        <w:r w:rsidRPr="008A5F45">
          <w:rPr>
            <w:rStyle w:val="Hyperlink"/>
            <w:sz w:val="24"/>
            <w:lang w:val="fi-FI"/>
          </w:rPr>
          <w:t>http://data.europa.eu/eli/dir/2006/21/oj</w:t>
        </w:r>
      </w:hyperlink>
      <w:r w:rsidRPr="008A5F45">
        <w:rPr>
          <w:sz w:val="24"/>
          <w:lang w:val="fi-FI"/>
        </w:rPr>
        <w:t>).</w:t>
      </w:r>
    </w:p>
  </w:footnote>
  <w:footnote w:id="7">
    <w:p w14:paraId="6F9455FB" w14:textId="77777777" w:rsidR="008A5F45" w:rsidRPr="008A5F45" w:rsidRDefault="008A5F45" w:rsidP="008A5F45">
      <w:pPr>
        <w:pStyle w:val="FootnoteText"/>
        <w:ind w:left="567" w:hanging="567"/>
        <w:rPr>
          <w:sz w:val="24"/>
          <w:lang w:val="fi-FI"/>
        </w:rPr>
      </w:pPr>
      <w:r w:rsidRPr="002E6B1B">
        <w:rPr>
          <w:rStyle w:val="FootnoteReference"/>
          <w:sz w:val="24"/>
        </w:rPr>
        <w:footnoteRef/>
      </w:r>
      <w:r w:rsidRPr="008A5F45">
        <w:rPr>
          <w:sz w:val="24"/>
          <w:lang w:val="fi-FI"/>
        </w:rPr>
        <w:t xml:space="preserve"> </w:t>
      </w:r>
      <w:r w:rsidRPr="008A5F45">
        <w:rPr>
          <w:sz w:val="24"/>
          <w:lang w:val="fi-FI"/>
        </w:rPr>
        <w:tab/>
        <w:t xml:space="preserve">Nariadenie Rady (ES) č. 1/2005 z 22. decembra 2004 o ochrane zvierat počas prepravy a s ňou súvisiacich činností a o zmene a doplnení smerníc 64/432/EHS a 93/119/ES a nariadenia (ES) č. 1255/97 (Ú. v. EÚ L 3, 5.1.2005, s. 1, ELI: </w:t>
      </w:r>
      <w:r w:rsidR="00A36F84">
        <w:fldChar w:fldCharType="begin"/>
      </w:r>
      <w:r w:rsidR="00A36F84" w:rsidRPr="00A36F84">
        <w:rPr>
          <w:lang w:val="fi-FI"/>
        </w:rPr>
        <w:instrText>HYPERLINK "http://data.europa.eu/eli/reg/2005/1/oj"</w:instrText>
      </w:r>
      <w:r w:rsidR="00A36F84">
        <w:fldChar w:fldCharType="separate"/>
      </w:r>
      <w:r w:rsidRPr="008A5F45">
        <w:rPr>
          <w:rStyle w:val="Hyperlink"/>
          <w:sz w:val="24"/>
          <w:lang w:val="fi-FI"/>
        </w:rPr>
        <w:t>http://data.europa.eu/eli/reg/2005/1/oj</w:t>
      </w:r>
      <w:r w:rsidR="00A36F84">
        <w:rPr>
          <w:rStyle w:val="Hyperlink"/>
          <w:sz w:val="24"/>
          <w:lang w:val="fi-FI"/>
        </w:rPr>
        <w:fldChar w:fldCharType="end"/>
      </w:r>
      <w:r w:rsidRPr="008A5F45">
        <w:rPr>
          <w:sz w:val="24"/>
          <w:lang w:val="fi-FI"/>
        </w:rPr>
        <w:t>).</w:t>
      </w:r>
    </w:p>
  </w:footnote>
  <w:footnote w:id="8">
    <w:p w14:paraId="28B367D6" w14:textId="77777777" w:rsidR="008A5F45" w:rsidRPr="008A5F45" w:rsidRDefault="008A5F45" w:rsidP="008A5F45">
      <w:pPr>
        <w:pStyle w:val="FootnoteText"/>
        <w:ind w:left="567" w:hanging="567"/>
        <w:rPr>
          <w:sz w:val="24"/>
          <w:lang w:val="fi-FI"/>
        </w:rPr>
      </w:pPr>
      <w:r w:rsidRPr="002E6B1B">
        <w:rPr>
          <w:rStyle w:val="FootnoteReference"/>
          <w:sz w:val="24"/>
        </w:rPr>
        <w:footnoteRef/>
      </w:r>
      <w:r w:rsidRPr="008A5F45">
        <w:rPr>
          <w:sz w:val="24"/>
          <w:lang w:val="fi-FI"/>
        </w:rPr>
        <w:t xml:space="preserve"> </w:t>
      </w:r>
      <w:r w:rsidRPr="008A5F45">
        <w:rPr>
          <w:sz w:val="24"/>
          <w:lang w:val="fi-FI"/>
        </w:rPr>
        <w:tab/>
        <w:t xml:space="preserve">Smernica Európskeho parlamentu a Rady (EÚ) 2023/2413 z 18. októbra 2023, ktorou sa mení smernica (EÚ) 2018/2001, nariadenie (EÚ) 2018/1999 a smernica 98/70/ES, pokiaľ ide o podporu energie z obnoviteľných zdrojov, a ktorou sa zrušuje smernica Rady (EÚ) 2015/652 (Ú. v. EÚ L, 2023/2413, 31.10.2023, ELI: </w:t>
      </w:r>
      <w:r w:rsidR="00A36F84">
        <w:fldChar w:fldCharType="begin"/>
      </w:r>
      <w:r w:rsidR="00A36F84" w:rsidRPr="00A36F84">
        <w:rPr>
          <w:lang w:val="fi-FI"/>
        </w:rPr>
        <w:instrText>HYPERLINK "http://data.europa.eu/eli/dir/2023/2413/oj"</w:instrText>
      </w:r>
      <w:r w:rsidR="00A36F84">
        <w:fldChar w:fldCharType="separate"/>
      </w:r>
      <w:r w:rsidRPr="008A5F45">
        <w:rPr>
          <w:rStyle w:val="Hyperlink"/>
          <w:sz w:val="24"/>
          <w:lang w:val="fi-FI"/>
        </w:rPr>
        <w:t>http://data.europa.eu/eli/dir/2023/2413/oj</w:t>
      </w:r>
      <w:r w:rsidR="00A36F84">
        <w:rPr>
          <w:rStyle w:val="Hyperlink"/>
          <w:sz w:val="24"/>
          <w:lang w:val="fi-FI"/>
        </w:rPr>
        <w:fldChar w:fldCharType="end"/>
      </w:r>
      <w:r w:rsidRPr="008A5F45">
        <w:rPr>
          <w:sz w:val="24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2C09B" w14:textId="77777777" w:rsidR="00064002" w:rsidRPr="002E6B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7F8AA" w14:textId="77777777" w:rsidR="00064002" w:rsidRPr="002E6B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719C4" w14:textId="77777777" w:rsidR="00064002" w:rsidRPr="002E6B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0981559">
    <w:abstractNumId w:val="9"/>
  </w:num>
  <w:num w:numId="2" w16cid:durableId="1467890656">
    <w:abstractNumId w:val="9"/>
  </w:num>
  <w:num w:numId="3" w16cid:durableId="953243575">
    <w:abstractNumId w:val="7"/>
  </w:num>
  <w:num w:numId="4" w16cid:durableId="362899698">
    <w:abstractNumId w:val="7"/>
  </w:num>
  <w:num w:numId="5" w16cid:durableId="1527253700">
    <w:abstractNumId w:val="6"/>
  </w:num>
  <w:num w:numId="6" w16cid:durableId="927998975">
    <w:abstractNumId w:val="6"/>
  </w:num>
  <w:num w:numId="7" w16cid:durableId="828669182">
    <w:abstractNumId w:val="5"/>
  </w:num>
  <w:num w:numId="8" w16cid:durableId="1996762955">
    <w:abstractNumId w:val="5"/>
  </w:num>
  <w:num w:numId="9" w16cid:durableId="706174974">
    <w:abstractNumId w:val="4"/>
  </w:num>
  <w:num w:numId="10" w16cid:durableId="653487978">
    <w:abstractNumId w:val="4"/>
  </w:num>
  <w:num w:numId="11" w16cid:durableId="718865575">
    <w:abstractNumId w:val="8"/>
  </w:num>
  <w:num w:numId="12" w16cid:durableId="1197230848">
    <w:abstractNumId w:val="8"/>
  </w:num>
  <w:num w:numId="13" w16cid:durableId="196704678">
    <w:abstractNumId w:val="3"/>
  </w:num>
  <w:num w:numId="14" w16cid:durableId="436484538">
    <w:abstractNumId w:val="3"/>
  </w:num>
  <w:num w:numId="15" w16cid:durableId="780032237">
    <w:abstractNumId w:val="2"/>
  </w:num>
  <w:num w:numId="16" w16cid:durableId="960840626">
    <w:abstractNumId w:val="2"/>
  </w:num>
  <w:num w:numId="17" w16cid:durableId="1158502070">
    <w:abstractNumId w:val="1"/>
  </w:num>
  <w:num w:numId="18" w16cid:durableId="717046051">
    <w:abstractNumId w:val="1"/>
  </w:num>
  <w:num w:numId="19" w16cid:durableId="2098675851">
    <w:abstractNumId w:val="0"/>
  </w:num>
  <w:num w:numId="20" w16cid:durableId="1140152733">
    <w:abstractNumId w:val="0"/>
  </w:num>
  <w:num w:numId="21" w16cid:durableId="1029336687">
    <w:abstractNumId w:val="9"/>
  </w:num>
  <w:num w:numId="22" w16cid:durableId="703597631">
    <w:abstractNumId w:val="7"/>
  </w:num>
  <w:num w:numId="23" w16cid:durableId="295768202">
    <w:abstractNumId w:val="6"/>
  </w:num>
  <w:num w:numId="24" w16cid:durableId="1028028216">
    <w:abstractNumId w:val="5"/>
  </w:num>
  <w:num w:numId="25" w16cid:durableId="1998799642">
    <w:abstractNumId w:val="4"/>
  </w:num>
  <w:num w:numId="26" w16cid:durableId="865213749">
    <w:abstractNumId w:val="8"/>
  </w:num>
  <w:num w:numId="27" w16cid:durableId="97868296">
    <w:abstractNumId w:val="3"/>
  </w:num>
  <w:num w:numId="28" w16cid:durableId="1074013223">
    <w:abstractNumId w:val="2"/>
  </w:num>
  <w:num w:numId="29" w16cid:durableId="993021751">
    <w:abstractNumId w:val="1"/>
  </w:num>
  <w:num w:numId="30" w16cid:durableId="1903639096">
    <w:abstractNumId w:val="0"/>
  </w:num>
  <w:num w:numId="31" w16cid:durableId="898783025">
    <w:abstractNumId w:val="9"/>
  </w:num>
  <w:num w:numId="32" w16cid:durableId="1487697787">
    <w:abstractNumId w:val="7"/>
  </w:num>
  <w:num w:numId="33" w16cid:durableId="2090076158">
    <w:abstractNumId w:val="6"/>
  </w:num>
  <w:num w:numId="34" w16cid:durableId="1710104235">
    <w:abstractNumId w:val="5"/>
  </w:num>
  <w:num w:numId="35" w16cid:durableId="1143960011">
    <w:abstractNumId w:val="4"/>
  </w:num>
  <w:num w:numId="36" w16cid:durableId="1869905083">
    <w:abstractNumId w:val="8"/>
  </w:num>
  <w:num w:numId="37" w16cid:durableId="1511525284">
    <w:abstractNumId w:val="3"/>
  </w:num>
  <w:num w:numId="38" w16cid:durableId="215818745">
    <w:abstractNumId w:val="2"/>
  </w:num>
  <w:num w:numId="39" w16cid:durableId="1657149283">
    <w:abstractNumId w:val="1"/>
  </w:num>
  <w:num w:numId="40" w16cid:durableId="982350063">
    <w:abstractNumId w:val="0"/>
  </w:num>
  <w:num w:numId="41" w16cid:durableId="583806579">
    <w:abstractNumId w:val="10"/>
  </w:num>
  <w:num w:numId="42" w16cid:durableId="1339503003">
    <w:abstractNumId w:val="10"/>
  </w:num>
  <w:num w:numId="43" w16cid:durableId="1784031008">
    <w:abstractNumId w:val="10"/>
  </w:num>
  <w:num w:numId="44" w16cid:durableId="20497943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4/2025"/>
    <w:docVar w:name="dvlangue" w:val="SK"/>
    <w:docVar w:name="dvnumam" w:val="0"/>
    <w:docVar w:name="dvpe" w:val="769.901"/>
    <w:docVar w:name="dvrapporteur" w:val="Spravodajca: "/>
    <w:docVar w:name="dvtitre" w:val="Uznesenie Európskeho parlamentu z xx. septembra 2025 o správach Komisie o Ukrajine za roky 2023 a 2024(2025/2026(INI))"/>
  </w:docVars>
  <w:rsids>
    <w:rsidRoot w:val="002056EF"/>
    <w:rsid w:val="00002272"/>
    <w:rsid w:val="00010BF3"/>
    <w:rsid w:val="00064002"/>
    <w:rsid w:val="000677B9"/>
    <w:rsid w:val="000831BA"/>
    <w:rsid w:val="000A42CC"/>
    <w:rsid w:val="000E7DD9"/>
    <w:rsid w:val="0010095E"/>
    <w:rsid w:val="00104221"/>
    <w:rsid w:val="00125B37"/>
    <w:rsid w:val="00177E5B"/>
    <w:rsid w:val="00187494"/>
    <w:rsid w:val="001F32AE"/>
    <w:rsid w:val="001F597F"/>
    <w:rsid w:val="0020007F"/>
    <w:rsid w:val="002056EF"/>
    <w:rsid w:val="002767FF"/>
    <w:rsid w:val="002B18FE"/>
    <w:rsid w:val="002B5493"/>
    <w:rsid w:val="002B5E2A"/>
    <w:rsid w:val="002E6B1B"/>
    <w:rsid w:val="00314F02"/>
    <w:rsid w:val="00315FB9"/>
    <w:rsid w:val="00332771"/>
    <w:rsid w:val="00343214"/>
    <w:rsid w:val="00361C00"/>
    <w:rsid w:val="00395FA1"/>
    <w:rsid w:val="003D09FA"/>
    <w:rsid w:val="003E15D4"/>
    <w:rsid w:val="00411CCE"/>
    <w:rsid w:val="0041666E"/>
    <w:rsid w:val="00421060"/>
    <w:rsid w:val="00471C19"/>
    <w:rsid w:val="004867E3"/>
    <w:rsid w:val="00494A28"/>
    <w:rsid w:val="004B2C98"/>
    <w:rsid w:val="004C0004"/>
    <w:rsid w:val="004C5D52"/>
    <w:rsid w:val="0050519A"/>
    <w:rsid w:val="005072A1"/>
    <w:rsid w:val="00514517"/>
    <w:rsid w:val="005159F1"/>
    <w:rsid w:val="00545827"/>
    <w:rsid w:val="00560270"/>
    <w:rsid w:val="005633B9"/>
    <w:rsid w:val="005C2568"/>
    <w:rsid w:val="005F1B17"/>
    <w:rsid w:val="005F5751"/>
    <w:rsid w:val="006037C0"/>
    <w:rsid w:val="006631B6"/>
    <w:rsid w:val="00675720"/>
    <w:rsid w:val="00680577"/>
    <w:rsid w:val="006B43C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F45"/>
    <w:rsid w:val="008A7892"/>
    <w:rsid w:val="008C2AC6"/>
    <w:rsid w:val="0091513B"/>
    <w:rsid w:val="009168D7"/>
    <w:rsid w:val="00930C23"/>
    <w:rsid w:val="0093193B"/>
    <w:rsid w:val="009509D8"/>
    <w:rsid w:val="00950B64"/>
    <w:rsid w:val="00981893"/>
    <w:rsid w:val="009F644C"/>
    <w:rsid w:val="00A1687D"/>
    <w:rsid w:val="00A21783"/>
    <w:rsid w:val="00A36F84"/>
    <w:rsid w:val="00A37436"/>
    <w:rsid w:val="00A43E52"/>
    <w:rsid w:val="00A4678D"/>
    <w:rsid w:val="00A778C7"/>
    <w:rsid w:val="00A8613F"/>
    <w:rsid w:val="00AB441E"/>
    <w:rsid w:val="00AB6293"/>
    <w:rsid w:val="00AE0928"/>
    <w:rsid w:val="00AF3B82"/>
    <w:rsid w:val="00B12E95"/>
    <w:rsid w:val="00B22876"/>
    <w:rsid w:val="00B558F0"/>
    <w:rsid w:val="00BA19E0"/>
    <w:rsid w:val="00BB2553"/>
    <w:rsid w:val="00BD48FE"/>
    <w:rsid w:val="00BD7BD8"/>
    <w:rsid w:val="00BE6ADC"/>
    <w:rsid w:val="00C05BFE"/>
    <w:rsid w:val="00C07459"/>
    <w:rsid w:val="00C23CD4"/>
    <w:rsid w:val="00C26E99"/>
    <w:rsid w:val="00C61C0C"/>
    <w:rsid w:val="00C62E24"/>
    <w:rsid w:val="00C82C22"/>
    <w:rsid w:val="00C941CB"/>
    <w:rsid w:val="00CC2357"/>
    <w:rsid w:val="00CF071A"/>
    <w:rsid w:val="00D058B8"/>
    <w:rsid w:val="00D358B3"/>
    <w:rsid w:val="00D415B5"/>
    <w:rsid w:val="00D56C11"/>
    <w:rsid w:val="00D834A0"/>
    <w:rsid w:val="00D872DF"/>
    <w:rsid w:val="00D91E21"/>
    <w:rsid w:val="00D93C62"/>
    <w:rsid w:val="00DA7FCD"/>
    <w:rsid w:val="00DC05D1"/>
    <w:rsid w:val="00E365E1"/>
    <w:rsid w:val="00E820A4"/>
    <w:rsid w:val="00EB006A"/>
    <w:rsid w:val="00EB444B"/>
    <w:rsid w:val="00EB4772"/>
    <w:rsid w:val="00ED169E"/>
    <w:rsid w:val="00ED4235"/>
    <w:rsid w:val="00EE75E6"/>
    <w:rsid w:val="00F000CE"/>
    <w:rsid w:val="00F04346"/>
    <w:rsid w:val="00F075DC"/>
    <w:rsid w:val="00F149E9"/>
    <w:rsid w:val="00F44330"/>
    <w:rsid w:val="00F5134D"/>
    <w:rsid w:val="00F74202"/>
    <w:rsid w:val="00F87713"/>
    <w:rsid w:val="00FB4360"/>
    <w:rsid w:val="00FD0C70"/>
    <w:rsid w:val="00FE3E2A"/>
    <w:rsid w:val="00FF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009AC"/>
  <w15:chartTrackingRefBased/>
  <w15:docId w15:val="{8ED478F6-F530-4757-9E04-00A5E79B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F597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1F597F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1F597F"/>
    <w:pPr>
      <w:spacing w:after="240"/>
      <w:jc w:val="center"/>
    </w:pPr>
  </w:style>
  <w:style w:type="character" w:customStyle="1" w:styleId="BoldItalic">
    <w:name w:val="BoldItalic"/>
    <w:uiPriority w:val="1"/>
    <w:rsid w:val="001F597F"/>
    <w:rPr>
      <w:b/>
      <w:i/>
      <w:u w:val="none"/>
    </w:rPr>
  </w:style>
  <w:style w:type="character" w:customStyle="1" w:styleId="Italic">
    <w:name w:val="Italic"/>
    <w:uiPriority w:val="1"/>
    <w:rsid w:val="001F597F"/>
    <w:rPr>
      <w:i/>
    </w:rPr>
  </w:style>
  <w:style w:type="paragraph" w:customStyle="1" w:styleId="Normal12a24b">
    <w:name w:val="Normal12a24b"/>
    <w:basedOn w:val="Normal"/>
    <w:rsid w:val="001F597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1F597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F597F"/>
    <w:rPr>
      <w:b/>
      <w:bCs/>
    </w:rPr>
  </w:style>
  <w:style w:type="paragraph" w:styleId="NormalWeb">
    <w:name w:val="Normal (Web)"/>
    <w:basedOn w:val="Normal"/>
    <w:uiPriority w:val="99"/>
    <w:unhideWhenUsed/>
    <w:rsid w:val="001F597F"/>
    <w:pPr>
      <w:widowControl/>
      <w:spacing w:before="100" w:beforeAutospacing="1" w:after="100" w:afterAutospacing="1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1F597F"/>
    <w:rPr>
      <w:snapToGrid w:val="0"/>
      <w:sz w:val="24"/>
      <w:lang w:val="sk-SK" w:eastAsia="en-US"/>
    </w:rPr>
  </w:style>
  <w:style w:type="paragraph" w:styleId="Revision">
    <w:name w:val="Revision"/>
    <w:hidden/>
    <w:uiPriority w:val="99"/>
    <w:semiHidden/>
    <w:rsid w:val="00D415B5"/>
    <w:rPr>
      <w:sz w:val="24"/>
      <w:lang w:val="sk-SK"/>
    </w:rPr>
  </w:style>
  <w:style w:type="character" w:styleId="CommentReference">
    <w:name w:val="annotation reference"/>
    <w:basedOn w:val="DefaultParagraphFont"/>
    <w:rsid w:val="00010B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0BF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0BF3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010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10BF3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12/oj" TargetMode="External"/><Relationship Id="rId2" Type="http://schemas.openxmlformats.org/officeDocument/2006/relationships/hyperlink" Target="http://data.europa.eu/eli/C/2025/3151/oj" TargetMode="External"/><Relationship Id="rId1" Type="http://schemas.openxmlformats.org/officeDocument/2006/relationships/hyperlink" Target="http://data.europa.eu/eli/reg/2024/792/oj" TargetMode="External"/><Relationship Id="rId5" Type="http://schemas.openxmlformats.org/officeDocument/2006/relationships/hyperlink" Target="http://data.europa.eu/eli/dir/2006/21/oj" TargetMode="External"/><Relationship Id="rId4" Type="http://schemas.openxmlformats.org/officeDocument/2006/relationships/hyperlink" Target="http://data.europa.eu/eli/dir/2000/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11537</Words>
  <Characters>65763</Characters>
  <Application>Microsoft Office Word</Application>
  <DocSecurity>0</DocSecurity>
  <Lines>548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2025-10-24T09:35:00Z</dcterms:created>
  <dcterms:modified xsi:type="dcterms:W3CDTF">2025-10-24T09:35:00Z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P10_TA(2025)0175_</vt:lpwstr>
  </property>
  <property fmtid="{D5CDD505-2E9C-101B-9397-08002B2CF9AE}" pid="4" name="&lt;Type&gt;">
    <vt:lpwstr>RR</vt:lpwstr>
  </property>
</Properties>
</file>