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E5C2E" w14:paraId="67A59175" w14:textId="77777777" w:rsidTr="0010095E">
        <w:trPr>
          <w:trHeight w:hRule="exact" w:val="1418"/>
        </w:trPr>
        <w:tc>
          <w:tcPr>
            <w:tcW w:w="6804" w:type="dxa"/>
            <w:shd w:val="clear" w:color="auto" w:fill="auto"/>
            <w:vAlign w:val="center"/>
          </w:tcPr>
          <w:p w14:paraId="6F672C2E" w14:textId="77777777" w:rsidR="00751A4A" w:rsidRPr="001E5C2E" w:rsidRDefault="00FB7125" w:rsidP="0010095E">
            <w:pPr>
              <w:pStyle w:val="EPName"/>
            </w:pPr>
            <w:r w:rsidRPr="001E5C2E">
              <w:t>Evropski parlament</w:t>
            </w:r>
          </w:p>
          <w:p w14:paraId="6416CA83" w14:textId="77777777" w:rsidR="00751A4A" w:rsidRPr="001E5C2E" w:rsidRDefault="005F1B17" w:rsidP="005F1B17">
            <w:pPr>
              <w:pStyle w:val="EPTerm"/>
              <w:rPr>
                <w:rStyle w:val="HideTWBExt"/>
                <w:noProof w:val="0"/>
                <w:vanish w:val="0"/>
                <w:color w:val="auto"/>
              </w:rPr>
            </w:pPr>
            <w:r w:rsidRPr="001E5C2E">
              <w:t>2024</w:t>
            </w:r>
            <w:r w:rsidR="00817416" w:rsidRPr="001E5C2E">
              <w:t>-202</w:t>
            </w:r>
            <w:r w:rsidRPr="001E5C2E">
              <w:t>9</w:t>
            </w:r>
          </w:p>
        </w:tc>
        <w:tc>
          <w:tcPr>
            <w:tcW w:w="2268" w:type="dxa"/>
            <w:shd w:val="clear" w:color="auto" w:fill="auto"/>
          </w:tcPr>
          <w:p w14:paraId="5963E06D" w14:textId="77777777" w:rsidR="00751A4A" w:rsidRPr="001E5C2E" w:rsidRDefault="00187494" w:rsidP="0010095E">
            <w:pPr>
              <w:pStyle w:val="EPLogo"/>
            </w:pPr>
            <w:r w:rsidRPr="001E5C2E">
              <w:rPr>
                <w:noProof/>
                <w:lang w:val="en-GB"/>
              </w:rPr>
              <w:drawing>
                <wp:inline distT="0" distB="0" distL="0" distR="0" wp14:anchorId="57D5BA7B" wp14:editId="3D5FD7C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5CA29DE" w14:textId="77777777" w:rsidR="00D058B8" w:rsidRPr="001E5C2E" w:rsidRDefault="00D058B8" w:rsidP="004C5D52">
      <w:pPr>
        <w:pStyle w:val="LineTop"/>
      </w:pPr>
    </w:p>
    <w:p w14:paraId="47B506DC" w14:textId="77777777" w:rsidR="00680577" w:rsidRPr="001E5C2E" w:rsidRDefault="00FB7125" w:rsidP="00680577">
      <w:pPr>
        <w:pStyle w:val="EPBodyTA1"/>
      </w:pPr>
      <w:r w:rsidRPr="001E5C2E">
        <w:t>SPREJETA BESEDILA</w:t>
      </w:r>
    </w:p>
    <w:p w14:paraId="06D4FE44" w14:textId="77777777" w:rsidR="00D058B8" w:rsidRPr="001E5C2E" w:rsidRDefault="00D058B8" w:rsidP="00D058B8">
      <w:pPr>
        <w:pStyle w:val="LineBottom"/>
      </w:pPr>
    </w:p>
    <w:p w14:paraId="342B3019" w14:textId="0DC9C8C1" w:rsidR="00FB7125" w:rsidRPr="001E5C2E" w:rsidRDefault="00FB7125" w:rsidP="00FB7125">
      <w:pPr>
        <w:pStyle w:val="ATHeading1"/>
      </w:pPr>
      <w:bookmarkStart w:id="0" w:name="TANumber"/>
      <w:r w:rsidRPr="001E5C2E">
        <w:t>P10_TA(2025)0</w:t>
      </w:r>
      <w:r w:rsidR="00E7144C" w:rsidRPr="001E5C2E">
        <w:t>175</w:t>
      </w:r>
      <w:bookmarkEnd w:id="0"/>
    </w:p>
    <w:p w14:paraId="77E10E2A" w14:textId="77777777" w:rsidR="00FB7125" w:rsidRPr="001E5C2E" w:rsidRDefault="00FB7125" w:rsidP="00FB7125">
      <w:pPr>
        <w:pStyle w:val="ATHeading2"/>
      </w:pPr>
      <w:bookmarkStart w:id="1" w:name="title"/>
      <w:r w:rsidRPr="001E5C2E">
        <w:t>Poročili o Ukrajini za leti 2023 in 2024</w:t>
      </w:r>
      <w:bookmarkEnd w:id="1"/>
    </w:p>
    <w:p w14:paraId="0FE94E5B" w14:textId="77777777" w:rsidR="00FB7125" w:rsidRPr="001E5C2E" w:rsidRDefault="00FB7125" w:rsidP="00FB7125">
      <w:pPr>
        <w:rPr>
          <w:i/>
          <w:vanish/>
        </w:rPr>
      </w:pPr>
      <w:r w:rsidRPr="001E5C2E">
        <w:rPr>
          <w:i/>
        </w:rPr>
        <w:fldChar w:fldCharType="begin"/>
      </w:r>
      <w:r w:rsidRPr="001E5C2E">
        <w:rPr>
          <w:i/>
        </w:rPr>
        <w:instrText xml:space="preserve"> TC"(</w:instrText>
      </w:r>
      <w:bookmarkStart w:id="2" w:name="DocNumber"/>
      <w:r w:rsidRPr="001E5C2E">
        <w:rPr>
          <w:i/>
        </w:rPr>
        <w:instrText>A10-0154/2025</w:instrText>
      </w:r>
      <w:bookmarkEnd w:id="2"/>
      <w:r w:rsidRPr="001E5C2E">
        <w:rPr>
          <w:i/>
        </w:rPr>
        <w:instrText xml:space="preserve"> - Poročevalec: Michael Gahler)"\l3 \n&gt; \* MERGEFORMAT </w:instrText>
      </w:r>
      <w:r w:rsidRPr="001E5C2E">
        <w:rPr>
          <w:i/>
        </w:rPr>
        <w:fldChar w:fldCharType="end"/>
      </w:r>
    </w:p>
    <w:p w14:paraId="046FBE85" w14:textId="77777777" w:rsidR="00FB7125" w:rsidRPr="001E5C2E" w:rsidRDefault="00FB7125" w:rsidP="00FB7125">
      <w:pPr>
        <w:rPr>
          <w:vanish/>
        </w:rPr>
      </w:pPr>
      <w:bookmarkStart w:id="3" w:name="Commission"/>
      <w:r w:rsidRPr="001E5C2E">
        <w:rPr>
          <w:vanish/>
        </w:rPr>
        <w:t>Odbor za zunanje zadeve</w:t>
      </w:r>
      <w:bookmarkEnd w:id="3"/>
    </w:p>
    <w:p w14:paraId="4DECB667" w14:textId="77777777" w:rsidR="00FB7125" w:rsidRPr="001E5C2E" w:rsidRDefault="00FB7125" w:rsidP="00FB7125">
      <w:pPr>
        <w:rPr>
          <w:vanish/>
        </w:rPr>
      </w:pPr>
      <w:bookmarkStart w:id="4" w:name="PE"/>
      <w:r w:rsidRPr="001E5C2E">
        <w:rPr>
          <w:vanish/>
        </w:rPr>
        <w:t>PE769.901</w:t>
      </w:r>
      <w:bookmarkEnd w:id="4"/>
    </w:p>
    <w:p w14:paraId="0D1E6F34" w14:textId="771FD9D9" w:rsidR="00FB7125" w:rsidRPr="001E5C2E" w:rsidRDefault="00FB7125" w:rsidP="00FB7125">
      <w:pPr>
        <w:pStyle w:val="ATHeading3"/>
      </w:pPr>
      <w:bookmarkStart w:id="5" w:name="Sujet"/>
      <w:r w:rsidRPr="001E5C2E">
        <w:t xml:space="preserve">Resolucija Evropskega parlamenta z dne </w:t>
      </w:r>
      <w:r w:rsidR="00E7144C" w:rsidRPr="001E5C2E">
        <w:t>9</w:t>
      </w:r>
      <w:r w:rsidRPr="001E5C2E">
        <w:t>. septembra 2025 o poročilih Komisije o Ukrajini za leti 2023 in 2024</w:t>
      </w:r>
      <w:bookmarkEnd w:id="5"/>
      <w:r w:rsidRPr="001E5C2E">
        <w:t xml:space="preserve"> </w:t>
      </w:r>
      <w:bookmarkStart w:id="6" w:name="References"/>
      <w:r w:rsidRPr="001E5C2E">
        <w:t>(2025/2026(INI))</w:t>
      </w:r>
      <w:bookmarkEnd w:id="6"/>
    </w:p>
    <w:p w14:paraId="1CB7BE08" w14:textId="77777777" w:rsidR="00A8664F" w:rsidRPr="00382100" w:rsidRDefault="00A8664F" w:rsidP="00A8664F">
      <w:pPr>
        <w:spacing w:before="480" w:after="240"/>
        <w:rPr>
          <w:snapToGrid w:val="0"/>
          <w:lang w:eastAsia="en-US"/>
        </w:rPr>
      </w:pPr>
      <w:r w:rsidRPr="00382100">
        <w:rPr>
          <w:i/>
          <w:snapToGrid w:val="0"/>
          <w:lang w:eastAsia="en-US"/>
        </w:rPr>
        <w:t>Evropski parlament</w:t>
      </w:r>
      <w:r w:rsidRPr="00382100">
        <w:rPr>
          <w:snapToGrid w:val="0"/>
          <w:lang w:eastAsia="en-US"/>
        </w:rPr>
        <w:t>,</w:t>
      </w:r>
    </w:p>
    <w:p w14:paraId="5001E723" w14:textId="77777777" w:rsidR="00A8664F" w:rsidRPr="00382100" w:rsidRDefault="00A8664F" w:rsidP="00A8664F">
      <w:pPr>
        <w:widowControl/>
        <w:spacing w:after="240"/>
        <w:ind w:left="567" w:hanging="567"/>
        <w:rPr>
          <w:snapToGrid w:val="0"/>
          <w:lang w:eastAsia="en-US"/>
        </w:rPr>
      </w:pPr>
      <w:r w:rsidRPr="00382100">
        <w:rPr>
          <w:snapToGrid w:val="0"/>
          <w:lang w:eastAsia="en-US"/>
        </w:rPr>
        <w:t>–</w:t>
      </w:r>
      <w:r w:rsidRPr="00382100">
        <w:rPr>
          <w:snapToGrid w:val="0"/>
          <w:lang w:eastAsia="en-US"/>
        </w:rPr>
        <w:tab/>
        <w:t>ob upoštevanju svojih prejšnjih resolucij o Ukrajini,</w:t>
      </w:r>
    </w:p>
    <w:p w14:paraId="740D0653" w14:textId="5C934549" w:rsidR="00A8664F" w:rsidRPr="00382100" w:rsidRDefault="00A8664F" w:rsidP="00A8664F">
      <w:pPr>
        <w:widowControl/>
        <w:spacing w:after="240"/>
        <w:ind w:left="567" w:hanging="567"/>
        <w:rPr>
          <w:snapToGrid w:val="0"/>
          <w:lang w:eastAsia="en-US"/>
        </w:rPr>
      </w:pPr>
      <w:r w:rsidRPr="00382100">
        <w:rPr>
          <w:snapToGrid w:val="0"/>
          <w:lang w:eastAsia="en-US"/>
        </w:rPr>
        <w:t>–</w:t>
      </w:r>
      <w:r w:rsidRPr="00382100">
        <w:rPr>
          <w:snapToGrid w:val="0"/>
          <w:lang w:eastAsia="en-US"/>
        </w:rPr>
        <w:tab/>
        <w:t>ob upoštevanju delovnega dokumenta služb Komisije z naslovom „</w:t>
      </w:r>
      <w:proofErr w:type="spellStart"/>
      <w:r w:rsidRPr="00382100">
        <w:rPr>
          <w:snapToGrid w:val="0"/>
          <w:lang w:eastAsia="en-US"/>
        </w:rPr>
        <w:t>Ukraine</w:t>
      </w:r>
      <w:proofErr w:type="spellEnd"/>
      <w:r w:rsidRPr="00382100">
        <w:rPr>
          <w:snapToGrid w:val="0"/>
          <w:lang w:eastAsia="en-US"/>
        </w:rPr>
        <w:t xml:space="preserve"> 2024 </w:t>
      </w:r>
      <w:proofErr w:type="spellStart"/>
      <w:r w:rsidRPr="00382100">
        <w:rPr>
          <w:snapToGrid w:val="0"/>
          <w:lang w:eastAsia="en-US"/>
        </w:rPr>
        <w:t>Report</w:t>
      </w:r>
      <w:proofErr w:type="spellEnd"/>
      <w:r w:rsidRPr="00382100">
        <w:rPr>
          <w:snapToGrid w:val="0"/>
          <w:lang w:eastAsia="en-US"/>
        </w:rPr>
        <w:t xml:space="preserve"> (Poročilo o Ukrajini za leto 2024)“ (SWD</w:t>
      </w:r>
      <w:proofErr w:type="gramStart"/>
      <w:r w:rsidRPr="00382100">
        <w:rPr>
          <w:snapToGrid w:val="0"/>
          <w:lang w:eastAsia="en-US"/>
        </w:rPr>
        <w:t>(</w:t>
      </w:r>
      <w:proofErr w:type="gramEnd"/>
      <w:r w:rsidRPr="00382100">
        <w:rPr>
          <w:snapToGrid w:val="0"/>
          <w:lang w:eastAsia="en-US"/>
        </w:rPr>
        <w:t>202</w:t>
      </w:r>
      <w:r w:rsidR="00332BB8">
        <w:rPr>
          <w:snapToGrid w:val="0"/>
          <w:lang w:eastAsia="en-US"/>
        </w:rPr>
        <w:t>4</w:t>
      </w:r>
      <w:r w:rsidRPr="00382100">
        <w:rPr>
          <w:snapToGrid w:val="0"/>
          <w:lang w:eastAsia="en-US"/>
        </w:rPr>
        <w:t>)0699), ki je priložen Sporočilu Komisije o širitveni politiki EU iz leta 2024 (COM(2024)0690),</w:t>
      </w:r>
    </w:p>
    <w:p w14:paraId="32B88B79" w14:textId="6201EAED" w:rsidR="00A8664F" w:rsidRPr="00382100" w:rsidRDefault="00A8664F" w:rsidP="00A8664F">
      <w:pPr>
        <w:widowControl/>
        <w:spacing w:after="240"/>
        <w:ind w:left="567" w:hanging="567"/>
        <w:rPr>
          <w:szCs w:val="24"/>
        </w:rPr>
      </w:pPr>
      <w:r w:rsidRPr="00382100">
        <w:rPr>
          <w:szCs w:val="24"/>
        </w:rPr>
        <w:t>–</w:t>
      </w:r>
      <w:r w:rsidRPr="00382100">
        <w:rPr>
          <w:szCs w:val="24"/>
        </w:rPr>
        <w:tab/>
        <w:t>ob upoštevanju delovnega dokumenta služb Komisije z naslovom „</w:t>
      </w:r>
      <w:proofErr w:type="spellStart"/>
      <w:r w:rsidRPr="00382100">
        <w:rPr>
          <w:szCs w:val="24"/>
        </w:rPr>
        <w:t>Ukraine</w:t>
      </w:r>
      <w:proofErr w:type="spellEnd"/>
      <w:r w:rsidRPr="00382100">
        <w:rPr>
          <w:szCs w:val="24"/>
        </w:rPr>
        <w:t xml:space="preserve"> 2023 </w:t>
      </w:r>
      <w:proofErr w:type="spellStart"/>
      <w:r w:rsidRPr="00382100">
        <w:rPr>
          <w:szCs w:val="24"/>
        </w:rPr>
        <w:t>Report</w:t>
      </w:r>
      <w:proofErr w:type="spellEnd"/>
      <w:r w:rsidRPr="00382100">
        <w:rPr>
          <w:szCs w:val="24"/>
        </w:rPr>
        <w:t xml:space="preserve"> (Poročilo o Ukrajini za leto 2023)“ (SWD</w:t>
      </w:r>
      <w:proofErr w:type="gramStart"/>
      <w:r w:rsidRPr="00382100">
        <w:rPr>
          <w:szCs w:val="24"/>
        </w:rPr>
        <w:t>(</w:t>
      </w:r>
      <w:proofErr w:type="gramEnd"/>
      <w:r w:rsidRPr="00382100">
        <w:rPr>
          <w:szCs w:val="24"/>
        </w:rPr>
        <w:t>202</w:t>
      </w:r>
      <w:r w:rsidR="00332BB8">
        <w:rPr>
          <w:szCs w:val="24"/>
        </w:rPr>
        <w:t>3</w:t>
      </w:r>
      <w:r w:rsidRPr="00382100">
        <w:rPr>
          <w:szCs w:val="24"/>
        </w:rPr>
        <w:t xml:space="preserve">)0699), ki je priložen Sporočilu Komisije o širitveni politiki EU iz leta 2023 (COM(2023)0690), </w:t>
      </w:r>
    </w:p>
    <w:p w14:paraId="6CCB7B65" w14:textId="77777777" w:rsidR="00A8664F" w:rsidRPr="00382100" w:rsidRDefault="00A8664F" w:rsidP="00A8664F">
      <w:pPr>
        <w:widowControl/>
        <w:spacing w:after="240"/>
        <w:ind w:left="567" w:hanging="567"/>
        <w:rPr>
          <w:szCs w:val="24"/>
        </w:rPr>
      </w:pPr>
      <w:r w:rsidRPr="00382100">
        <w:rPr>
          <w:szCs w:val="24"/>
        </w:rPr>
        <w:t>–</w:t>
      </w:r>
      <w:r w:rsidRPr="00382100">
        <w:rPr>
          <w:szCs w:val="24"/>
        </w:rPr>
        <w:tab/>
      </w:r>
      <w:bookmarkStart w:id="7" w:name="_Hlk204183886"/>
      <w:r w:rsidRPr="00382100">
        <w:rPr>
          <w:szCs w:val="24"/>
        </w:rPr>
        <w:t xml:space="preserve">ob upoštevanju sklepov Evropskega sveta z dne 24. junija 2022, v katerih je bil Ukrajini podeljen status kandidatke, z dne 15. decembra 2023, v katerih je potrjen začetek pristopnih pogajanj, in z dne 20. marca 2025, </w:t>
      </w:r>
      <w:bookmarkEnd w:id="7"/>
    </w:p>
    <w:p w14:paraId="5549B4BF" w14:textId="77777777" w:rsidR="00A8664F" w:rsidRPr="00382100" w:rsidRDefault="00A8664F" w:rsidP="00A8664F">
      <w:pPr>
        <w:widowControl/>
        <w:spacing w:after="240"/>
        <w:ind w:left="567" w:hanging="567"/>
        <w:rPr>
          <w:szCs w:val="24"/>
        </w:rPr>
      </w:pPr>
      <w:r w:rsidRPr="00382100">
        <w:rPr>
          <w:szCs w:val="24"/>
        </w:rPr>
        <w:t>–</w:t>
      </w:r>
      <w:r w:rsidRPr="00382100">
        <w:rPr>
          <w:szCs w:val="24"/>
        </w:rPr>
        <w:tab/>
        <w:t>ob upoštevanju Uredbe (EU) 2024/792 Evropskega parlamenta in Sveta z dne 29. februarja 2024 o vzpostavitvi instrumenta za Ukrajino</w:t>
      </w:r>
      <w:r w:rsidRPr="00382100">
        <w:rPr>
          <w:szCs w:val="24"/>
          <w:vertAlign w:val="superscript"/>
        </w:rPr>
        <w:footnoteReference w:id="1"/>
      </w:r>
      <w:r w:rsidRPr="00382100">
        <w:rPr>
          <w:szCs w:val="24"/>
        </w:rPr>
        <w:t>,</w:t>
      </w:r>
    </w:p>
    <w:p w14:paraId="07A7E253" w14:textId="77777777" w:rsidR="00A8664F" w:rsidRPr="00382100" w:rsidRDefault="00A8664F" w:rsidP="00A8664F">
      <w:pPr>
        <w:widowControl/>
        <w:spacing w:after="240"/>
        <w:ind w:left="567" w:hanging="567"/>
        <w:rPr>
          <w:szCs w:val="24"/>
        </w:rPr>
      </w:pPr>
      <w:r w:rsidRPr="00382100">
        <w:rPr>
          <w:szCs w:val="24"/>
        </w:rPr>
        <w:t>–</w:t>
      </w:r>
      <w:r w:rsidRPr="00382100">
        <w:rPr>
          <w:szCs w:val="24"/>
        </w:rPr>
        <w:tab/>
        <w:t xml:space="preserve">ob upoštevanju poročila Organizacije za gospodarsko sodelovanje in razvoj (OECD) iz leta 2021 z naslovom </w:t>
      </w:r>
      <w:r w:rsidRPr="00382100">
        <w:rPr>
          <w:i/>
          <w:iCs/>
          <w:szCs w:val="24"/>
        </w:rPr>
        <w:t xml:space="preserve">OECD </w:t>
      </w:r>
      <w:proofErr w:type="spellStart"/>
      <w:r w:rsidRPr="00382100">
        <w:rPr>
          <w:i/>
          <w:iCs/>
          <w:szCs w:val="24"/>
        </w:rPr>
        <w:t>Review</w:t>
      </w:r>
      <w:proofErr w:type="spellEnd"/>
      <w:r w:rsidRPr="00382100">
        <w:rPr>
          <w:i/>
          <w:iCs/>
          <w:szCs w:val="24"/>
        </w:rPr>
        <w:t xml:space="preserve"> of the </w:t>
      </w:r>
      <w:proofErr w:type="spellStart"/>
      <w:r w:rsidRPr="00382100">
        <w:rPr>
          <w:i/>
          <w:iCs/>
          <w:szCs w:val="24"/>
        </w:rPr>
        <w:t>Corporate</w:t>
      </w:r>
      <w:proofErr w:type="spellEnd"/>
      <w:r w:rsidRPr="00382100">
        <w:rPr>
          <w:i/>
          <w:iCs/>
          <w:szCs w:val="24"/>
        </w:rPr>
        <w:t xml:space="preserve"> </w:t>
      </w:r>
      <w:proofErr w:type="spellStart"/>
      <w:r w:rsidRPr="00382100">
        <w:rPr>
          <w:i/>
          <w:iCs/>
          <w:szCs w:val="24"/>
        </w:rPr>
        <w:t>Governance</w:t>
      </w:r>
      <w:proofErr w:type="spellEnd"/>
      <w:r w:rsidRPr="00382100">
        <w:rPr>
          <w:i/>
          <w:iCs/>
          <w:szCs w:val="24"/>
        </w:rPr>
        <w:t xml:space="preserve"> of State-</w:t>
      </w:r>
      <w:proofErr w:type="spellStart"/>
      <w:r w:rsidRPr="00382100">
        <w:rPr>
          <w:i/>
          <w:iCs/>
          <w:szCs w:val="24"/>
        </w:rPr>
        <w:t>Owned</w:t>
      </w:r>
      <w:proofErr w:type="spellEnd"/>
      <w:r w:rsidRPr="00382100">
        <w:rPr>
          <w:i/>
          <w:iCs/>
          <w:szCs w:val="24"/>
        </w:rPr>
        <w:t xml:space="preserve"> Enterprises: </w:t>
      </w:r>
      <w:proofErr w:type="spellStart"/>
      <w:r w:rsidRPr="00382100">
        <w:rPr>
          <w:i/>
          <w:iCs/>
          <w:szCs w:val="24"/>
        </w:rPr>
        <w:t>Ukraine</w:t>
      </w:r>
      <w:proofErr w:type="spellEnd"/>
      <w:r w:rsidRPr="00382100">
        <w:rPr>
          <w:szCs w:val="24"/>
        </w:rPr>
        <w:t xml:space="preserve"> (Pregled OECD o korporativnem upravljanju podjetij v državni lasti: Ukrajina) in naknadnih dialogov v letu 2024, </w:t>
      </w:r>
    </w:p>
    <w:p w14:paraId="4EA242F3" w14:textId="77777777" w:rsidR="00A8664F" w:rsidRPr="00382100" w:rsidRDefault="00A8664F" w:rsidP="00A8664F">
      <w:pPr>
        <w:widowControl/>
        <w:spacing w:after="240"/>
        <w:ind w:left="567" w:hanging="567"/>
        <w:rPr>
          <w:szCs w:val="24"/>
        </w:rPr>
      </w:pPr>
      <w:r w:rsidRPr="00382100">
        <w:rPr>
          <w:szCs w:val="24"/>
        </w:rPr>
        <w:t>–</w:t>
      </w:r>
      <w:r w:rsidRPr="00382100">
        <w:rPr>
          <w:szCs w:val="24"/>
        </w:rPr>
        <w:tab/>
        <w:t xml:space="preserve">ob upoštevanju osmega pregleda instrumenta za povečanje financiranja za Ukrajino za obdobje 2023–2026, ki ga je izvedel Mednarodni denarni sklad, </w:t>
      </w:r>
    </w:p>
    <w:p w14:paraId="41EF31FA" w14:textId="77777777" w:rsidR="00A8664F" w:rsidRPr="00382100" w:rsidRDefault="00A8664F" w:rsidP="00A8664F">
      <w:pPr>
        <w:widowControl/>
        <w:spacing w:after="240"/>
        <w:ind w:left="567" w:hanging="567"/>
        <w:rPr>
          <w:szCs w:val="24"/>
        </w:rPr>
      </w:pPr>
      <w:r w:rsidRPr="00382100">
        <w:rPr>
          <w:szCs w:val="24"/>
        </w:rPr>
        <w:t>–</w:t>
      </w:r>
      <w:r w:rsidRPr="00382100">
        <w:rPr>
          <w:szCs w:val="24"/>
        </w:rPr>
        <w:tab/>
      </w:r>
      <w:bookmarkStart w:id="8" w:name="_Hlk204245553"/>
      <w:r w:rsidRPr="00382100">
        <w:rPr>
          <w:szCs w:val="24"/>
        </w:rPr>
        <w:t xml:space="preserve">ob upoštevanju mnenj Beneške komisije Sveta Evrope, zlasti mnenja o nujnem nadaljnjem ukrepanju na podlagi mnenj o zakonu o spremembah nekaterih zakonodajnih aktov Ukrajine za pojasnitev določb o konkurenčnem izboru kandidatov za mesto sodnika ukrajinskega ustavnega sodišča z dne 9. oktobra 2023 in mnenja o </w:t>
      </w:r>
      <w:r w:rsidRPr="00382100">
        <w:rPr>
          <w:szCs w:val="24"/>
        </w:rPr>
        <w:lastRenderedPageBreak/>
        <w:t xml:space="preserve">nadaljnjem ukrepanju na podlagi mnenja o zakonu o narodnih manjšinah (skupnosti) z dne 9. oktobra 2023, </w:t>
      </w:r>
      <w:bookmarkEnd w:id="8"/>
    </w:p>
    <w:p w14:paraId="105D2B86" w14:textId="77777777" w:rsidR="00A8664F" w:rsidRPr="00382100" w:rsidRDefault="00A8664F" w:rsidP="00A8664F">
      <w:pPr>
        <w:widowControl/>
        <w:spacing w:after="240"/>
        <w:ind w:left="567" w:hanging="567"/>
        <w:rPr>
          <w:szCs w:val="24"/>
        </w:rPr>
      </w:pPr>
      <w:r w:rsidRPr="00382100">
        <w:rPr>
          <w:szCs w:val="24"/>
        </w:rPr>
        <w:t>–</w:t>
      </w:r>
      <w:r w:rsidRPr="00382100">
        <w:rPr>
          <w:szCs w:val="24"/>
        </w:rPr>
        <w:tab/>
        <w:t xml:space="preserve">ob upoštevanju poročil Skupine držav proti korupciji pri Svetu Evrope (GRECO) o Ukrajini, zlasti četrtega ocenjevalnega kroga in dodatka k drugemu poročilu o skladnosti glede preprečevanja korupcije za poslance, sodnike in tožilce v Ukrajini z dne 22. novembra 2024, </w:t>
      </w:r>
    </w:p>
    <w:p w14:paraId="615B7624" w14:textId="77777777" w:rsidR="00A8664F" w:rsidRPr="00382100" w:rsidRDefault="00A8664F" w:rsidP="00A8664F">
      <w:pPr>
        <w:widowControl/>
        <w:spacing w:after="240"/>
        <w:ind w:left="567" w:hanging="567"/>
        <w:rPr>
          <w:szCs w:val="24"/>
        </w:rPr>
      </w:pPr>
      <w:r w:rsidRPr="00382100">
        <w:rPr>
          <w:szCs w:val="24"/>
        </w:rPr>
        <w:t>–</w:t>
      </w:r>
      <w:r w:rsidRPr="00382100">
        <w:rPr>
          <w:szCs w:val="24"/>
        </w:rPr>
        <w:tab/>
        <w:t xml:space="preserve">ob upoštevanju poročila, ki ga je predložila Ukrajina v skladu s členom 68(1) Konvencije Sveta Evrope o preprečevanju nasilja nad ženskami in nasilja v družini ter o boju proti njima (izhodiščno poročilo) z dne 3. julija 2025 in dodatnih informacij, ki jih je Skupina strokovnjakov za ukrepanje proti nasilju nad ženskami in nasilju v družini prejela od ukrajinskih organizacij civilne družbe, </w:t>
      </w:r>
    </w:p>
    <w:p w14:paraId="0CD02157" w14:textId="77777777" w:rsidR="00A8664F" w:rsidRPr="00382100" w:rsidRDefault="00A8664F" w:rsidP="00A8664F">
      <w:pPr>
        <w:widowControl/>
        <w:spacing w:after="240"/>
        <w:ind w:left="567" w:hanging="567"/>
        <w:rPr>
          <w:szCs w:val="24"/>
        </w:rPr>
      </w:pPr>
      <w:r w:rsidRPr="00382100">
        <w:rPr>
          <w:szCs w:val="24"/>
        </w:rPr>
        <w:t>–</w:t>
      </w:r>
      <w:r w:rsidRPr="00382100">
        <w:rPr>
          <w:szCs w:val="24"/>
        </w:rPr>
        <w:tab/>
        <w:t xml:space="preserve">ob upoštevanju poročil organizacije Human </w:t>
      </w:r>
      <w:proofErr w:type="spellStart"/>
      <w:r w:rsidRPr="00382100">
        <w:rPr>
          <w:szCs w:val="24"/>
        </w:rPr>
        <w:t>Rights</w:t>
      </w:r>
      <w:proofErr w:type="spellEnd"/>
      <w:r w:rsidRPr="00382100">
        <w:rPr>
          <w:szCs w:val="24"/>
        </w:rPr>
        <w:t xml:space="preserve"> </w:t>
      </w:r>
      <w:proofErr w:type="spellStart"/>
      <w:r w:rsidRPr="00382100">
        <w:rPr>
          <w:szCs w:val="24"/>
        </w:rPr>
        <w:t>Watch</w:t>
      </w:r>
      <w:proofErr w:type="spellEnd"/>
      <w:r w:rsidRPr="00382100">
        <w:rPr>
          <w:szCs w:val="24"/>
        </w:rPr>
        <w:t xml:space="preserve"> o Ukrajini, vključno z njenim poročilom z dne 5. decembra 2024 z naslovom </w:t>
      </w:r>
      <w:r w:rsidRPr="00382100">
        <w:rPr>
          <w:i/>
          <w:iCs/>
          <w:szCs w:val="24"/>
        </w:rPr>
        <w:t xml:space="preserve">„All </w:t>
      </w:r>
      <w:proofErr w:type="spellStart"/>
      <w:r w:rsidRPr="00382100">
        <w:rPr>
          <w:i/>
          <w:iCs/>
          <w:szCs w:val="24"/>
        </w:rPr>
        <w:t>She</w:t>
      </w:r>
      <w:proofErr w:type="spellEnd"/>
      <w:r w:rsidRPr="00382100">
        <w:rPr>
          <w:i/>
          <w:iCs/>
          <w:szCs w:val="24"/>
        </w:rPr>
        <w:t xml:space="preserve"> Did Was </w:t>
      </w:r>
      <w:proofErr w:type="spellStart"/>
      <w:r w:rsidRPr="00382100">
        <w:rPr>
          <w:i/>
          <w:iCs/>
          <w:szCs w:val="24"/>
        </w:rPr>
        <w:t>Help</w:t>
      </w:r>
      <w:proofErr w:type="spellEnd"/>
      <w:r w:rsidRPr="00382100">
        <w:rPr>
          <w:i/>
          <w:iCs/>
          <w:szCs w:val="24"/>
        </w:rPr>
        <w:t xml:space="preserve"> </w:t>
      </w:r>
      <w:proofErr w:type="spellStart"/>
      <w:r w:rsidRPr="00382100">
        <w:rPr>
          <w:i/>
          <w:iCs/>
          <w:szCs w:val="24"/>
        </w:rPr>
        <w:t>People</w:t>
      </w:r>
      <w:proofErr w:type="spellEnd"/>
      <w:r w:rsidRPr="00382100">
        <w:rPr>
          <w:i/>
          <w:iCs/>
          <w:szCs w:val="24"/>
        </w:rPr>
        <w:t xml:space="preserve">“ – </w:t>
      </w:r>
      <w:proofErr w:type="spellStart"/>
      <w:r w:rsidRPr="00382100">
        <w:rPr>
          <w:i/>
          <w:iCs/>
          <w:szCs w:val="24"/>
        </w:rPr>
        <w:t>Flawed</w:t>
      </w:r>
      <w:proofErr w:type="spellEnd"/>
      <w:r w:rsidRPr="00382100">
        <w:rPr>
          <w:i/>
          <w:iCs/>
          <w:szCs w:val="24"/>
        </w:rPr>
        <w:t xml:space="preserve"> Anti-</w:t>
      </w:r>
      <w:proofErr w:type="spellStart"/>
      <w:r w:rsidRPr="00382100">
        <w:rPr>
          <w:i/>
          <w:iCs/>
          <w:szCs w:val="24"/>
        </w:rPr>
        <w:t>Collaboration</w:t>
      </w:r>
      <w:proofErr w:type="spellEnd"/>
      <w:r w:rsidRPr="00382100">
        <w:rPr>
          <w:i/>
          <w:iCs/>
          <w:szCs w:val="24"/>
        </w:rPr>
        <w:t xml:space="preserve"> </w:t>
      </w:r>
      <w:proofErr w:type="spellStart"/>
      <w:r w:rsidRPr="00382100">
        <w:rPr>
          <w:i/>
          <w:iCs/>
          <w:szCs w:val="24"/>
        </w:rPr>
        <w:t>Legislation</w:t>
      </w:r>
      <w:proofErr w:type="spellEnd"/>
      <w:r w:rsidRPr="00382100">
        <w:rPr>
          <w:i/>
          <w:iCs/>
          <w:szCs w:val="24"/>
        </w:rPr>
        <w:t xml:space="preserve"> in </w:t>
      </w:r>
      <w:proofErr w:type="spellStart"/>
      <w:r w:rsidRPr="00382100">
        <w:rPr>
          <w:i/>
          <w:iCs/>
          <w:szCs w:val="24"/>
        </w:rPr>
        <w:t>Ukraine</w:t>
      </w:r>
      <w:proofErr w:type="spellEnd"/>
      <w:r w:rsidRPr="00382100">
        <w:rPr>
          <w:i/>
          <w:iCs/>
          <w:szCs w:val="24"/>
        </w:rPr>
        <w:t>,</w:t>
      </w:r>
      <w:r w:rsidRPr="00382100">
        <w:rPr>
          <w:szCs w:val="24"/>
        </w:rPr>
        <w:t xml:space="preserve"> </w:t>
      </w:r>
    </w:p>
    <w:p w14:paraId="279BCD6A" w14:textId="77777777" w:rsidR="00A8664F" w:rsidRPr="00382100" w:rsidRDefault="00A8664F" w:rsidP="00A8664F">
      <w:pPr>
        <w:widowControl/>
        <w:spacing w:after="240"/>
        <w:ind w:left="567" w:hanging="567"/>
        <w:rPr>
          <w:szCs w:val="24"/>
        </w:rPr>
      </w:pPr>
      <w:r w:rsidRPr="00382100">
        <w:rPr>
          <w:szCs w:val="24"/>
        </w:rPr>
        <w:t>–</w:t>
      </w:r>
      <w:r w:rsidRPr="00382100">
        <w:rPr>
          <w:szCs w:val="24"/>
        </w:rPr>
        <w:tab/>
        <w:t>ob upoštevanju svoje resolucije z dne 12. marca 2025 o beli knjigi o prihodnosti evropske obrambe</w:t>
      </w:r>
      <w:r w:rsidRPr="00382100">
        <w:rPr>
          <w:szCs w:val="24"/>
          <w:vertAlign w:val="superscript"/>
        </w:rPr>
        <w:footnoteReference w:id="2"/>
      </w:r>
      <w:r w:rsidRPr="00382100">
        <w:rPr>
          <w:szCs w:val="24"/>
        </w:rPr>
        <w:t xml:space="preserve">, </w:t>
      </w:r>
    </w:p>
    <w:p w14:paraId="1F2427F0" w14:textId="77777777" w:rsidR="00A8664F" w:rsidRPr="00382100" w:rsidRDefault="00A8664F" w:rsidP="00A8664F">
      <w:pPr>
        <w:widowControl/>
        <w:spacing w:after="240"/>
        <w:ind w:left="567" w:hanging="567"/>
        <w:rPr>
          <w:szCs w:val="24"/>
        </w:rPr>
      </w:pPr>
      <w:r w:rsidRPr="00382100">
        <w:rPr>
          <w:szCs w:val="24"/>
        </w:rPr>
        <w:t>–</w:t>
      </w:r>
      <w:r w:rsidRPr="00382100">
        <w:rPr>
          <w:szCs w:val="24"/>
        </w:rPr>
        <w:tab/>
        <w:t>ob upoštevanju izjav voditeljev Finske, Francije, Nemčije, Italije, Združenega kraljestva in Ukrajine po srečanju s predsednikom ZDA Donaldom Trumpom 18. avgusta 2025 v Washingtonu,</w:t>
      </w:r>
    </w:p>
    <w:p w14:paraId="491CE027" w14:textId="77777777" w:rsidR="00A8664F" w:rsidRPr="00382100" w:rsidRDefault="00A8664F" w:rsidP="00A8664F">
      <w:pPr>
        <w:widowControl/>
        <w:spacing w:after="240"/>
        <w:ind w:left="567" w:hanging="567"/>
        <w:rPr>
          <w:szCs w:val="24"/>
        </w:rPr>
      </w:pPr>
      <w:r w:rsidRPr="00382100">
        <w:rPr>
          <w:szCs w:val="24"/>
        </w:rPr>
        <w:t>–</w:t>
      </w:r>
      <w:r w:rsidRPr="00382100">
        <w:rPr>
          <w:szCs w:val="24"/>
        </w:rPr>
        <w:tab/>
        <w:t>ob upoštevanju izjave predsednice Komisije Ursule von der Leyen z ukrajinskim predsednikom Volodimirjem Zelenskim po njunem srečanju v Bruslju 17. avgusta 2025,</w:t>
      </w:r>
    </w:p>
    <w:p w14:paraId="73D01A52" w14:textId="77777777" w:rsidR="00A8664F" w:rsidRPr="00382100" w:rsidRDefault="00A8664F" w:rsidP="00A8664F">
      <w:pPr>
        <w:widowControl/>
        <w:spacing w:after="240"/>
        <w:ind w:left="567" w:hanging="567"/>
        <w:rPr>
          <w:szCs w:val="24"/>
        </w:rPr>
      </w:pPr>
      <w:r w:rsidRPr="00382100">
        <w:rPr>
          <w:szCs w:val="24"/>
        </w:rPr>
        <w:t>–</w:t>
      </w:r>
      <w:r w:rsidRPr="00382100">
        <w:rPr>
          <w:szCs w:val="24"/>
        </w:rPr>
        <w:tab/>
        <w:t>ob upoštevanju skupne izjave voditeljev Francije, Italije, Nemčije, Združenega kraljestva, Finske, Poljske, predsednika Evropskega sveta Antónia Coste in predsednice Komisije Ursule von der Leyen z dne 16. avgusta 2025 po srečanju predsednika ZDA Donalda Trumpa in predsednika Ruske federacije Vladimirja Putina 15. avgusta 2025 v Anchorageu na Aljaski,</w:t>
      </w:r>
    </w:p>
    <w:p w14:paraId="118EBA0C" w14:textId="77777777" w:rsidR="00A8664F" w:rsidRPr="00382100" w:rsidRDefault="00A8664F" w:rsidP="00A8664F">
      <w:pPr>
        <w:widowControl/>
        <w:spacing w:after="240"/>
        <w:ind w:left="567" w:hanging="567"/>
        <w:rPr>
          <w:szCs w:val="24"/>
        </w:rPr>
      </w:pPr>
      <w:r w:rsidRPr="00382100">
        <w:rPr>
          <w:szCs w:val="24"/>
        </w:rPr>
        <w:t>–</w:t>
      </w:r>
      <w:r w:rsidRPr="00382100">
        <w:rPr>
          <w:szCs w:val="24"/>
        </w:rPr>
        <w:tab/>
        <w:t>ob upoštevanju prejšnjih izjav, vključno s skupno izjavo voditeljev Francije, Nemčije, Poljske, Združenega kraljestva in Ukrajine po srečanju v Kijevu 10. maja 2025 in skupne izjave Weimar+ o Ukrajini in evroatlantski varnosti z dne 12. maja 2025,</w:t>
      </w:r>
    </w:p>
    <w:p w14:paraId="2B841462" w14:textId="77777777" w:rsidR="00A8664F" w:rsidRPr="00382100" w:rsidRDefault="00A8664F" w:rsidP="00A8664F">
      <w:pPr>
        <w:widowControl/>
        <w:spacing w:after="240"/>
        <w:ind w:left="567" w:hanging="567"/>
        <w:rPr>
          <w:szCs w:val="24"/>
        </w:rPr>
      </w:pPr>
      <w:r w:rsidRPr="00382100">
        <w:rPr>
          <w:szCs w:val="24"/>
        </w:rPr>
        <w:t>–</w:t>
      </w:r>
      <w:r w:rsidRPr="00382100">
        <w:rPr>
          <w:szCs w:val="24"/>
        </w:rPr>
        <w:tab/>
        <w:t>ob upoštevanju skupne izjave več poslancev Evropskega parlamenta z dne 11. avgusta 2025 o pogajanjih za pravičen mir za Ukrajino na podlagi mednarodnega prava in volje ukrajinskega ljudstva,</w:t>
      </w:r>
    </w:p>
    <w:p w14:paraId="050ECC05" w14:textId="77777777" w:rsidR="00A8664F" w:rsidRPr="00382100" w:rsidRDefault="00A8664F" w:rsidP="00A8664F">
      <w:pPr>
        <w:widowControl/>
        <w:spacing w:after="240"/>
        <w:ind w:left="567" w:hanging="567"/>
        <w:rPr>
          <w:snapToGrid w:val="0"/>
          <w:lang w:eastAsia="en-US"/>
        </w:rPr>
      </w:pPr>
      <w:r w:rsidRPr="00382100">
        <w:rPr>
          <w:snapToGrid w:val="0"/>
          <w:lang w:eastAsia="en-US"/>
        </w:rPr>
        <w:t>–</w:t>
      </w:r>
      <w:r w:rsidRPr="00382100">
        <w:rPr>
          <w:snapToGrid w:val="0"/>
          <w:lang w:eastAsia="en-US"/>
        </w:rPr>
        <w:tab/>
        <w:t>ob upoštevanju člena 55 Poslovnika,</w:t>
      </w:r>
    </w:p>
    <w:p w14:paraId="23B59C2F" w14:textId="77777777" w:rsidR="00A8664F" w:rsidRPr="00382100" w:rsidRDefault="00A8664F" w:rsidP="00A8664F">
      <w:pPr>
        <w:widowControl/>
        <w:spacing w:after="240"/>
        <w:ind w:left="567" w:hanging="567"/>
        <w:rPr>
          <w:snapToGrid w:val="0"/>
          <w:lang w:eastAsia="en-US"/>
        </w:rPr>
      </w:pPr>
      <w:r w:rsidRPr="00382100">
        <w:rPr>
          <w:snapToGrid w:val="0"/>
          <w:lang w:eastAsia="en-US"/>
        </w:rPr>
        <w:t>–</w:t>
      </w:r>
      <w:r w:rsidRPr="00382100">
        <w:rPr>
          <w:snapToGrid w:val="0"/>
          <w:lang w:eastAsia="en-US"/>
        </w:rPr>
        <w:tab/>
        <w:t>ob upoštevanju poročila Odbora za zunanje zadeve (A10-0154/2025),</w:t>
      </w:r>
    </w:p>
    <w:p w14:paraId="09356BAD" w14:textId="77777777" w:rsidR="00A8664F" w:rsidRPr="00382100" w:rsidRDefault="00A8664F" w:rsidP="00A8664F">
      <w:pPr>
        <w:widowControl/>
        <w:spacing w:after="240"/>
        <w:ind w:left="567" w:hanging="567"/>
        <w:rPr>
          <w:rFonts w:eastAsiaTheme="majorEastAsia"/>
          <w:snapToGrid w:val="0"/>
          <w:lang w:eastAsia="en-US"/>
        </w:rPr>
      </w:pPr>
      <w:r w:rsidRPr="00382100">
        <w:rPr>
          <w:snapToGrid w:val="0"/>
          <w:lang w:eastAsia="en-US"/>
        </w:rPr>
        <w:t>A.</w:t>
      </w:r>
      <w:r w:rsidRPr="00382100">
        <w:rPr>
          <w:snapToGrid w:val="0"/>
          <w:lang w:eastAsia="en-US"/>
        </w:rPr>
        <w:tab/>
        <w:t xml:space="preserve">ker Parlament najostreje obsoja rusko nezakonito, neupravičeno in neizzvano agresijo proti Ukrajini in podpira pravico Ukrajine do suverenosti, neodvisnosti in ozemeljske celovitosti znotraj njenih mednarodno priznanih meja; ker je Rusija napadla Ukrajino in je zato najenostavnejša in edina pravična pot k miru v Ukrajini ta, da Rusija umakne </w:t>
      </w:r>
      <w:r w:rsidRPr="00382100">
        <w:rPr>
          <w:snapToGrid w:val="0"/>
          <w:lang w:eastAsia="en-US"/>
        </w:rPr>
        <w:lastRenderedPageBreak/>
        <w:t>svoje sile s celotnega ukrajinskega ozemlja in plača odškodnino za škodo, ki jo je povzročila med svojo nezakonito vojaško agresijo;</w:t>
      </w:r>
    </w:p>
    <w:p w14:paraId="617092F4" w14:textId="77777777" w:rsidR="00A8664F" w:rsidRPr="00382100" w:rsidRDefault="00A8664F" w:rsidP="00A8664F">
      <w:pPr>
        <w:widowControl/>
        <w:spacing w:after="240"/>
        <w:ind w:left="567" w:hanging="567"/>
        <w:rPr>
          <w:szCs w:val="24"/>
        </w:rPr>
      </w:pPr>
      <w:r w:rsidRPr="00382100">
        <w:rPr>
          <w:szCs w:val="24"/>
        </w:rPr>
        <w:t>B.</w:t>
      </w:r>
      <w:r w:rsidRPr="00382100">
        <w:rPr>
          <w:szCs w:val="24"/>
        </w:rPr>
        <w:tab/>
        <w:t>ker Rusija s politično, materialno in vojaško podporo svojih zaveznikov, zlasti Belorusije, Irana in Severne Koreje, od 24. februarja 2022 izvaja nezakonito, neizzvano in neupravičeno obsežno vojaško agresijo proti Ukrajini; ker se je vojna Rusije proti Ukrajini začela leta 2014 z nezakonito zasedbo in priključitvijo Krimskega polotoka in poznejšo zasedbo delov regij Doneck in Lugansk; ker ta vojaška agresija pomeni očitno in grobo kršitev Ustanovne listine Združenih narodov ter temeljnih načel mednarodnega prava in mednarodnega humanitarnega prava, kot ga določajo ženevske konvencije iz leta 1949;</w:t>
      </w:r>
    </w:p>
    <w:p w14:paraId="36C282F1" w14:textId="77777777" w:rsidR="00A8664F" w:rsidRPr="00382100" w:rsidRDefault="00A8664F" w:rsidP="00A8664F">
      <w:pPr>
        <w:widowControl/>
        <w:spacing w:after="240"/>
        <w:ind w:left="567" w:hanging="567"/>
        <w:rPr>
          <w:rFonts w:eastAsiaTheme="majorEastAsia"/>
          <w:szCs w:val="24"/>
        </w:rPr>
      </w:pPr>
      <w:r w:rsidRPr="00382100">
        <w:rPr>
          <w:rFonts w:eastAsiaTheme="majorEastAsia"/>
          <w:szCs w:val="24"/>
        </w:rPr>
        <w:t>C.</w:t>
      </w:r>
      <w:r w:rsidRPr="00382100">
        <w:rPr>
          <w:rFonts w:eastAsiaTheme="majorEastAsia"/>
          <w:szCs w:val="24"/>
        </w:rPr>
        <w:tab/>
        <w:t>ker se je junija in julija 2025 močno povečalo število ruskih raketnih napadov in napadov z brezpilotnimi zrakoplovi na civilno infrastrukturo, vključno z bolnišnicami, šolami, stanovanjskimi stavbami in kulturnimi ustanovami, kar je privedlo do največjega števila civilnih žrtev od maja 2022; ker je bilo po podatkih misije OZN za spremljanje človekovih pravic v Ukrajini junija 2025 ubitih vsaj 232 civilistov, 1343 pa je bilo ranjenih, julija 2025 pa je bilo zabeleženih 286 smrtnih žrtev med civilisti in 1388 ranjenih, kar je najvišje mesečno število civilnih žrtev od maja 2022;</w:t>
      </w:r>
    </w:p>
    <w:p w14:paraId="5F262B65" w14:textId="77777777" w:rsidR="00A8664F" w:rsidRPr="00382100" w:rsidRDefault="00A8664F" w:rsidP="00A8664F">
      <w:pPr>
        <w:widowControl/>
        <w:spacing w:after="240"/>
        <w:ind w:left="567" w:hanging="567"/>
        <w:rPr>
          <w:rFonts w:eastAsiaTheme="majorEastAsia"/>
          <w:szCs w:val="24"/>
        </w:rPr>
      </w:pPr>
      <w:r w:rsidRPr="00382100">
        <w:rPr>
          <w:rFonts w:eastAsiaTheme="majorEastAsia"/>
          <w:szCs w:val="24"/>
        </w:rPr>
        <w:t>D.</w:t>
      </w:r>
      <w:r w:rsidRPr="00382100">
        <w:rPr>
          <w:rFonts w:eastAsiaTheme="majorEastAsia"/>
          <w:szCs w:val="24"/>
        </w:rPr>
        <w:tab/>
        <w:t xml:space="preserve">ker Rusija izvaja umore in sabotažo uglednih ukrajinskih javnih osebnosti, vojakov in kritične infrastrukture; ker je bil 30. avgusta 2025 v Lvovu brutalno umorjen Andrej </w:t>
      </w:r>
      <w:proofErr w:type="spellStart"/>
      <w:r w:rsidRPr="00382100">
        <w:rPr>
          <w:rFonts w:eastAsiaTheme="majorEastAsia"/>
          <w:szCs w:val="24"/>
        </w:rPr>
        <w:t>Parubij</w:t>
      </w:r>
      <w:proofErr w:type="spellEnd"/>
      <w:r w:rsidRPr="00382100">
        <w:rPr>
          <w:rFonts w:eastAsiaTheme="majorEastAsia"/>
          <w:szCs w:val="24"/>
        </w:rPr>
        <w:t>, nekdanji predsednik vrhovne rade in nekdanji sekretar sveta za nacionalno varnost in obrambo;</w:t>
      </w:r>
    </w:p>
    <w:p w14:paraId="565BA558" w14:textId="77777777" w:rsidR="00A8664F" w:rsidRPr="00382100" w:rsidRDefault="00A8664F" w:rsidP="00A8664F">
      <w:pPr>
        <w:widowControl/>
        <w:spacing w:after="240"/>
        <w:ind w:left="567" w:hanging="567"/>
        <w:rPr>
          <w:snapToGrid w:val="0"/>
          <w:lang w:eastAsia="en-US"/>
        </w:rPr>
      </w:pPr>
      <w:r w:rsidRPr="00382100">
        <w:rPr>
          <w:snapToGrid w:val="0"/>
          <w:lang w:eastAsia="en-US"/>
        </w:rPr>
        <w:t>E.</w:t>
      </w:r>
      <w:r w:rsidRPr="00382100">
        <w:rPr>
          <w:snapToGrid w:val="0"/>
          <w:lang w:eastAsia="en-US"/>
        </w:rPr>
        <w:tab/>
        <w:t>ker Rusija na vseh ukrajinskih ozemljih, ki jih nezakonito zaseda, izvaja dokumentirana vojna hudodelstva in deportacije in na široko manipulira z informacijami ter širi dezinformacije in propagando, da bi imelo prebivalstvo napačne informacije ali da bi ga ohranila v nevednosti;</w:t>
      </w:r>
    </w:p>
    <w:p w14:paraId="14E31124" w14:textId="77777777" w:rsidR="00A8664F" w:rsidRPr="00382100" w:rsidRDefault="00A8664F" w:rsidP="00A8664F">
      <w:pPr>
        <w:widowControl/>
        <w:spacing w:after="240"/>
        <w:ind w:left="567" w:hanging="567"/>
        <w:rPr>
          <w:snapToGrid w:val="0"/>
          <w:lang w:eastAsia="en-US"/>
        </w:rPr>
      </w:pPr>
      <w:r w:rsidRPr="00382100">
        <w:rPr>
          <w:snapToGrid w:val="0"/>
          <w:lang w:eastAsia="en-US"/>
        </w:rPr>
        <w:t>F.</w:t>
      </w:r>
      <w:r w:rsidRPr="00382100">
        <w:rPr>
          <w:snapToGrid w:val="0"/>
          <w:lang w:eastAsia="en-US"/>
        </w:rPr>
        <w:tab/>
        <w:t>ker je Rusija 28. avgusta 2025 izvedla še en izjemno brutalen napad z brezpilotnimi zrakoplovi in raketami na več stavb v Kijevu, v katerem je bilo ubitih vsaj 23 ljudi, več kot 63 pa je bilo ranjenih, vključno z otroki; ker so bili prostori delegacije EU v Ukrajini v napadu močno poškodovani, kar je huda kršitev Dunajske konvencije o diplomatskih odnosih; ker je bil med napadom zadet tudi kijevski urad britanskega sveta, ki je utrpel resno škodo, ena oseba pa je bila ranjena;</w:t>
      </w:r>
    </w:p>
    <w:p w14:paraId="66154254" w14:textId="77777777" w:rsidR="00A8664F" w:rsidRPr="00382100" w:rsidRDefault="00A8664F" w:rsidP="00A8664F">
      <w:pPr>
        <w:widowControl/>
        <w:spacing w:after="240"/>
        <w:ind w:left="567" w:hanging="567"/>
        <w:rPr>
          <w:szCs w:val="24"/>
        </w:rPr>
      </w:pPr>
      <w:r w:rsidRPr="00382100">
        <w:rPr>
          <w:szCs w:val="24"/>
        </w:rPr>
        <w:t>G.</w:t>
      </w:r>
      <w:r w:rsidRPr="00382100">
        <w:rPr>
          <w:szCs w:val="24"/>
        </w:rPr>
        <w:tab/>
        <w:t>ker je bila kot odziv na rusko vojaško agresijo januarja 2023 ustanovljena vodilna skupina za ustanovitev posebnega mednarodnega sodišča za pregon kaznivega dejanja agresije proti Ukrajini; ker je bil marca 2023 pod okriljem Eurojusta v Haagu ustanovljen mednarodni center za pregon kaznivega dejanja agresije; ker je vodilna skupina marca 2025 dokončala pravni okvir za to sodišče; ker je njegovo ustanovitev podprlo več kot 40 držav s skupno izjavo zunanjih ministrov vodilne skupine (izjava iz Lvova) z dne 9. maja 2025; ker sta 25. junija 2025 predsednik Ukrajine Volodimir Zelenski in generalni sekretar Sveta Evrope Alain Berset v Strasbourgu podpisala formalni sporazum o ustanovitvi posebnega sodišča za kaznivo dejanje agresije proti Ukrajini;</w:t>
      </w:r>
    </w:p>
    <w:p w14:paraId="589E8FD1" w14:textId="77777777" w:rsidR="00A8664F" w:rsidRPr="00382100" w:rsidRDefault="00A8664F" w:rsidP="00A8664F">
      <w:pPr>
        <w:widowControl/>
        <w:spacing w:after="240"/>
        <w:ind w:left="567" w:hanging="567"/>
        <w:rPr>
          <w:rFonts w:eastAsiaTheme="majorEastAsia"/>
          <w:szCs w:val="24"/>
        </w:rPr>
      </w:pPr>
      <w:r w:rsidRPr="00382100">
        <w:rPr>
          <w:rFonts w:eastAsiaTheme="majorEastAsia"/>
          <w:szCs w:val="24"/>
        </w:rPr>
        <w:t>H.</w:t>
      </w:r>
      <w:r w:rsidRPr="00382100">
        <w:rPr>
          <w:rFonts w:eastAsiaTheme="majorEastAsia"/>
          <w:szCs w:val="24"/>
        </w:rPr>
        <w:tab/>
        <w:t>ker sta se predsednik ZDA Donald Trump in predsednik Ruske federacije Vladimir Putin 15. avgusta 2025 srečala na dvostranskem vrhu v Anchorageu na Aljaski; ker so temu vrhu sledila srečanja predsednika Trumpa in predsednika Zelenskega skupaj z evropskimi voditelji 18. avgusta 2025 v Washingtonu;</w:t>
      </w:r>
    </w:p>
    <w:p w14:paraId="56003611" w14:textId="77777777" w:rsidR="00A8664F" w:rsidRPr="00382100" w:rsidRDefault="00A8664F" w:rsidP="00A8664F">
      <w:pPr>
        <w:widowControl/>
        <w:spacing w:after="240"/>
        <w:ind w:left="567" w:hanging="567"/>
        <w:rPr>
          <w:snapToGrid w:val="0"/>
          <w:lang w:eastAsia="en-US"/>
        </w:rPr>
      </w:pPr>
      <w:r w:rsidRPr="00382100">
        <w:rPr>
          <w:snapToGrid w:val="0"/>
          <w:lang w:eastAsia="en-US"/>
        </w:rPr>
        <w:lastRenderedPageBreak/>
        <w:t>I.</w:t>
      </w:r>
      <w:r w:rsidRPr="00382100">
        <w:rPr>
          <w:snapToGrid w:val="0"/>
          <w:lang w:eastAsia="en-US"/>
        </w:rPr>
        <w:tab/>
        <w:t>ker je Ukrajina pokazala izrazito odpornost in zavezanost svoji evropski poti in dosegla konkreten napredek v zvezi s tem kljub nadaljevanju ruske vojaške agresije, kar je povzročilo smrt več tisoč ljudi ter globoko travmo pri veteranih, njihovih družinah, uničenje številnih mest in bistvene civilne infrastrukture ter nadaljevanje zasedbe dela njenega ozemlja s strani ruskih vojaških sil;</w:t>
      </w:r>
    </w:p>
    <w:p w14:paraId="61270EA7" w14:textId="77777777" w:rsidR="00A8664F" w:rsidRPr="00382100" w:rsidRDefault="00A8664F" w:rsidP="00A8664F">
      <w:pPr>
        <w:widowControl/>
        <w:spacing w:after="240"/>
        <w:ind w:left="567" w:hanging="567"/>
        <w:rPr>
          <w:snapToGrid w:val="0"/>
          <w:lang w:eastAsia="en-US"/>
        </w:rPr>
      </w:pPr>
      <w:r w:rsidRPr="00382100">
        <w:rPr>
          <w:snapToGrid w:val="0"/>
          <w:lang w:eastAsia="en-US"/>
        </w:rPr>
        <w:t>J.</w:t>
      </w:r>
      <w:r w:rsidRPr="00382100">
        <w:rPr>
          <w:snapToGrid w:val="0"/>
          <w:lang w:eastAsia="en-US"/>
        </w:rPr>
        <w:tab/>
        <w:t>ker zaradi ruske invazije več kot 4 milijoni Ukrajincev trenutno živijo v državah članicah EU v okviru mehanizma začasne zaščite in imajo pravico do prebivanja, dostopa do trga dela, bivališča, zdravstvene oskrbe, socialne pomoči in izobraževanja svojih otrok;</w:t>
      </w:r>
    </w:p>
    <w:p w14:paraId="326A0CC3" w14:textId="77777777" w:rsidR="00A8664F" w:rsidRPr="00382100" w:rsidRDefault="00A8664F" w:rsidP="00A8664F">
      <w:pPr>
        <w:widowControl/>
        <w:spacing w:after="240"/>
        <w:ind w:left="567" w:hanging="567"/>
        <w:rPr>
          <w:snapToGrid w:val="0"/>
          <w:lang w:eastAsia="en-US"/>
        </w:rPr>
      </w:pPr>
      <w:r w:rsidRPr="00382100">
        <w:rPr>
          <w:snapToGrid w:val="0"/>
          <w:lang w:eastAsia="en-US"/>
        </w:rPr>
        <w:t>K.</w:t>
      </w:r>
      <w:r w:rsidRPr="00382100">
        <w:rPr>
          <w:snapToGrid w:val="0"/>
          <w:lang w:eastAsia="en-US"/>
        </w:rPr>
        <w:tab/>
        <w:t>ker je pridružitveni postopek Ukrajine EU pomemben prispevek in pot do miru in blaginje za Ukrajino strateški odziv na rusko agresijo in verodostojno varnostno jamstvo za Ukrajino, s čimer se krepi geopolitična odpornost EU;</w:t>
      </w:r>
    </w:p>
    <w:p w14:paraId="2978647E" w14:textId="77777777" w:rsidR="00A8664F" w:rsidRPr="00382100" w:rsidRDefault="00A8664F" w:rsidP="00A8664F">
      <w:pPr>
        <w:widowControl/>
        <w:spacing w:after="240"/>
        <w:ind w:left="567" w:hanging="567"/>
        <w:rPr>
          <w:snapToGrid w:val="0"/>
          <w:lang w:eastAsia="en-US"/>
        </w:rPr>
      </w:pPr>
      <w:r w:rsidRPr="00382100">
        <w:rPr>
          <w:snapToGrid w:val="0"/>
          <w:lang w:eastAsia="en-US"/>
        </w:rPr>
        <w:t>L.</w:t>
      </w:r>
      <w:r w:rsidRPr="00382100">
        <w:rPr>
          <w:snapToGrid w:val="0"/>
          <w:lang w:eastAsia="en-US"/>
        </w:rPr>
        <w:tab/>
        <w:t>ker zakonodajne reforme, ki jih je začela Ukrajina, odražajo njeno predanost usklajevanju s pravnim redom EU;</w:t>
      </w:r>
    </w:p>
    <w:p w14:paraId="0AB3EC7A" w14:textId="77777777" w:rsidR="00A8664F" w:rsidRPr="00382100" w:rsidRDefault="00A8664F" w:rsidP="00A8664F">
      <w:pPr>
        <w:widowControl/>
        <w:spacing w:after="240"/>
        <w:ind w:left="567" w:hanging="567"/>
        <w:rPr>
          <w:snapToGrid w:val="0"/>
          <w:lang w:eastAsia="en-US"/>
        </w:rPr>
      </w:pPr>
      <w:r w:rsidRPr="00382100">
        <w:rPr>
          <w:snapToGrid w:val="0"/>
          <w:lang w:eastAsia="en-US"/>
        </w:rPr>
        <w:t>M.</w:t>
      </w:r>
      <w:r w:rsidRPr="00382100">
        <w:rPr>
          <w:snapToGrid w:val="0"/>
          <w:lang w:eastAsia="en-US"/>
        </w:rPr>
        <w:tab/>
        <w:t>ker skupina GRECO še naprej priznava odločno zavezanost Ukrajine glede boja proti korupciji v izjemno težkih časih za to državo; zlasti ker je skupina GRECO priznala, da je Ukrajina dosegla napredek pri preprečevanju korupcije med poslanci, sodniki in tožilci; ker navkljub napredku na področjih, kot sta neodvisnost sodstva in sistemska korupcija, preostajajo izzivi, ki jih je treba obravnavati z večjo odgovornostjo vlade, nadaljnjo krepitvijo institucionalnih zmogljivosti in mednarodnim nadzorom;</w:t>
      </w:r>
    </w:p>
    <w:p w14:paraId="3383A85D" w14:textId="77777777" w:rsidR="00A8664F" w:rsidRPr="00382100" w:rsidRDefault="00A8664F" w:rsidP="00A8664F">
      <w:pPr>
        <w:widowControl/>
        <w:spacing w:after="240"/>
        <w:ind w:left="567" w:hanging="567"/>
        <w:rPr>
          <w:snapToGrid w:val="0"/>
          <w:lang w:eastAsia="en-US"/>
        </w:rPr>
      </w:pPr>
      <w:r w:rsidRPr="00382100">
        <w:rPr>
          <w:snapToGrid w:val="0"/>
          <w:lang w:eastAsia="en-US"/>
        </w:rPr>
        <w:t>N.</w:t>
      </w:r>
      <w:r w:rsidRPr="00382100">
        <w:rPr>
          <w:snapToGrid w:val="0"/>
          <w:lang w:eastAsia="en-US"/>
        </w:rPr>
        <w:tab/>
        <w:t>ker je OECD ugotovila, da je Ukrajina v zadnjem desetletju močno napredovala pri reformi svojega protikorupcijskega okvira, saj je povečala preglednost, odgovornost in integriteto z odprtimi podatki, digitalizacijo in krepitvijo neodvisnosti protikorupcijskih organov;</w:t>
      </w:r>
    </w:p>
    <w:p w14:paraId="5CDEB96C" w14:textId="77777777" w:rsidR="00A8664F" w:rsidRPr="00382100" w:rsidRDefault="00A8664F" w:rsidP="00A8664F">
      <w:pPr>
        <w:widowControl/>
        <w:spacing w:after="240"/>
        <w:ind w:left="567" w:hanging="567"/>
        <w:rPr>
          <w:snapToGrid w:val="0"/>
          <w:lang w:eastAsia="en-US"/>
        </w:rPr>
      </w:pPr>
      <w:r w:rsidRPr="00382100">
        <w:rPr>
          <w:snapToGrid w:val="0"/>
          <w:lang w:eastAsia="en-US"/>
        </w:rPr>
        <w:t>O.</w:t>
      </w:r>
      <w:r w:rsidRPr="00382100">
        <w:rPr>
          <w:snapToGrid w:val="0"/>
          <w:lang w:eastAsia="en-US"/>
        </w:rPr>
        <w:tab/>
        <w:t>ker so ukrajinske oblasti sredi julija 2025 poskušale s sprejetjem zakona št. 12414 spodkopati neodvisnost ukrajinskega nacionalnega protikorupcijskega urada in specializiranega protikorupcijskega tožilstva, saj so s tem generalnemu državnemu tožilcu podelile obsežna pooblastila za vmešavanje v preiskave teh dveh organov; ker je ukrajinski parlament 31. avgusta 2025 zaradi velikega notranjega in zunanjega pritiska sprejel zakon št. 13533, da bi povrnil prejšnje stanje ter s tem popolno neodvisnost omenjenih organov;</w:t>
      </w:r>
    </w:p>
    <w:p w14:paraId="677C4291" w14:textId="77777777" w:rsidR="00A8664F" w:rsidRPr="00382100" w:rsidRDefault="00A8664F" w:rsidP="00A8664F">
      <w:pPr>
        <w:widowControl/>
        <w:spacing w:after="240"/>
        <w:ind w:left="567" w:hanging="567"/>
        <w:rPr>
          <w:snapToGrid w:val="0"/>
          <w:lang w:eastAsia="en-US"/>
        </w:rPr>
      </w:pPr>
      <w:r w:rsidRPr="00382100">
        <w:rPr>
          <w:snapToGrid w:val="0"/>
          <w:lang w:eastAsia="en-US"/>
        </w:rPr>
        <w:t>P.</w:t>
      </w:r>
      <w:r w:rsidRPr="00382100">
        <w:rPr>
          <w:snapToGrid w:val="0"/>
          <w:lang w:eastAsia="en-US"/>
        </w:rPr>
        <w:tab/>
        <w:t>ker je Ukrajina na indeksu zaznave korupcije organizacije Transparency International za leto 2024 dosegla 35 od 100 točk in se uvrstila na 105. mesto od 180 držav in ker so kljub močni zavezanosti boju proti korupciji še vedno potrebne dejanske reforme za uresničitev teh namenov; ker so celovita reforma javne uprave, boj proti korupciji, spodbujanje temeljnih pravic in učinkovito delovanje demokratičnih institucij osnovni pogoji za pristop k EU;</w:t>
      </w:r>
    </w:p>
    <w:p w14:paraId="2512A8D1" w14:textId="77777777" w:rsidR="00A8664F" w:rsidRPr="00382100" w:rsidRDefault="00A8664F" w:rsidP="00A8664F">
      <w:pPr>
        <w:widowControl/>
        <w:spacing w:after="240"/>
        <w:ind w:left="567" w:hanging="567"/>
        <w:rPr>
          <w:snapToGrid w:val="0"/>
          <w:lang w:eastAsia="en-US"/>
        </w:rPr>
      </w:pPr>
      <w:r w:rsidRPr="00382100">
        <w:rPr>
          <w:snapToGrid w:val="0"/>
          <w:lang w:eastAsia="en-US"/>
        </w:rPr>
        <w:t>Q.</w:t>
      </w:r>
      <w:r w:rsidRPr="00382100">
        <w:rPr>
          <w:snapToGrid w:val="0"/>
          <w:lang w:eastAsia="en-US"/>
        </w:rPr>
        <w:tab/>
        <w:t>ker je Ukrajina na področju regionalnega sodelovanja in socialno-ekonomskih reform dosegla napredek glede usklajevanja svojih politik s standardi EU;</w:t>
      </w:r>
    </w:p>
    <w:p w14:paraId="57E3223B" w14:textId="77777777" w:rsidR="00A8664F" w:rsidRPr="00382100" w:rsidRDefault="00A8664F" w:rsidP="00A8664F">
      <w:pPr>
        <w:widowControl/>
        <w:spacing w:after="240"/>
        <w:ind w:left="567" w:hanging="567"/>
        <w:rPr>
          <w:rFonts w:eastAsiaTheme="majorEastAsia"/>
          <w:szCs w:val="24"/>
        </w:rPr>
      </w:pPr>
      <w:r w:rsidRPr="00382100">
        <w:rPr>
          <w:szCs w:val="24"/>
        </w:rPr>
        <w:t>R.</w:t>
      </w:r>
      <w:r w:rsidRPr="00382100">
        <w:rPr>
          <w:szCs w:val="24"/>
        </w:rPr>
        <w:tab/>
        <w:t xml:space="preserve">ker so demokratične institucije Ukrajine pokazale prilagodljivost v vojnem stanju, saj so dokazale, da ima Ukrajina celo med rusko vojaško agresijo delujoče institucije, demokracijo in gospodarstvo; ker so volitve zakonsko prepovedane in neizvedljive, </w:t>
      </w:r>
      <w:r w:rsidRPr="00382100">
        <w:rPr>
          <w:szCs w:val="24"/>
        </w:rPr>
        <w:lastRenderedPageBreak/>
        <w:t>dokler v Ukrajini traja vojna in vojno stanje; ker Parlament pozdravlja izjave, da se bodo po koncu vojnega stanja lahko začele priprave na volitve;</w:t>
      </w:r>
    </w:p>
    <w:p w14:paraId="3FA51623" w14:textId="77777777" w:rsidR="00A8664F" w:rsidRPr="00382100" w:rsidRDefault="00A8664F" w:rsidP="00A8664F">
      <w:pPr>
        <w:widowControl/>
        <w:spacing w:after="240"/>
        <w:ind w:left="567" w:hanging="567"/>
        <w:rPr>
          <w:szCs w:val="24"/>
        </w:rPr>
      </w:pPr>
      <w:r w:rsidRPr="00382100">
        <w:rPr>
          <w:szCs w:val="24"/>
        </w:rPr>
        <w:t>S.</w:t>
      </w:r>
      <w:r w:rsidRPr="00382100">
        <w:rPr>
          <w:szCs w:val="24"/>
        </w:rPr>
        <w:tab/>
        <w:t>ker je bil dosežen napredek pri reformi javne uprave, vendar je treba še naprej krepiti zmogljivosti, oblikovati politiko na podlagi dokazov in izboljšati upravljanje človeških virov;</w:t>
      </w:r>
    </w:p>
    <w:p w14:paraId="3B4F1B5A" w14:textId="77777777" w:rsidR="00A8664F" w:rsidRPr="00382100" w:rsidRDefault="00A8664F" w:rsidP="00A8664F">
      <w:pPr>
        <w:widowControl/>
        <w:spacing w:after="240"/>
        <w:ind w:left="567" w:hanging="567"/>
        <w:rPr>
          <w:snapToGrid w:val="0"/>
          <w:lang w:eastAsia="en-US"/>
        </w:rPr>
      </w:pPr>
      <w:r w:rsidRPr="00382100">
        <w:rPr>
          <w:snapToGrid w:val="0"/>
          <w:lang w:eastAsia="en-US"/>
        </w:rPr>
        <w:t>T.</w:t>
      </w:r>
      <w:r w:rsidRPr="00382100">
        <w:rPr>
          <w:snapToGrid w:val="0"/>
          <w:lang w:eastAsia="en-US"/>
        </w:rPr>
        <w:tab/>
        <w:t>ker je sodstvo ponovno prevzelo ključne funkcije, vključno s preverjanjem sodnikov in izvajanjem protikorupcijskih ukrepov, čeprav je treba okrepiti standarde integritete in preglednosti ter se mora nadaljevati nadzor, ki ga izvajajo mednarodni partnerji;</w:t>
      </w:r>
    </w:p>
    <w:p w14:paraId="64D90EFB" w14:textId="77777777" w:rsidR="00A8664F" w:rsidRPr="00382100" w:rsidRDefault="00A8664F" w:rsidP="00A8664F">
      <w:pPr>
        <w:widowControl/>
        <w:spacing w:after="240"/>
        <w:ind w:left="567" w:hanging="567"/>
        <w:rPr>
          <w:snapToGrid w:val="0"/>
          <w:lang w:eastAsia="en-US"/>
        </w:rPr>
      </w:pPr>
      <w:r w:rsidRPr="00382100">
        <w:rPr>
          <w:snapToGrid w:val="0"/>
          <w:lang w:eastAsia="en-US"/>
        </w:rPr>
        <w:t>U.</w:t>
      </w:r>
      <w:r w:rsidRPr="00382100">
        <w:rPr>
          <w:snapToGrid w:val="0"/>
          <w:lang w:eastAsia="en-US"/>
        </w:rPr>
        <w:tab/>
        <w:t>ker so pri krepitvi neodvisnosti sodstva pomagali mednarodni strokovnjaki v komisijah za izbor sodnikov, kar je povečalo tudi zaupanje javnosti v sodni sistem;</w:t>
      </w:r>
    </w:p>
    <w:p w14:paraId="7620915E" w14:textId="77777777" w:rsidR="00A8664F" w:rsidRPr="00382100" w:rsidRDefault="00A8664F" w:rsidP="00A8664F">
      <w:pPr>
        <w:widowControl/>
        <w:spacing w:after="240"/>
        <w:ind w:left="567" w:hanging="567"/>
        <w:rPr>
          <w:snapToGrid w:val="0"/>
          <w:lang w:eastAsia="en-US"/>
        </w:rPr>
      </w:pPr>
      <w:r w:rsidRPr="00382100">
        <w:rPr>
          <w:snapToGrid w:val="0"/>
          <w:lang w:eastAsia="en-US"/>
        </w:rPr>
        <w:t>V.</w:t>
      </w:r>
      <w:r w:rsidRPr="00382100">
        <w:rPr>
          <w:snapToGrid w:val="0"/>
          <w:lang w:eastAsia="en-US"/>
        </w:rPr>
        <w:tab/>
        <w:t>ker se je 1. junija 2025 končalo sodelovanje mednarodnih strokovnjakov pri izbiri visoke kvalifikacijske komisije sodnikov;</w:t>
      </w:r>
    </w:p>
    <w:p w14:paraId="5A75A959" w14:textId="77777777" w:rsidR="00A8664F" w:rsidRPr="00382100" w:rsidRDefault="00A8664F" w:rsidP="00A8664F">
      <w:pPr>
        <w:widowControl/>
        <w:spacing w:after="240"/>
        <w:ind w:left="567" w:hanging="567"/>
        <w:rPr>
          <w:snapToGrid w:val="0"/>
          <w:lang w:eastAsia="en-US"/>
        </w:rPr>
      </w:pPr>
      <w:r w:rsidRPr="00382100">
        <w:rPr>
          <w:snapToGrid w:val="0"/>
          <w:lang w:eastAsia="en-US"/>
        </w:rPr>
        <w:t>W.</w:t>
      </w:r>
      <w:r w:rsidRPr="00382100">
        <w:rPr>
          <w:snapToGrid w:val="0"/>
          <w:lang w:eastAsia="en-US"/>
        </w:rPr>
        <w:tab/>
        <w:t>ker je Ukrajina z zakonodajo o obnovljivi energiji in z usklajevanjem s cilji evropskega zelenega dogovora pokazala zavezanost zeleni agendi, čeprav Rusija nenehno uničuje njene energetske objekte;</w:t>
      </w:r>
    </w:p>
    <w:p w14:paraId="6EEEB23E" w14:textId="77777777" w:rsidR="00A8664F" w:rsidRPr="00382100" w:rsidRDefault="00A8664F" w:rsidP="00A8664F">
      <w:pPr>
        <w:widowControl/>
        <w:spacing w:after="240"/>
        <w:ind w:left="567" w:hanging="567"/>
        <w:rPr>
          <w:rFonts w:eastAsiaTheme="majorEastAsia"/>
          <w:szCs w:val="24"/>
        </w:rPr>
      </w:pPr>
      <w:r w:rsidRPr="00382100">
        <w:rPr>
          <w:szCs w:val="24"/>
        </w:rPr>
        <w:t>X.</w:t>
      </w:r>
      <w:r w:rsidRPr="00382100">
        <w:rPr>
          <w:szCs w:val="24"/>
        </w:rPr>
        <w:tab/>
        <w:t>ker je okoljska škoda, ki jo je povzročila Rusija, imela uničujoče posledice za ukrajinske naravne vire, kritične ekosisteme ter zdravje, možnosti preživljanja in varnost ljudi; ker je cilj zelene obnove, da se ta škoda odpravi in Ukrajina usmeri na novo pot okoljske in družbene trajnostnosti, ki bo skladna z okoljskimi predpisi iz pravnega reda EU; ker je Ukrajina 1. januarja 2025 nehala delovati kot tranzitna država za ruski plin;</w:t>
      </w:r>
    </w:p>
    <w:p w14:paraId="5638D87A" w14:textId="77777777" w:rsidR="00A8664F" w:rsidRPr="00382100" w:rsidRDefault="00A8664F" w:rsidP="00A8664F">
      <w:pPr>
        <w:widowControl/>
        <w:spacing w:after="240"/>
        <w:ind w:left="567" w:hanging="567"/>
        <w:rPr>
          <w:snapToGrid w:val="0"/>
          <w:lang w:eastAsia="en-US"/>
        </w:rPr>
      </w:pPr>
      <w:r w:rsidRPr="00382100">
        <w:rPr>
          <w:snapToGrid w:val="0"/>
          <w:lang w:eastAsia="en-US"/>
        </w:rPr>
        <w:t>Y.</w:t>
      </w:r>
      <w:r w:rsidRPr="00382100">
        <w:rPr>
          <w:snapToGrid w:val="0"/>
          <w:lang w:eastAsia="en-US"/>
        </w:rPr>
        <w:tab/>
        <w:t>ker so tuji vlagatelji in multinacionalke znatno povečali svoj nadzor nad ukrajinskimi naravnimi viri, vključno s kmetijskimi zemljišči, minerali in kritično infrastrukturo; ker te spremembe ogrožajo nacionalno suverenost, prehransko varnost in gospodarsko samoodločanje;</w:t>
      </w:r>
    </w:p>
    <w:p w14:paraId="5DD5A625" w14:textId="77777777" w:rsidR="00A8664F" w:rsidRPr="00382100" w:rsidRDefault="00A8664F" w:rsidP="00A8664F">
      <w:pPr>
        <w:widowControl/>
        <w:spacing w:after="240"/>
        <w:ind w:left="567" w:hanging="567"/>
        <w:rPr>
          <w:rFonts w:eastAsiaTheme="majorEastAsia"/>
          <w:szCs w:val="24"/>
        </w:rPr>
      </w:pPr>
      <w:r w:rsidRPr="00382100">
        <w:rPr>
          <w:szCs w:val="24"/>
        </w:rPr>
        <w:t>Z.</w:t>
      </w:r>
      <w:r w:rsidRPr="00382100">
        <w:rPr>
          <w:szCs w:val="24"/>
        </w:rPr>
        <w:tab/>
        <w:t>ker je EU leta 2024 kupila ruska fosilna goriva v vrednosti 21,9 milijarde EUR, kar je preseglo 18,7 milijarde EUR finančne pomoči, ki je bila Ukrajini zagotovljena istega leta; ker je EU od začetka obsežne invazije porabila več kot 200 milijard EUR za ruska fosilna goriva in s tem prispevala k financiranju ruske vojne blagajne; ker je Komisija napovedala, da bo do leta 2027 ustavila uvoz ruskega plina; ker bo EU, če bo še naprej uvažala rusko energijo na ravni iz leta 2024, Rusiji do konca leta 2027 plačala dodatne 57,4 milijarde EUR;</w:t>
      </w:r>
    </w:p>
    <w:p w14:paraId="6853D3DF" w14:textId="77777777" w:rsidR="00A8664F" w:rsidRPr="00382100" w:rsidRDefault="00A8664F" w:rsidP="00A8664F">
      <w:pPr>
        <w:widowControl/>
        <w:spacing w:after="240"/>
        <w:ind w:left="567" w:hanging="567"/>
        <w:rPr>
          <w:snapToGrid w:val="0"/>
          <w:lang w:eastAsia="en-US"/>
        </w:rPr>
      </w:pPr>
      <w:r w:rsidRPr="00382100">
        <w:rPr>
          <w:snapToGrid w:val="0"/>
          <w:lang w:eastAsia="en-US"/>
        </w:rPr>
        <w:t>AA.</w:t>
      </w:r>
      <w:r w:rsidRPr="00382100">
        <w:rPr>
          <w:snapToGrid w:val="0"/>
          <w:lang w:eastAsia="en-US"/>
        </w:rPr>
        <w:tab/>
        <w:t>ker civilna družba ostaja steber odpornosti in demokracije v Ukrajini; ker nevladne organizacije kljub omejitvam, uvedenim zaradi vojnega stanja, razmeroma nemoteno nadaljujejo svoje delo, čeprav primeri pritiska na aktiviste vzbujajo zaskrbljenost in zahtevajo vladno ukrepanje; ker je imelo nenadno zmanjšanje financiranja ZDA uničujoče posledice za ukrajinsko civilno družbo;</w:t>
      </w:r>
    </w:p>
    <w:p w14:paraId="72F40A92" w14:textId="77777777" w:rsidR="00A8664F" w:rsidRPr="00382100" w:rsidRDefault="00A8664F" w:rsidP="00A8664F">
      <w:pPr>
        <w:widowControl/>
        <w:spacing w:after="240"/>
        <w:ind w:left="567" w:hanging="567"/>
        <w:rPr>
          <w:snapToGrid w:val="0"/>
          <w:lang w:eastAsia="en-US"/>
        </w:rPr>
      </w:pPr>
      <w:r w:rsidRPr="00382100">
        <w:rPr>
          <w:snapToGrid w:val="0"/>
          <w:lang w:eastAsia="en-US"/>
        </w:rPr>
        <w:t>AB.</w:t>
      </w:r>
      <w:r w:rsidRPr="00382100">
        <w:rPr>
          <w:snapToGrid w:val="0"/>
          <w:lang w:eastAsia="en-US"/>
        </w:rPr>
        <w:tab/>
        <w:t>ker sta svoboda izražanja in neodvisnost medijev postavljena pred izzive, zlasti v vojnem stanju; ker so potrebni ukrepi za ponovno vzpostavitev pluralizma, zaščito novinarjev in vzpostavitev finančno ugodnega okolja; ker je razumljivo, da so v času vojnega stanja nekatere omejitve neizogibne;</w:t>
      </w:r>
    </w:p>
    <w:p w14:paraId="174666D9" w14:textId="77777777" w:rsidR="00A8664F" w:rsidRPr="00382100" w:rsidRDefault="00A8664F" w:rsidP="00A8664F">
      <w:pPr>
        <w:widowControl/>
        <w:spacing w:after="240"/>
        <w:ind w:left="567" w:hanging="567"/>
        <w:rPr>
          <w:snapToGrid w:val="0"/>
          <w:lang w:eastAsia="en-US"/>
        </w:rPr>
      </w:pPr>
      <w:r w:rsidRPr="00382100">
        <w:rPr>
          <w:snapToGrid w:val="0"/>
          <w:lang w:eastAsia="en-US"/>
        </w:rPr>
        <w:lastRenderedPageBreak/>
        <w:t>AC.</w:t>
      </w:r>
      <w:r w:rsidRPr="00382100">
        <w:rPr>
          <w:snapToGrid w:val="0"/>
          <w:lang w:eastAsia="en-US"/>
        </w:rPr>
        <w:tab/>
        <w:t xml:space="preserve">ker je Evropska konfederacija sindikatov (ETUC) resno zaskrbljena zaradi slabšanja pravic delavcev v Ukrajini, tudi zaradi kršitev sindikalnih svoboščin in socialnega dialoga; ker so svoboda združevanja, kolektivna pogajanja in pravica do stavke zaščiteni s konvencijami Mednarodne organizacije dela, katerih pogodbenica je Ukrajina, in so ključni elementi pravnega reda EU in </w:t>
      </w:r>
      <w:proofErr w:type="spellStart"/>
      <w:r w:rsidRPr="00382100">
        <w:rPr>
          <w:snapToGrid w:val="0"/>
          <w:lang w:eastAsia="en-US"/>
        </w:rPr>
        <w:t>københavnskih</w:t>
      </w:r>
      <w:proofErr w:type="spellEnd"/>
      <w:r w:rsidRPr="00382100">
        <w:rPr>
          <w:snapToGrid w:val="0"/>
          <w:lang w:eastAsia="en-US"/>
        </w:rPr>
        <w:t xml:space="preserve"> meril;</w:t>
      </w:r>
    </w:p>
    <w:p w14:paraId="02E44437" w14:textId="77777777" w:rsidR="00A8664F" w:rsidRPr="00382100" w:rsidRDefault="00A8664F" w:rsidP="00A8664F">
      <w:pPr>
        <w:widowControl/>
        <w:spacing w:after="240"/>
        <w:ind w:left="567" w:hanging="567"/>
        <w:rPr>
          <w:snapToGrid w:val="0"/>
          <w:lang w:eastAsia="en-US"/>
        </w:rPr>
      </w:pPr>
      <w:r w:rsidRPr="00382100">
        <w:rPr>
          <w:snapToGrid w:val="0"/>
          <w:lang w:eastAsia="en-US"/>
        </w:rPr>
        <w:t>AD.</w:t>
      </w:r>
      <w:r w:rsidRPr="00382100">
        <w:rPr>
          <w:snapToGrid w:val="0"/>
          <w:lang w:eastAsia="en-US"/>
        </w:rPr>
        <w:tab/>
        <w:t>ker je proces povezovanja EU široko podprt z javnim in institucionalnim soglasjem, ki odraža močno družbeno zavezanost pridružitvi EU kljub trenutnim težavam;</w:t>
      </w:r>
    </w:p>
    <w:p w14:paraId="0A1999FF" w14:textId="77777777" w:rsidR="00A8664F" w:rsidRPr="00382100" w:rsidRDefault="00A8664F" w:rsidP="00A8664F">
      <w:pPr>
        <w:widowControl/>
        <w:spacing w:after="240"/>
        <w:ind w:left="567" w:hanging="567"/>
        <w:rPr>
          <w:snapToGrid w:val="0"/>
          <w:lang w:eastAsia="en-US"/>
        </w:rPr>
      </w:pPr>
      <w:r w:rsidRPr="00382100">
        <w:rPr>
          <w:snapToGrid w:val="0"/>
          <w:lang w:eastAsia="en-US"/>
        </w:rPr>
        <w:t>AE.</w:t>
      </w:r>
      <w:r w:rsidRPr="00382100">
        <w:rPr>
          <w:snapToGrid w:val="0"/>
          <w:lang w:eastAsia="en-US"/>
        </w:rPr>
        <w:tab/>
        <w:t>ker ima glede na eksistenčno vojno Ukrajine proti nenehni ruski agresiji pristop k EU izrazito varnostno razsežnost in močan simbolni pomen za državo in njeno prebivalstvo; ker neomajna podpora EU ukrajinski suverenosti, ozemeljski celovitosti in neodvisnosti ni odvisna od hitrosti evropske integracije te države;</w:t>
      </w:r>
    </w:p>
    <w:p w14:paraId="13357EF8" w14:textId="77777777" w:rsidR="00A8664F" w:rsidRPr="00382100" w:rsidRDefault="00A8664F" w:rsidP="00A8664F">
      <w:pPr>
        <w:widowControl/>
        <w:spacing w:after="240"/>
        <w:ind w:left="567" w:hanging="567"/>
        <w:rPr>
          <w:snapToGrid w:val="0"/>
          <w:lang w:eastAsia="en-US"/>
        </w:rPr>
      </w:pPr>
      <w:r w:rsidRPr="00382100">
        <w:rPr>
          <w:snapToGrid w:val="0"/>
          <w:lang w:eastAsia="en-US"/>
        </w:rPr>
        <w:t>AF.</w:t>
      </w:r>
      <w:r w:rsidRPr="00382100">
        <w:rPr>
          <w:snapToGrid w:val="0"/>
          <w:lang w:eastAsia="en-US"/>
        </w:rPr>
        <w:tab/>
        <w:t>ker članstvo v EU ostaja ključno gonilo demokratičnega razvoja Ukrajine in bo ključni dejavnik pri zagotavljanju prihodnje varnosti, stabilnosti in neodvisnosti države; ker je članstvo Ukrajine v EU strateška naložba v mir, varnost, demokracijo in blaginjo za celotno celino, saj bo okrepilo Unijo, s tem da bo prispevalo k njeni geopolitični odpornosti, povečalo njen gospodarski potencial in okrepilo njeno zavezanost skupnim vrednotam demokracije, pravne države in svobode;</w:t>
      </w:r>
    </w:p>
    <w:p w14:paraId="0654A477" w14:textId="77777777" w:rsidR="00A8664F" w:rsidRPr="00382100" w:rsidRDefault="00A8664F" w:rsidP="00A8664F">
      <w:pPr>
        <w:widowControl/>
        <w:spacing w:after="240"/>
        <w:ind w:left="567" w:hanging="567"/>
        <w:rPr>
          <w:snapToGrid w:val="0"/>
          <w:lang w:eastAsia="en-US"/>
        </w:rPr>
      </w:pPr>
      <w:r w:rsidRPr="00382100">
        <w:rPr>
          <w:snapToGrid w:val="0"/>
          <w:lang w:eastAsia="en-US"/>
        </w:rPr>
        <w:t>AG.</w:t>
      </w:r>
      <w:r w:rsidRPr="00382100">
        <w:rPr>
          <w:snapToGrid w:val="0"/>
          <w:lang w:eastAsia="en-US"/>
        </w:rPr>
        <w:tab/>
        <w:t>ker je pridružitev proces, ki temelji na dosežkih, napredek pri izvajanju reform pa je treba temeljito in skrbno oceniti</w:t>
      </w:r>
      <w:bookmarkStart w:id="9" w:name="_Hlk204184035"/>
      <w:r w:rsidRPr="00382100">
        <w:rPr>
          <w:snapToGrid w:val="0"/>
          <w:lang w:eastAsia="en-US"/>
        </w:rPr>
        <w:t>, kar je tudi v interesu Ukrajine;</w:t>
      </w:r>
    </w:p>
    <w:bookmarkEnd w:id="9"/>
    <w:p w14:paraId="78360C2E" w14:textId="77777777" w:rsidR="00A8664F" w:rsidRPr="00382100" w:rsidRDefault="00A8664F" w:rsidP="00A8664F">
      <w:pPr>
        <w:widowControl/>
        <w:spacing w:after="240"/>
        <w:rPr>
          <w:rFonts w:eastAsiaTheme="majorEastAsia"/>
          <w:bCs/>
          <w:szCs w:val="24"/>
        </w:rPr>
      </w:pPr>
      <w:r w:rsidRPr="00382100">
        <w:rPr>
          <w:b/>
          <w:bCs/>
          <w:i/>
          <w:iCs/>
          <w:szCs w:val="24"/>
        </w:rPr>
        <w:t>Ruska vojaška agresija kot ozadje priprav Ukrajine za pridružitev EU</w:t>
      </w:r>
    </w:p>
    <w:p w14:paraId="4C7E49F1" w14:textId="77777777" w:rsidR="00A8664F" w:rsidRPr="00382100" w:rsidRDefault="00A8664F" w:rsidP="00A8664F">
      <w:pPr>
        <w:widowControl/>
        <w:spacing w:after="240"/>
        <w:ind w:left="567" w:hanging="567"/>
        <w:rPr>
          <w:snapToGrid w:val="0"/>
          <w:lang w:eastAsia="en-US"/>
        </w:rPr>
      </w:pPr>
      <w:r w:rsidRPr="00382100">
        <w:rPr>
          <w:snapToGrid w:val="0"/>
          <w:lang w:eastAsia="en-US"/>
        </w:rPr>
        <w:t>1.</w:t>
      </w:r>
      <w:r w:rsidRPr="00382100">
        <w:rPr>
          <w:snapToGrid w:val="0"/>
          <w:lang w:eastAsia="en-US"/>
        </w:rPr>
        <w:tab/>
        <w:t>najostreje obsoja trajajočo vojaško agresijo Ruske federacije proti Ukrajini in ruske neselektivne napade na civiliste in civilno infrastrukturo; ponovno izraža neomajno solidarnost s pogumnim ukrajinskim narodom, ki od leta 2014plačuje najvišjo ceno pri obrambi Ukrajine ter njene suverenosti in ozemeljske nedotakljivosti, obenem pa je ščitil Evropo ter naše skupne demokratične vrednote in načela; izraža najgloblje sožalje družinam padlih junakov in nedolžnih civilnih žrtev ruske agresije, med katerimi je več kot 600 otrok, ki so bili ubiti;</w:t>
      </w:r>
    </w:p>
    <w:p w14:paraId="23E78323" w14:textId="77777777" w:rsidR="00A8664F" w:rsidRPr="00382100" w:rsidRDefault="00A8664F" w:rsidP="00A8664F">
      <w:pPr>
        <w:widowControl/>
        <w:spacing w:after="240"/>
        <w:ind w:left="567" w:hanging="567"/>
        <w:rPr>
          <w:snapToGrid w:val="0"/>
          <w:lang w:eastAsia="en-US"/>
        </w:rPr>
      </w:pPr>
      <w:r>
        <w:rPr>
          <w:snapToGrid w:val="0"/>
          <w:lang w:eastAsia="en-US"/>
        </w:rPr>
        <w:t>2</w:t>
      </w:r>
      <w:r w:rsidRPr="00382100">
        <w:rPr>
          <w:snapToGrid w:val="0"/>
          <w:lang w:eastAsia="en-US"/>
        </w:rPr>
        <w:t>.</w:t>
      </w:r>
      <w:r w:rsidRPr="00382100">
        <w:rPr>
          <w:snapToGrid w:val="0"/>
          <w:lang w:eastAsia="en-US"/>
        </w:rPr>
        <w:tab/>
        <w:t xml:space="preserve">odločno obsoja umore uglednih ukrajinskih javnih osebnosti in vojakov, ki jih je organizirala Rusija, ter njeno sabotažo ukrajinske kritične infrastrukture; je zgrožen in ogorčen zaradi strahotnega umora Andrija </w:t>
      </w:r>
      <w:proofErr w:type="spellStart"/>
      <w:r w:rsidRPr="00382100">
        <w:rPr>
          <w:snapToGrid w:val="0"/>
          <w:lang w:eastAsia="en-US"/>
        </w:rPr>
        <w:t>Parubija</w:t>
      </w:r>
      <w:proofErr w:type="spellEnd"/>
      <w:r w:rsidRPr="00382100">
        <w:rPr>
          <w:snapToGrid w:val="0"/>
          <w:lang w:eastAsia="en-US"/>
        </w:rPr>
        <w:t>, nekdanjega predsednika ukrajinskega parlamenta in nekdanjega sekretarja sveta za nacionalno varnost in obrambo, ki je bil trdno zavezan evropskim težnjam Ukrajine, 30. avgusta 2025 v Lvovu;</w:t>
      </w:r>
    </w:p>
    <w:p w14:paraId="039E8E5D" w14:textId="77777777" w:rsidR="00A8664F" w:rsidRPr="00382100" w:rsidRDefault="00A8664F" w:rsidP="00A8664F">
      <w:pPr>
        <w:widowControl/>
        <w:spacing w:after="240"/>
        <w:ind w:left="567" w:hanging="567"/>
        <w:rPr>
          <w:snapToGrid w:val="0"/>
          <w:lang w:eastAsia="en-US"/>
        </w:rPr>
      </w:pPr>
      <w:r>
        <w:rPr>
          <w:snapToGrid w:val="0"/>
          <w:lang w:eastAsia="en-US"/>
        </w:rPr>
        <w:t>3</w:t>
      </w:r>
      <w:r w:rsidRPr="00382100">
        <w:rPr>
          <w:snapToGrid w:val="0"/>
          <w:lang w:eastAsia="en-US"/>
        </w:rPr>
        <w:t>.</w:t>
      </w:r>
      <w:r w:rsidRPr="00382100">
        <w:rPr>
          <w:snapToGrid w:val="0"/>
          <w:lang w:eastAsia="en-US"/>
        </w:rPr>
        <w:tab/>
        <w:t xml:space="preserve">izraža ogorčenje nad intenzivnimi napadi z </w:t>
      </w:r>
      <w:proofErr w:type="spellStart"/>
      <w:r w:rsidRPr="00382100">
        <w:rPr>
          <w:snapToGrid w:val="0"/>
          <w:lang w:eastAsia="en-US"/>
        </w:rPr>
        <w:t>brezpilotniki</w:t>
      </w:r>
      <w:proofErr w:type="spellEnd"/>
      <w:r w:rsidRPr="00382100">
        <w:rPr>
          <w:snapToGrid w:val="0"/>
          <w:lang w:eastAsia="en-US"/>
        </w:rPr>
        <w:t xml:space="preserve"> in raketami, ki jih je Rusija izvedla na civilne cilje, med drugim nad napadom na Kijev 28. avgusta 2025, ko sta bili neposredni tarči delegacija EU v Ukrajini in British </w:t>
      </w:r>
      <w:proofErr w:type="spellStart"/>
      <w:r w:rsidRPr="00382100">
        <w:rPr>
          <w:snapToGrid w:val="0"/>
          <w:lang w:eastAsia="en-US"/>
        </w:rPr>
        <w:t>Council</w:t>
      </w:r>
      <w:proofErr w:type="spellEnd"/>
      <w:r w:rsidRPr="00382100">
        <w:rPr>
          <w:snapToGrid w:val="0"/>
          <w:lang w:eastAsia="en-US"/>
        </w:rPr>
        <w:t>; poudarja, da je nedavni napad – tako kot vsi drugi napadi na civilno infrastrukturo – vojni zločin, ki potrjuje, da Rusija očitno ne spoštuje človeških življenj, mednarodnega prava, prizadevanj ZDA za mir in temeljnih načel, ki urejajo zaščito civilistov;</w:t>
      </w:r>
    </w:p>
    <w:p w14:paraId="74C8458C" w14:textId="77777777" w:rsidR="00A8664F" w:rsidRPr="00382100" w:rsidRDefault="00A8664F" w:rsidP="00A8664F">
      <w:pPr>
        <w:widowControl/>
        <w:spacing w:after="240"/>
        <w:ind w:left="567" w:hanging="567"/>
        <w:rPr>
          <w:snapToGrid w:val="0"/>
          <w:lang w:eastAsia="en-US"/>
        </w:rPr>
      </w:pPr>
      <w:r>
        <w:rPr>
          <w:snapToGrid w:val="0"/>
          <w:lang w:eastAsia="en-US"/>
        </w:rPr>
        <w:t>4</w:t>
      </w:r>
      <w:r w:rsidRPr="00382100">
        <w:rPr>
          <w:snapToGrid w:val="0"/>
          <w:lang w:eastAsia="en-US"/>
        </w:rPr>
        <w:t>.</w:t>
      </w:r>
      <w:r w:rsidRPr="00382100">
        <w:rPr>
          <w:snapToGrid w:val="0"/>
          <w:lang w:eastAsia="en-US"/>
        </w:rPr>
        <w:tab/>
        <w:t xml:space="preserve">potrjuje svojo neomajno zavezanost neodvisnosti, suverenosti in ozemeljski celovitosti Ukrajine v okviru njenih mednarodno priznanih meja; ponovno poudarja svojo politiko nepriznavanja ozemelj Ukrajine, ki jih je začasno zasedla Rusija, med drugim Krima; odločno poudarja, da ima Ukrajina v skladu s členom 51 Ustanovne listine OZN </w:t>
      </w:r>
      <w:r w:rsidRPr="00382100">
        <w:rPr>
          <w:snapToGrid w:val="0"/>
          <w:lang w:eastAsia="en-US"/>
        </w:rPr>
        <w:lastRenderedPageBreak/>
        <w:t>neodtujljivo pravico do samoobrambe, kar zajema pravico do napada na vojaške cilje na ruskih tleh; ponovno potrjuje zavezanost EU pravičnemu in trajnemu miru v Ukrajini pod pogoji, ki so sprejemljivi za Ukrajino in njeno prebivalstvo, ob ohranjanju njene suverenosti in ozemeljske celovitosti, pregona odgovornih za vojna hudodelstva ter izplačila odškodnin; poziva EU in njene države članice, naj si dejavno prizadevajo za ohranjanje in doseganje čim širše mednarodne podpore Ukrajini ter za iskanje mirne rešitve vojne, ki mora temeljiti na popolnem spoštovanju mednarodne zakonodaje, suverenosti in ozemeljske celovitosti Ukrajine, odgovornosti za vojna hudodelstva in kaznivo dejanje agresije ter na dejstvu, da mora za ogromno škodo, povzročeno v Ukrajini, plačati Rusija; poudarja, da mora vsaka mirna rešitev spoštovati voljo ukrajinskega ljudstva in je ne sme vsiliti noben drug mednarodni akter ter ne sme nagrajevati agresije ali spodkopavati varnosti Ukrajine v prihodnosti; meni, da so neiskren pristop k pogajanjem in neresni predlogi ruskih voditeljev v zadnjih mesecih dodaten dokaz, da namerava Rusija nadaljevati vojno na celotnem ukrajinskem ozemlju, dokler bo to lahko delala in ji bo dovoljeno; poudarja, da je pred mirovnimi pogajanji potrebna brezpogojna prekinitev ognja; poziva, naj EU še naprej podpira ukrajinska in mednarodna prizadevanja za boljše dokumentiranje in preiskovanje vojnih hudodelstev, ki so jih storile ruske sile;</w:t>
      </w:r>
    </w:p>
    <w:p w14:paraId="4220FBCD" w14:textId="77777777" w:rsidR="00A8664F" w:rsidRPr="00382100" w:rsidRDefault="00A8664F" w:rsidP="00A8664F">
      <w:pPr>
        <w:spacing w:after="240"/>
        <w:ind w:left="567" w:hanging="567"/>
        <w:rPr>
          <w:bCs/>
          <w:iCs/>
        </w:rPr>
      </w:pPr>
      <w:r>
        <w:t>5</w:t>
      </w:r>
      <w:r w:rsidRPr="00382100">
        <w:t>.</w:t>
      </w:r>
      <w:r w:rsidRPr="00382100">
        <w:tab/>
        <w:t>izraža globoko zaskrbljenost zaradi premika v stališču ZDA glede ruske vojaške agresije, ki je vključevalo neposredno komuniciranje z Rusijo, pri čemer nanjo niso izvajale znatnega pritiska, in so se javno odpovedale glavnim sredstvom vplivanja, zavrnile dodatne sankcije in razpravljale o njihovi odpravi, in poskušale Ukrajino prisiliti, naj se odreče ozemlju in se odpove svoji legitimni pravici do samoobrambe; poudarja, da morajo EU in njene države članice ostati glavne strateške zaveznice Ukrajine in bi zato morale povečati svojo vodilno vlogo pri podpiranju ukrajinskega boja za suverenost, mir in pravico; se zaveda, da je varnost Ukrajine ključni element varnosti EU; ugotavlja, da je podpora EU Ukrajini zdaj presegla podporo ZDA, kar kaže, da ima EU ključno vlogo pri ohranjanju ukrajinskega odpora in okrevanju;</w:t>
      </w:r>
    </w:p>
    <w:p w14:paraId="0668CFB4" w14:textId="77777777" w:rsidR="00A8664F" w:rsidRPr="00382100" w:rsidRDefault="00A8664F" w:rsidP="00A8664F">
      <w:pPr>
        <w:widowControl/>
        <w:spacing w:after="240"/>
        <w:ind w:left="567" w:hanging="567"/>
        <w:rPr>
          <w:snapToGrid w:val="0"/>
          <w:lang w:eastAsia="en-US"/>
        </w:rPr>
      </w:pPr>
      <w:r>
        <w:rPr>
          <w:snapToGrid w:val="0"/>
          <w:lang w:eastAsia="en-US"/>
        </w:rPr>
        <w:t>6</w:t>
      </w:r>
      <w:r w:rsidRPr="00382100">
        <w:rPr>
          <w:snapToGrid w:val="0"/>
          <w:lang w:eastAsia="en-US"/>
        </w:rPr>
        <w:t>.</w:t>
      </w:r>
      <w:r w:rsidRPr="00382100">
        <w:rPr>
          <w:snapToGrid w:val="0"/>
          <w:lang w:eastAsia="en-US"/>
        </w:rPr>
        <w:tab/>
        <w:t xml:space="preserve">poudarja, da morajo EU in njene države članice znatno povečati učinkovitost in pospešiti dobavo vojaške, materiale in finančne pomoči, ki jo zagotavljajo, da bi podprle pravico Ukrajine do samoobrambe; vztraja, da morajo EU in njene države članice skupaj s partnerji in zavezniki prispevati k trdnim varnostnim jamstvom za Ukrajino, da bi odvrnili nadaljnjo rusko agresijo in Ukrajini omogočili, da se v celoti osredotoči na potrebne reforme na njeni poti k članstvu v EU; poudarja, da je pomembno stalno krepiti varnost na vzhodnem krilu EU in Nata v odziv na grožnje Rusije; poziva k razvoju vojaške in logistične infrastrukture v državah, ki mejijo na Ukrajino; priznava suvereno pravico Ukrajine, da izbere svoja vojaška zavezništva; </w:t>
      </w:r>
    </w:p>
    <w:p w14:paraId="7DF4D2E6" w14:textId="77777777" w:rsidR="00A8664F" w:rsidRPr="00382100" w:rsidRDefault="00A8664F" w:rsidP="00A8664F">
      <w:pPr>
        <w:widowControl/>
        <w:spacing w:after="240"/>
        <w:ind w:left="567" w:hanging="567"/>
        <w:rPr>
          <w:snapToGrid w:val="0"/>
          <w:lang w:eastAsia="en-US"/>
        </w:rPr>
      </w:pPr>
      <w:r>
        <w:rPr>
          <w:snapToGrid w:val="0"/>
          <w:lang w:eastAsia="en-US"/>
        </w:rPr>
        <w:t>7</w:t>
      </w:r>
      <w:r w:rsidRPr="00382100">
        <w:rPr>
          <w:snapToGrid w:val="0"/>
          <w:lang w:eastAsia="en-US"/>
        </w:rPr>
        <w:t>.</w:t>
      </w:r>
      <w:r w:rsidRPr="00382100">
        <w:rPr>
          <w:snapToGrid w:val="0"/>
          <w:lang w:eastAsia="en-US"/>
        </w:rPr>
        <w:tab/>
        <w:t xml:space="preserve">je seznanjen z nedavnim srečanjem predsednika ZDA Donalda Trumpa in Vladimirja Putina in poudarja, da je v očitnem nasprotju s hudo zaostritvijo ruskih napadov na Ukrajino, kar ponovno dokazuje, da Rusiji sploh ni do miru, temveč do podreditve Ukrajine; poudarja, da Vladimir Putin neiskreno sodeluje v ameriških mirovnih prizadevanjih, da bi pridobil čas za nadaljevanje ruske vojaške agresije; poziva predsednika Trumpa, naj uresniči svojo napoved, da bodo Združene države sprejele nove odločne gospodarske sankcije proti Rusiji in državam, ki napajajo njen vojaški stroj; poudarja, da trajnega in pravičnega miru v Ukrajini ne bo mogoče doseči brez polne udeležbe ukrajinskega vodstva, podpore ukrajinskega ljudstva in sodelovanja Evropske unije; odobrava, da se je predsednik Trump 18. avgusta 2025 srečal s predsednikom Zelenskim ter več evropskimi voditelji; znova potrjuje svojo trdno zavezanost, da bo dal varnostna jamstva in sprejel vse potrebne ukrepe za okrepitev </w:t>
      </w:r>
      <w:r w:rsidRPr="00382100">
        <w:rPr>
          <w:snapToGrid w:val="0"/>
          <w:lang w:eastAsia="en-US"/>
        </w:rPr>
        <w:lastRenderedPageBreak/>
        <w:t>ukrajinskih oboroženih sil in obrambne industrije; zavrača vsa ruska zagotovila glede prihodnje varnostne ureditve za Ukrajino in vse poskuse pogojevanja številčne in operativne suverenosti ukrajinskih oboroženih sil;</w:t>
      </w:r>
    </w:p>
    <w:p w14:paraId="344BCFB2" w14:textId="77777777" w:rsidR="00A8664F" w:rsidRPr="00382100" w:rsidRDefault="00A8664F" w:rsidP="00A8664F">
      <w:pPr>
        <w:widowControl/>
        <w:spacing w:after="240"/>
        <w:ind w:left="567" w:hanging="567"/>
        <w:rPr>
          <w:bCs/>
          <w:iCs/>
          <w:snapToGrid w:val="0"/>
          <w:lang w:eastAsia="en-US"/>
        </w:rPr>
      </w:pPr>
      <w:r>
        <w:rPr>
          <w:snapToGrid w:val="0"/>
          <w:lang w:eastAsia="en-US"/>
        </w:rPr>
        <w:t>8</w:t>
      </w:r>
      <w:r w:rsidRPr="00382100">
        <w:rPr>
          <w:snapToGrid w:val="0"/>
          <w:lang w:eastAsia="en-US"/>
        </w:rPr>
        <w:t>.</w:t>
      </w:r>
      <w:r w:rsidRPr="00382100">
        <w:rPr>
          <w:snapToGrid w:val="0"/>
          <w:lang w:eastAsia="en-US"/>
        </w:rPr>
        <w:tab/>
        <w:t>spominja, da je Evropa Ukrajino že podprla z vojaško pomočjo v vrednosti 50 milijard EUR, a poudarja, da je potrebna dodatna pomoč in da je ta podpora zdaj večinoma odvisna samo od Evrope; poziva države članice, naj Ukrajini priskrbijo več orožja in streliva, še preden se zaključijo kakršna koli pogajanja, in bistveno okrepijo izmenjavo obveščevalnih podatkov z Ukrajino; poziva države članice EU, njene mednarodne partnerje in zaveznike v Natu, naj odpravijo vse omejitve za uporabo zahodnih oborožitvenih sistemov, dobavljenih Ukrajini, proti vojaškim ciljem na ruskem ozemlju; pozdravlja prizadevanja Ukrajine za okrepitev domače obrambne industrijske baze, vključno s proizvodnjo brezpilotnih zrakoplovov in drugih kritičnih tehnologij; vztraja, da sta sodelovanje z ukrajinsko obrambno industrijo in njena vključitev v obrambne pobude EU, tudi vključitev evropske obrambne tehnološko-industrijsko bazo (EDTIB), izjemno pomembna, da se okrepi strateška avtonomija EU; spodbuja razvoj skupnih projektov za proizvodnjo orožja s partnerji EU in Nata; poziva Komisijo in države članice, naj te pobude podprejo prek evropske strategije za obrambno industrijo in ustreznih instrumentov, da bi okrepile dolgoročne zmogljivosti Ukrajine za samoobrambo; poudarja, da je nujno ustrezno financirati instrument za podporo Ukrajini v okviru evropskega programa za obrambno industrijo, ki mu še ni bil dodeljen noben znesek;</w:t>
      </w:r>
    </w:p>
    <w:p w14:paraId="5B6BA92B" w14:textId="77777777" w:rsidR="00A8664F" w:rsidRPr="00382100" w:rsidRDefault="00A8664F" w:rsidP="00A8664F">
      <w:pPr>
        <w:widowControl/>
        <w:spacing w:after="240"/>
        <w:ind w:left="567" w:hanging="567"/>
        <w:rPr>
          <w:snapToGrid w:val="0"/>
          <w:lang w:eastAsia="en-US"/>
        </w:rPr>
      </w:pPr>
      <w:r>
        <w:rPr>
          <w:snapToGrid w:val="0"/>
          <w:lang w:eastAsia="en-US"/>
        </w:rPr>
        <w:t>9</w:t>
      </w:r>
      <w:r w:rsidRPr="00382100">
        <w:rPr>
          <w:snapToGrid w:val="0"/>
          <w:lang w:eastAsia="en-US"/>
        </w:rPr>
        <w:t>.</w:t>
      </w:r>
      <w:r w:rsidRPr="00382100">
        <w:rPr>
          <w:snapToGrid w:val="0"/>
          <w:lang w:eastAsia="en-US"/>
        </w:rPr>
        <w:tab/>
        <w:t>ponovno poziva države članice EU, naj po zgledu Danske in Nizozemske vzpostavijo partnerstvo z ukrajinsko obrambno industrijo in čim učinkoviteje podprejo njene proizvodne zmogljivosti;</w:t>
      </w:r>
    </w:p>
    <w:p w14:paraId="4C45B7BA" w14:textId="77777777" w:rsidR="00A8664F" w:rsidRPr="00382100" w:rsidRDefault="00A8664F" w:rsidP="00A8664F">
      <w:pPr>
        <w:spacing w:after="240"/>
        <w:ind w:left="567" w:hanging="567"/>
        <w:rPr>
          <w:bCs/>
          <w:iCs/>
        </w:rPr>
      </w:pPr>
      <w:r>
        <w:t>10</w:t>
      </w:r>
      <w:r w:rsidRPr="00382100">
        <w:t>.</w:t>
      </w:r>
      <w:r w:rsidRPr="00382100">
        <w:tab/>
        <w:t xml:space="preserve">pozdravlja dosežke misije EU za vojaško pomoč v podporo Ukrajini (EUMAM), ki je usposobila ukrajinsko vojaško osebje; podpira sklep Sveta z dne 8. novembra 2024 o podaljšanju mandata misije za dve leti; poziva, naj se finančni, logistični in človeški viri misije EUMAM razširijo in prilagodijo spreminjajočim se potrebam ukrajinskih oboroženih sil po vojaškem usposabljanju ter dolgoročnim reformnim prizadevanjem v skladu s skupnimi varnostnimi zavezami EU in Ukrajine; poudarja, da bi morala misija EUMAM delovati tudi kot platforma za izmenjavo primerov dobre prakse, s katero bi zagotovili, da bi evropske sile izkoristile izkušnje, ki so jih na bojišču pridobile ukrajinske oborožene sile; </w:t>
      </w:r>
    </w:p>
    <w:p w14:paraId="29A643FF" w14:textId="77777777" w:rsidR="00A8664F" w:rsidRPr="00382100" w:rsidRDefault="00A8664F" w:rsidP="00A8664F">
      <w:pPr>
        <w:spacing w:after="240"/>
        <w:ind w:left="567" w:hanging="567"/>
        <w:rPr>
          <w:b/>
          <w:bCs/>
          <w:i/>
          <w:iCs/>
        </w:rPr>
      </w:pPr>
      <w:r>
        <w:t>11</w:t>
      </w:r>
      <w:r w:rsidRPr="00382100">
        <w:t>.</w:t>
      </w:r>
      <w:r w:rsidRPr="00382100">
        <w:tab/>
        <w:t>najostreje obsoja nasilna dejanja Rusije in sostorilstvo Belorusije pri zlorabi ukrajinskih otrok, vključno z umori, prisilnimi premestitvami, deportacijami in nezakonitimi posvojitvami ter izbrisom ukrajinske identitete s prisilno rusifikacijo; poziva EU, naj tesno sodeluje z ukrajinskimi oblastmi, mednarodnimi organizacijami in nevladnimi organizacijami ter jih podpira pri dokumentiranju vseh pogrešanih in deportiranih otrok, zagotavljanju njihove varne vrnitve in ponovnega vključevanja ter nudenju potrebne pravne, psihološke in socialne podpore;</w:t>
      </w:r>
    </w:p>
    <w:p w14:paraId="6A8B56EA" w14:textId="77777777" w:rsidR="00A8664F" w:rsidRPr="00382100" w:rsidRDefault="00A8664F" w:rsidP="00A8664F">
      <w:pPr>
        <w:spacing w:after="240"/>
        <w:ind w:left="567" w:hanging="567"/>
        <w:rPr>
          <w:bCs/>
          <w:iCs/>
        </w:rPr>
      </w:pPr>
      <w:r>
        <w:t>12</w:t>
      </w:r>
      <w:r w:rsidRPr="00382100">
        <w:t>.</w:t>
      </w:r>
      <w:r w:rsidRPr="00382100">
        <w:tab/>
        <w:t xml:space="preserve">obsoja nečloveško ravnanje Rusije z ukrajinskimi vojnimi ujetniki, vključno z mučenjem in usmrtitvami, ki pomeni grobo kršitev Ženevske konvencije, medtem ko ruski vojni ujetniki v Ukrajini uživajo vse pravice, zagotovljene z mednarodnim pravom, vključno z obiski in pomočjo mednarodnih organizacij, kot je mednarodni odbor Rdečega križa; pozdravlja doslej največjo izmenjavo ujetnikov, ki je bila izvedena maja 2025, ter poziva EU, njene države članice in mednarodno skupnost, naj še naprej omogočajo te izmenjave in po potrebi izvajajo pritisk za njihovo nadaljevanje; </w:t>
      </w:r>
      <w:r w:rsidRPr="00382100">
        <w:lastRenderedPageBreak/>
        <w:t xml:space="preserve">obžaluje, da Rusija nezakonito zapira ukrajinske civiliste, ki jih zadržuje brez možnosti za komunikacijo in v nečloveških razmerah, kar vključuje mučenje in </w:t>
      </w:r>
      <w:proofErr w:type="spellStart"/>
      <w:r w:rsidRPr="00382100">
        <w:t>izvesodne</w:t>
      </w:r>
      <w:proofErr w:type="spellEnd"/>
      <w:r w:rsidRPr="00382100">
        <w:t xml:space="preserve"> poboje; poziva k večjemu mednarodnemu pritisku, da bi zagotovili izpustitev vseh pridržanih Ukrajincev; poziva Mednarodni odbor Rdečega križa, naj vztraja, da ruske oblasti mednarodnim predstavnikom Mednarodnega odbora Rdečega križa zagotovijo neoviran dostop do vseh lokacij, kjer so pridržani ukrajinski vojni ujetniki;</w:t>
      </w:r>
    </w:p>
    <w:p w14:paraId="7E924192" w14:textId="77777777" w:rsidR="00A8664F" w:rsidRPr="00382100" w:rsidRDefault="00A8664F" w:rsidP="00A8664F">
      <w:pPr>
        <w:widowControl/>
        <w:spacing w:after="240"/>
        <w:ind w:left="567" w:hanging="567"/>
        <w:rPr>
          <w:snapToGrid w:val="0"/>
          <w:lang w:eastAsia="en-US"/>
        </w:rPr>
      </w:pPr>
      <w:r>
        <w:rPr>
          <w:snapToGrid w:val="0"/>
          <w:lang w:eastAsia="en-US"/>
        </w:rPr>
        <w:t>13</w:t>
      </w:r>
      <w:r w:rsidRPr="00382100">
        <w:rPr>
          <w:snapToGrid w:val="0"/>
          <w:lang w:eastAsia="en-US"/>
        </w:rPr>
        <w:t>.</w:t>
      </w:r>
      <w:r w:rsidRPr="00382100">
        <w:rPr>
          <w:snapToGrid w:val="0"/>
          <w:lang w:eastAsia="en-US"/>
        </w:rPr>
        <w:tab/>
        <w:t>poudarja, kako so pomembni celoviti mehanizmi odgovornosti in pravice; pozdravlja, da je Ukrajina ratificirala Rimski statut Mednarodnega kazenskega sodišča in ustrezne spremembe kazenskega zakonika; pozdravlja skupno izjavo zunanjih ministrov vodilne skupine (izjava iz Lvova) z dne 9. maja 2025 o ustanovitvi posebnega sodišča, pristojnega za kaznivo dejanje agresije proti Ukrajini; poudarja, da je pregon kaznivega dejanja agresije bistven za ohranitev na pravilih temelječega mednarodnega reda in preprečevanje nekaznovanosti; poziva institucije EU in države članice, naj še naprej podpirajo ustanovitev in delovanje posebnega sodišča v okviru Sveta Evrope; spodbuja vse strani, naj zagotovijo, da bodo lahko ukrajinske organizacije civilne družbe in žrtve vojne imele pomembno vlogo pri delu sodišča; je prepričan, da bo pravičen in trajen mir mogoč šele, ko bodo izpuščeni in združeni s svojimi družinami ukrajinski otroci in drugi civilisti, prisilno deportirani ali pridržani, ter vojni ujetniki, in ko bodo odgovorni privedeni pred sodišče;</w:t>
      </w:r>
    </w:p>
    <w:p w14:paraId="4BEA73D3" w14:textId="77777777" w:rsidR="00A8664F" w:rsidRPr="00382100" w:rsidRDefault="00A8664F" w:rsidP="00A8664F">
      <w:pPr>
        <w:widowControl/>
        <w:spacing w:after="240"/>
        <w:ind w:left="567" w:hanging="567"/>
        <w:rPr>
          <w:snapToGrid w:val="0"/>
          <w:lang w:eastAsia="en-US"/>
        </w:rPr>
      </w:pPr>
      <w:r>
        <w:rPr>
          <w:snapToGrid w:val="0"/>
          <w:lang w:eastAsia="en-US"/>
        </w:rPr>
        <w:t>14</w:t>
      </w:r>
      <w:r w:rsidRPr="00382100">
        <w:rPr>
          <w:snapToGrid w:val="0"/>
          <w:lang w:eastAsia="en-US"/>
        </w:rPr>
        <w:t>.</w:t>
      </w:r>
      <w:r w:rsidRPr="00382100">
        <w:rPr>
          <w:snapToGrid w:val="0"/>
          <w:lang w:eastAsia="en-US"/>
        </w:rPr>
        <w:tab/>
        <w:t>pozdravlja sodbo Evropskega sodišča za človekove pravice z dne 9. julija 2025 v zadevi Ukrajina in Nizozemska proti Rusiji, v kateri je bila Rusija spoznana za odgovorno za razširjene in očitne kršitve človekovih pravic v Ukrajini, vključno s sestrelitvijo letala MH17, mučenjem, posilstvi kot vojnim orožjem, usmrtitvami po hitrem postopku, nezakonitimi in samovoljnimi pridržanji ter organizirano odstranitvijo otrok v Rusijo in njihovo posvojitvijo v tej državi;</w:t>
      </w:r>
    </w:p>
    <w:p w14:paraId="7C6A542B" w14:textId="77777777" w:rsidR="00A8664F" w:rsidRPr="00382100" w:rsidRDefault="00A8664F" w:rsidP="00A8664F">
      <w:pPr>
        <w:spacing w:after="240"/>
        <w:ind w:left="567" w:hanging="567"/>
      </w:pPr>
      <w:r>
        <w:t>15</w:t>
      </w:r>
      <w:r w:rsidRPr="00382100">
        <w:t>.</w:t>
      </w:r>
      <w:r w:rsidRPr="00382100">
        <w:tab/>
        <w:t>poudarja, da so sankcije poleg preprečevanja in boja proti izogibanju sankcijam še vedno ključni instrumenti za spodkopavanje zmožnosti Rusije za nadaljevanje njene vojaške agresije in onemogočanje groženj evropski varnosti; poziva k razširitvi sankcij proti ruskemu gospodarstvu, tudi v metalurgiji, jedrskem, kemičnem, energetskem in finančnem sektorju; pozdravlja sprejetje 18 svežnjev sankcij proti Ruski federaciji in poziva EU ter njene države članice, naj sprejmejo dodatne svežnje sankcij, zlasti tiste, namenjene boju proti izogibanju obstoječim ukrepom; poudarja, da sta dosledno izvajanje in izvrševanje sankcij bistvena za odvzem sredstev ruskemu vojnemu stroju in za okrepitev odpornosti Ukrajine; poziva Komisijo in države članice, naj zagotovijo nadaljnje sodelovanje ZDA pri izvajanju sankcij proti Rusiji, da se ohrani pritisk na rusko gospodarstvo in državni proračun; meni, da je treba podaljšati in nadaljevati sankcije, dokler Rusija ne konča vojaške agresije proti Ukrajini in plača vojne odškodnine;</w:t>
      </w:r>
    </w:p>
    <w:p w14:paraId="162BF2C1" w14:textId="77777777" w:rsidR="00A8664F" w:rsidRPr="00382100" w:rsidRDefault="00A8664F" w:rsidP="00A8664F">
      <w:pPr>
        <w:spacing w:after="240"/>
        <w:ind w:left="567" w:hanging="567"/>
      </w:pPr>
      <w:r>
        <w:t>16</w:t>
      </w:r>
      <w:r w:rsidRPr="00382100">
        <w:t>.</w:t>
      </w:r>
      <w:r w:rsidRPr="00382100">
        <w:tab/>
        <w:t xml:space="preserve">poziva k pospešenemu opuščanju ruskih ogljikovodikovih proizvodov v EU, da bi končno dosegli popolno prepoved; ponovno poudarja, da je odprava energetske odvisnosti EU od ruskih ogljikovodikov bistvena za energetsko varnost Evrope; pozdravlja učinkovito izvajanje popolnega embarga EU na ruski premog, s katerim se je končala odvisnost EU od ruskega premoga; želi spomniti na embargo EU na rusko nafto, vendar obžaluje, da sta se vladi Madžarske in Slovaške odločili, da bosta od nje še naprej odvisni, in ju poziva, naj to škodljivo odvisnost po potrebi hitro odpravita s posebnimi podpornimi ukrepi; poziva Svet, naj kaznuje vsa plovila, ki delujejo v okviru ruske flote v senci, in stopi v stik z državami zastave, da se ta plovila črtajo iz registra ladij, zaradi česar jih zavarovalnice ne bodo mogle zavarovati; poziva k povečanju </w:t>
      </w:r>
      <w:r w:rsidRPr="00382100">
        <w:lastRenderedPageBreak/>
        <w:t xml:space="preserve">prizadevanj za preprečevanje obstoječih sankcij proti ruski nafti; poziva EU in koalicijo G7, naj znižata določeno najvišjo ceno nafte, da bi še bolj zmanjšali ruske finančne zmogljivosti za vojskovanje; pozdravlja načrt </w:t>
      </w:r>
      <w:proofErr w:type="spellStart"/>
      <w:r w:rsidRPr="00382100">
        <w:t>RePower</w:t>
      </w:r>
      <w:proofErr w:type="spellEnd"/>
      <w:r w:rsidRPr="00382100">
        <w:t xml:space="preserve"> EU, ki ga je nedavno napovedala Komisija; vendar poziva Komisijo, naj po možnosti pospeši časovni razpored in po potrebi sprejme začasne ukrepe, kot sta znižanje zgornje meje cen nafte ter uvedba zgornje meje cen utekočinjenega zemeljskega plina in uvozne kvote; odločno zavrača pozive k obnovitvi projektov, kot sta Severni tok 1 in 2; globoko obžaluje, da Svet več kot tri leta po začetku obsežne invazije ni sprejel soglasja o popolnem embargu na ruski plin; poziva, naj se ta ukrep hitro sprejme; </w:t>
      </w:r>
    </w:p>
    <w:p w14:paraId="2F0C96C7" w14:textId="77777777" w:rsidR="00A8664F" w:rsidRPr="00382100" w:rsidRDefault="00A8664F" w:rsidP="00A8664F">
      <w:pPr>
        <w:spacing w:after="240"/>
        <w:ind w:left="567" w:hanging="567"/>
      </w:pPr>
      <w:r>
        <w:t>17</w:t>
      </w:r>
      <w:r w:rsidRPr="00382100">
        <w:t>.</w:t>
      </w:r>
      <w:r w:rsidRPr="00382100">
        <w:tab/>
        <w:t xml:space="preserve">obžaluje ovirajoče delovanje vlad v EU, ki so zagrozile z vetom ali omajale omejevalne ukrepe proti Rusiji; podpira namero, da se kršitev in izogibanje sankcijam v Ukrajini opredelita kot kaznivo dejanje, kot je predlagano v nujnem osnutku zakona št. 12406; poudarja, da je izvajanje te zakonodaje bistveno za odpravo vrzeli, ki omogočajo umik sankcioniranega premoženja med fazo blokiranja in da se privedejo pred sodišče podporniki ruske vojaške agresije; </w:t>
      </w:r>
      <w:bookmarkStart w:id="10" w:name="_Hlk204184405"/>
      <w:r w:rsidRPr="00382100">
        <w:t xml:space="preserve">poziva Ukrajino, naj sprejme ta osnutek zakona v skladu z ustrezno najboljšo prakso EU; </w:t>
      </w:r>
    </w:p>
    <w:bookmarkEnd w:id="10"/>
    <w:p w14:paraId="110120C5" w14:textId="77777777" w:rsidR="00A8664F" w:rsidRPr="00382100" w:rsidRDefault="00A8664F" w:rsidP="00A8664F">
      <w:pPr>
        <w:widowControl/>
        <w:spacing w:after="240"/>
        <w:ind w:left="567" w:hanging="567"/>
        <w:rPr>
          <w:bCs/>
          <w:iCs/>
          <w:snapToGrid w:val="0"/>
          <w:lang w:eastAsia="en-US"/>
        </w:rPr>
      </w:pPr>
      <w:r>
        <w:rPr>
          <w:snapToGrid w:val="0"/>
          <w:lang w:eastAsia="en-US"/>
        </w:rPr>
        <w:t>18</w:t>
      </w:r>
      <w:r w:rsidRPr="00382100">
        <w:rPr>
          <w:snapToGrid w:val="0"/>
          <w:lang w:eastAsia="en-US"/>
        </w:rPr>
        <w:t>.</w:t>
      </w:r>
      <w:r w:rsidRPr="00382100">
        <w:rPr>
          <w:snapToGrid w:val="0"/>
          <w:lang w:eastAsia="en-US"/>
        </w:rPr>
        <w:tab/>
        <w:t>poziva Komisijo in države članice, naj zasežejo zamrznjeno rusko premoženje in ga dajo na voljo za obrambo in obnovo Ukrajine ter odškodnine žrtvam v skladu z mednarodnim pravom in načelom državne odgovornosti; poudarja, da je za doseganje navedenega izredno pomembno zagotoviti, da bo rusko državno premoženje v EU ostalo zamrznjeno;</w:t>
      </w:r>
    </w:p>
    <w:p w14:paraId="7352DC30" w14:textId="77777777" w:rsidR="00A8664F" w:rsidRPr="00382100" w:rsidRDefault="00A8664F" w:rsidP="00A8664F">
      <w:pPr>
        <w:spacing w:after="240"/>
        <w:ind w:left="567" w:hanging="567"/>
        <w:rPr>
          <w:bCs/>
          <w:iCs/>
        </w:rPr>
      </w:pPr>
      <w:r>
        <w:t>19</w:t>
      </w:r>
      <w:r w:rsidRPr="00382100">
        <w:t>.</w:t>
      </w:r>
      <w:r w:rsidRPr="00382100">
        <w:tab/>
        <w:t>poziva Svet in Komisijo, naj imata močno vodilno vlogo pri iskanju trajne rešitve glede začasnega mehanizma EU za zaščito več kot 4 milijonov Ukrajincev, ki je bil podaljšan do marca 2026; poudarja, da je treba poskrbeti za enako obravnavanje in preprečiti razdrobljenost po vsej EU; poudarja, da je pomembno spoštovati pravice Ukrajincev, ki se ne morejo vrniti in želijo ostati v EU, obenem pa podpreti tiste, ki se želijo vrniti in ponovno zaživeti v Ukrajini;</w:t>
      </w:r>
    </w:p>
    <w:p w14:paraId="4CD6073C" w14:textId="77777777" w:rsidR="00A8664F" w:rsidRPr="00382100" w:rsidRDefault="00A8664F" w:rsidP="00A8664F">
      <w:pPr>
        <w:widowControl/>
        <w:spacing w:after="240"/>
        <w:ind w:left="567" w:hanging="567"/>
        <w:rPr>
          <w:snapToGrid w:val="0"/>
          <w:lang w:eastAsia="en-US"/>
        </w:rPr>
      </w:pPr>
      <w:r>
        <w:rPr>
          <w:snapToGrid w:val="0"/>
          <w:lang w:eastAsia="en-US"/>
        </w:rPr>
        <w:t>20</w:t>
      </w:r>
      <w:r w:rsidRPr="00382100">
        <w:rPr>
          <w:snapToGrid w:val="0"/>
          <w:lang w:eastAsia="en-US"/>
        </w:rPr>
        <w:t>.</w:t>
      </w:r>
      <w:r w:rsidRPr="00382100">
        <w:rPr>
          <w:snapToGrid w:val="0"/>
          <w:lang w:eastAsia="en-US"/>
        </w:rPr>
        <w:tab/>
        <w:t>spodbuja Ukrajino in države članice, naj poglobljeno sodelujejo in tako čim bolj povečajo morebitno sodelovanje beguncev in diaspore Ukrajine v gospodarstvu, da bi zagotovile odpornost in vključenost potekajočega in prihodnjega gospodarskega okrevanja in obnove Ukrajine;</w:t>
      </w:r>
    </w:p>
    <w:p w14:paraId="49E074EB" w14:textId="77777777" w:rsidR="00A8664F" w:rsidRPr="00382100" w:rsidRDefault="00A8664F" w:rsidP="00A8664F">
      <w:pPr>
        <w:widowControl/>
        <w:spacing w:after="240"/>
        <w:ind w:left="567" w:hanging="567"/>
        <w:rPr>
          <w:snapToGrid w:val="0"/>
          <w:lang w:eastAsia="en-US"/>
        </w:rPr>
      </w:pPr>
      <w:r>
        <w:rPr>
          <w:snapToGrid w:val="0"/>
          <w:lang w:eastAsia="en-US"/>
        </w:rPr>
        <w:t>21</w:t>
      </w:r>
      <w:r w:rsidRPr="00382100">
        <w:rPr>
          <w:snapToGrid w:val="0"/>
          <w:lang w:eastAsia="en-US"/>
        </w:rPr>
        <w:t>.</w:t>
      </w:r>
      <w:r w:rsidRPr="00382100">
        <w:rPr>
          <w:snapToGrid w:val="0"/>
          <w:lang w:eastAsia="en-US"/>
        </w:rPr>
        <w:tab/>
        <w:t>poziva politične sile v Ukrajini, naj ostanejo povezane in naj jih še naprej vodi trdna politična enotnost in kohezija, saj je to že okrepilo odpornost Ukrajine v luči stalne eksistencialne grožnje svobodi in neodvisnosti države; poziva vse politične akterje v Ukrajini, zlasti tiste, ki so na oblasti, naj uporabijo svoja vojna pooblastila in spodbujajo politično enotnost ter jasno in vključujoče oblikovanje politik;</w:t>
      </w:r>
    </w:p>
    <w:p w14:paraId="42F23955" w14:textId="77777777" w:rsidR="00A8664F" w:rsidRPr="00382100" w:rsidRDefault="00A8664F" w:rsidP="00A8664F">
      <w:pPr>
        <w:spacing w:after="240"/>
        <w:rPr>
          <w:snapToGrid w:val="0"/>
          <w:lang w:eastAsia="en-US"/>
        </w:rPr>
      </w:pPr>
      <w:r w:rsidRPr="00382100">
        <w:rPr>
          <w:b/>
          <w:i/>
          <w:snapToGrid w:val="0"/>
          <w:lang w:eastAsia="en-US"/>
        </w:rPr>
        <w:t>Zavezanost pristopu k EU</w:t>
      </w:r>
    </w:p>
    <w:p w14:paraId="618E432D" w14:textId="77777777" w:rsidR="00A8664F" w:rsidRPr="00382100" w:rsidRDefault="00A8664F" w:rsidP="00A8664F">
      <w:pPr>
        <w:widowControl/>
        <w:spacing w:after="240"/>
        <w:ind w:left="567" w:hanging="567"/>
        <w:rPr>
          <w:snapToGrid w:val="0"/>
          <w:lang w:eastAsia="en-US"/>
        </w:rPr>
      </w:pPr>
      <w:r>
        <w:rPr>
          <w:snapToGrid w:val="0"/>
          <w:lang w:eastAsia="en-US"/>
        </w:rPr>
        <w:t>22</w:t>
      </w:r>
      <w:r w:rsidRPr="00382100">
        <w:rPr>
          <w:snapToGrid w:val="0"/>
          <w:lang w:eastAsia="en-US"/>
        </w:rPr>
        <w:t>.</w:t>
      </w:r>
      <w:r w:rsidRPr="00382100">
        <w:rPr>
          <w:snapToGrid w:val="0"/>
          <w:lang w:eastAsia="en-US"/>
        </w:rPr>
        <w:tab/>
        <w:t>odločno pozdravlja neomajno predanost Ukrajine izpolnjevanju zahtev za članstvo v EU, vključno s skladnostjo s</w:t>
      </w:r>
      <w:r w:rsidRPr="00382100">
        <w:rPr>
          <w:i/>
          <w:snapToGrid w:val="0"/>
          <w:lang w:eastAsia="en-US"/>
        </w:rPr>
        <w:t xml:space="preserve"> pravnim redom</w:t>
      </w:r>
      <w:r w:rsidRPr="00382100">
        <w:rPr>
          <w:snapToGrid w:val="0"/>
          <w:lang w:eastAsia="en-US"/>
        </w:rPr>
        <w:t xml:space="preserve"> EU, kljub ruski brutalni in neizprosni vojaški agresiji in njeni nedavni zaostritvi; poziva Ukrajino, naj ohrani svojo predanost reformam in hitro izvajanje; poudarja močan zagon pri izvajanju reform v Ukrajini in pozdravlja vse večjo stopnjo usklajenosti Ukrajine s skupno zunanjo in varnostno politiko EU, ki je leta 2024 znašala 95 %; ugotavlja, da več kot 70 % Ukrajincev podpira zahteve EU po reformah v okviru pristopnega procesa, kar poudarja pomen stalnega vpliva EU, strukturiranega pogojevanja in obveščanja javnosti v tem obdobju;</w:t>
      </w:r>
    </w:p>
    <w:p w14:paraId="29B3F243" w14:textId="77777777" w:rsidR="00A8664F" w:rsidRPr="00382100" w:rsidRDefault="00A8664F" w:rsidP="00A8664F">
      <w:pPr>
        <w:spacing w:after="240"/>
        <w:rPr>
          <w:b/>
          <w:i/>
          <w:snapToGrid w:val="0"/>
          <w:lang w:eastAsia="en-US"/>
        </w:rPr>
      </w:pPr>
      <w:r w:rsidRPr="00382100">
        <w:rPr>
          <w:b/>
          <w:i/>
          <w:snapToGrid w:val="0"/>
          <w:lang w:eastAsia="en-US"/>
        </w:rPr>
        <w:lastRenderedPageBreak/>
        <w:t>Demokracija, pravna država in boj proti korupciji</w:t>
      </w:r>
    </w:p>
    <w:p w14:paraId="7761B0CE" w14:textId="77777777" w:rsidR="00A8664F" w:rsidRPr="00382100" w:rsidRDefault="00A8664F" w:rsidP="00A8664F">
      <w:pPr>
        <w:widowControl/>
        <w:spacing w:after="240"/>
        <w:ind w:left="567" w:hanging="567"/>
        <w:rPr>
          <w:snapToGrid w:val="0"/>
          <w:lang w:eastAsia="en-US"/>
        </w:rPr>
      </w:pPr>
      <w:r>
        <w:rPr>
          <w:snapToGrid w:val="0"/>
          <w:lang w:eastAsia="en-US"/>
        </w:rPr>
        <w:t>23</w:t>
      </w:r>
      <w:r w:rsidRPr="00382100">
        <w:rPr>
          <w:snapToGrid w:val="0"/>
          <w:lang w:eastAsia="en-US"/>
        </w:rPr>
        <w:t>.</w:t>
      </w:r>
      <w:r w:rsidRPr="00382100">
        <w:rPr>
          <w:snapToGrid w:val="0"/>
          <w:lang w:eastAsia="en-US"/>
        </w:rPr>
        <w:tab/>
        <w:t>pozdravlja izredna prizadevanja Ukrajine za krepitev demokratičnih institucij v času vojne; spodbuja Ukrajino in njeno vlado, naj nadaljujeta z reformami; opozarja, da v skladu s splošno priznanimi demokratičnimi načeli in ustavo Ukrajine volitev ni mogoče izvesti med vojno in v vojnem stanju; poudarja, da je za demokratične volitve potrebno dovolj časa za pripravo in dostop do informacij v skladu z mednarodnimi standardi; poziva ukrajinske oblasti, naj ne vodijo nepravočasnih in politično motiviranih sodnih postopkov in sankcij proti vodilnim političnim predstavnikom opozicije ter ohranjajo parlamentarni pluralizem in konstruktivno sodelujejo s političnimi strankami v vrhovni radi;</w:t>
      </w:r>
    </w:p>
    <w:p w14:paraId="79C8BF13" w14:textId="77777777" w:rsidR="00A8664F" w:rsidRPr="00382100" w:rsidRDefault="00A8664F" w:rsidP="00A8664F">
      <w:pPr>
        <w:widowControl/>
        <w:spacing w:after="240"/>
        <w:ind w:left="567" w:hanging="567"/>
        <w:rPr>
          <w:snapToGrid w:val="0"/>
          <w:lang w:eastAsia="en-US"/>
        </w:rPr>
      </w:pPr>
      <w:r>
        <w:rPr>
          <w:snapToGrid w:val="0"/>
          <w:lang w:eastAsia="en-US"/>
        </w:rPr>
        <w:t>24</w:t>
      </w:r>
      <w:r w:rsidRPr="00382100">
        <w:rPr>
          <w:snapToGrid w:val="0"/>
          <w:lang w:eastAsia="en-US"/>
        </w:rPr>
        <w:t>.</w:t>
      </w:r>
      <w:r w:rsidRPr="00382100">
        <w:rPr>
          <w:snapToGrid w:val="0"/>
          <w:lang w:eastAsia="en-US"/>
        </w:rPr>
        <w:tab/>
        <w:t>ponavlja priporočilo, naj se v okviru pristopa k EU za člane ukrajinskega parlamenta odpravijo vse omejitve potovanj v tujini, povezane z mandatom in političnimi potovanji; poudarja pomen spoštovanja in krepitve institucionalne vloge ukrajinskega parlamenta ter podpira sedanja reformna prizadevanja za okrepitev njegove zakonodajne zmogljivosti, nadzora nad izvršilno oblastjo in odgovornosti javnosti;</w:t>
      </w:r>
    </w:p>
    <w:p w14:paraId="25574001" w14:textId="77777777" w:rsidR="00A8664F" w:rsidRPr="00382100" w:rsidRDefault="00A8664F" w:rsidP="00A8664F">
      <w:pPr>
        <w:widowControl/>
        <w:spacing w:after="240"/>
        <w:ind w:left="567" w:hanging="567"/>
        <w:rPr>
          <w:snapToGrid w:val="0"/>
          <w:lang w:eastAsia="en-US"/>
        </w:rPr>
      </w:pPr>
      <w:r>
        <w:rPr>
          <w:snapToGrid w:val="0"/>
          <w:lang w:eastAsia="en-US"/>
        </w:rPr>
        <w:t>25</w:t>
      </w:r>
      <w:r w:rsidRPr="00382100">
        <w:rPr>
          <w:snapToGrid w:val="0"/>
          <w:lang w:eastAsia="en-US"/>
        </w:rPr>
        <w:t>.</w:t>
      </w:r>
      <w:r w:rsidRPr="00382100">
        <w:rPr>
          <w:snapToGrid w:val="0"/>
          <w:lang w:eastAsia="en-US"/>
        </w:rPr>
        <w:tab/>
        <w:t xml:space="preserve">pozdravlja sprejetje zakona o pripravi zakonodaje, ki ga je Komisija ocenila kot temeljni korak k bolj strukturiranemu in učinkovitemu zakonodajnemu postopku v Ukrajini po morebitni odpravi vojnega stanja in prizadevanjih ukrajinske osrednje volilne komisije za posodobitev nacionalnega volilnega registra; </w:t>
      </w:r>
    </w:p>
    <w:p w14:paraId="1F3F22D5" w14:textId="77777777" w:rsidR="00A8664F" w:rsidRPr="00382100" w:rsidRDefault="00A8664F" w:rsidP="00A8664F">
      <w:pPr>
        <w:spacing w:after="240"/>
        <w:ind w:left="567" w:hanging="567"/>
        <w:rPr>
          <w:bCs/>
          <w:iCs/>
        </w:rPr>
      </w:pPr>
      <w:r>
        <w:t>26</w:t>
      </w:r>
      <w:r w:rsidRPr="00382100">
        <w:t>.</w:t>
      </w:r>
      <w:r w:rsidRPr="00382100">
        <w:tab/>
        <w:t>pozdravlja, da je Ukrajina v sodelovanju s Komisijo razvila tri časovne načrte reforme, ki obsegajo pravno državo, reformo javne uprave in delovanje demokratičnih institucij in vse vključujejo boj proti korupciji; ugotavlja, da bodo ti načrti, po tem, ko jih bo Komisija odobrila, služili kot ključna referenčna vrednost za spremljanje napredka Ukrajine pri reformah; pozdravlja, da so bila v vse tri časovne načrte vključena protikorupcijska prizadevanja kot njihov bistven del; poudarja, da je treba reforme vključiti v širše družbene in politične preobrazbe, da bi zagotovili njihovo dolgoročno trajnost, učinkovito izvajanje in neodvisno delovanje javnih institucij; poudarja, da je pomembno negovati konstruktivno politično kulturo ter spodbujati sodelovanje, ki temelji na zaupanju, med političnimi strankami v Ukrajini; z zadovoljstvom ugotavlja, da ukrajinski poslanci dejavno sodelujejo v dialogu Jeana Monneta, in spodbuja uporabo evropskih najboljših praks za spodbujanje medstrankarskega sodelovanja pri soočanju s skupnimi izzivi na poti k članstvu v EU;</w:t>
      </w:r>
    </w:p>
    <w:p w14:paraId="54280F42" w14:textId="77777777" w:rsidR="00A8664F" w:rsidRPr="00382100" w:rsidRDefault="00A8664F" w:rsidP="00A8664F">
      <w:pPr>
        <w:widowControl/>
        <w:spacing w:after="240"/>
        <w:ind w:left="567" w:hanging="567"/>
        <w:rPr>
          <w:snapToGrid w:val="0"/>
          <w:lang w:eastAsia="en-US"/>
        </w:rPr>
      </w:pPr>
      <w:r>
        <w:rPr>
          <w:snapToGrid w:val="0"/>
          <w:lang w:eastAsia="en-US"/>
        </w:rPr>
        <w:t>27</w:t>
      </w:r>
      <w:r w:rsidRPr="00382100">
        <w:rPr>
          <w:snapToGrid w:val="0"/>
          <w:lang w:eastAsia="en-US"/>
        </w:rPr>
        <w:t>.</w:t>
      </w:r>
      <w:r w:rsidRPr="00382100">
        <w:rPr>
          <w:snapToGrid w:val="0"/>
          <w:lang w:eastAsia="en-US"/>
        </w:rPr>
        <w:tab/>
        <w:t>pozdravlja napredek pri reformi pravosodja v obdobju poročanja in spodbuja Ukrajino, naj dodatno poveča preglednost svojih zakonodajnih postopkov ter ji dodeli več finančnih, človeških in tehničnih virov za reševanje izzivov, ki ovirajo razvoj sodstva, povečanje neodvisnosti sodstva in okrepitev boja proti korupciji, s čimer bi zagotovili skladnost s standardi EU, hkrati pa se izognili površinskim ukrepom, ki bi lahko ovirali pristop k EU;</w:t>
      </w:r>
    </w:p>
    <w:p w14:paraId="1FDE3490" w14:textId="77777777" w:rsidR="00A8664F" w:rsidRPr="00382100" w:rsidRDefault="00A8664F" w:rsidP="00A8664F">
      <w:pPr>
        <w:spacing w:after="240"/>
        <w:ind w:left="567" w:hanging="567"/>
        <w:rPr>
          <w:bCs/>
          <w:iCs/>
        </w:rPr>
      </w:pPr>
      <w:r>
        <w:t>28</w:t>
      </w:r>
      <w:r w:rsidRPr="00382100">
        <w:t xml:space="preserve">. </w:t>
      </w:r>
      <w:r w:rsidRPr="00382100">
        <w:tab/>
        <w:t xml:space="preserve">ugotavlja, da sodstvo kljub izboljšanemu zakonodajnemu okviru ostaja eden od sektorjev, ki so bolj izpostavljeni korupciji in političnemu vmešavanju, kot dokazujejo ponavljajoči se primeri korupcije na visoki ravni ter neprimernega vplivanja na dejavnosti sodišč in pravosodnih institucij, tudi ukrajinskega ustavnega sodišča in visoke kvalifikacijske komisije sodnikov; z zaskrbljenostjo ugotavlja, da je ukrajinsko ustavno sodišče še vedno ohromljeno in poziva k hitremu imenovanju preostalih sodnikov in zapolnitvi prostih delovnih mest v visokem sodnem svetu; poziva ukrajinski parlament, naj sprejme zakon o ustavnem sodišču v skladu z mnenji Beneške komisije, </w:t>
      </w:r>
      <w:r w:rsidRPr="00382100">
        <w:lastRenderedPageBreak/>
        <w:t>poleg tega pa poziva Ukrajino, naj sprejme akcijski načrt in notranje reforme, da bi preprečila neupravičeno vmešavanje in okrepila sodno etiko; poudarja poseben pomen varovanja institucionalne neodvisnosti visoke kvalifikacijske sodniške komisije vrhovnega sodišča, tudi glede na zaveze, sprejete v okviru mednarodnih sporazumov, vključno z Mednarodnim denarnim skladom; poudarja, da je treba zaostriti boj proti korupciji in osebnim interesom v sodstvu, ki je nepogrešljiv za pridobivanje zaupanja javnosti in napredovanje pridružitvenega postopka Ukrajine EU; poudarja pomen preglednih in na dosežkih temelječih izbirnih postopkov za organe pravosodnega upravljanja in vodstvene položaje, vključno s sodelovanjem neodvisnih nacionalnih in mednarodnih strokovnjakov; poudarja, da je treba depolitizirati postopke imenovanja, zaščito funkcionalne celovitosti, preglednost, celovitost, odgovornost in okrepljeno mednarodno spremljanje za preprečevanje selektivnih sodnih praks in spodbujanje zaupanja javnosti v sodstvo;</w:t>
      </w:r>
    </w:p>
    <w:p w14:paraId="2A934D22" w14:textId="77777777" w:rsidR="00A8664F" w:rsidRPr="00382100" w:rsidRDefault="00A8664F" w:rsidP="00A8664F">
      <w:pPr>
        <w:spacing w:after="240"/>
        <w:ind w:left="567" w:hanging="567"/>
        <w:rPr>
          <w:bCs/>
          <w:iCs/>
        </w:rPr>
      </w:pPr>
      <w:r>
        <w:t>29</w:t>
      </w:r>
      <w:r w:rsidRPr="00382100">
        <w:t xml:space="preserve">. </w:t>
      </w:r>
      <w:r w:rsidRPr="00382100">
        <w:tab/>
        <w:t xml:space="preserve">z zaskrbljenostjo opaža kritično pomanjkanje sodnikov, pretirano število obravnavanih primerov na večini sodišč, znatne vrzeli v financiranju in neenakomerno razdelitev pravosodnega dela, kar negativno vpliva na kakovost in pravočasnost postopkov ter ovira dostop državljanov do pravnega varstva; poudarja, da je treba obravnavati ta vprašanja, tudi z uporabo mediacije in mehanizmov za postopkovno filtriranje, da bi zmanjšali pritisk na sodstvo; ker je Ukrajina na indeksu zaznave korupcije organizacije Transparency International za leto 2024 dosegla 35 od 100 točk in se uvrstila na 105. mesto od 180 držav, kar kaže na obseg sedanjih izzivov na področju protikorupcijskega upravljanja; poudarja, da sta izboljšanje sodnega izobraževanja in dokončanje digitalizacije ukrajinskih sodišč ključna za širšo pravosodno reformo Ukrajine; </w:t>
      </w:r>
    </w:p>
    <w:p w14:paraId="7002DC81" w14:textId="77777777" w:rsidR="00A8664F" w:rsidRPr="00382100" w:rsidRDefault="00A8664F" w:rsidP="00A8664F">
      <w:pPr>
        <w:widowControl/>
        <w:spacing w:after="240"/>
        <w:ind w:left="567" w:hanging="567"/>
        <w:rPr>
          <w:snapToGrid w:val="0"/>
          <w:lang w:eastAsia="en-US"/>
        </w:rPr>
      </w:pPr>
      <w:r>
        <w:rPr>
          <w:snapToGrid w:val="0"/>
          <w:lang w:eastAsia="en-US"/>
        </w:rPr>
        <w:t>30</w:t>
      </w:r>
      <w:r w:rsidRPr="00382100">
        <w:rPr>
          <w:snapToGrid w:val="0"/>
          <w:lang w:eastAsia="en-US"/>
        </w:rPr>
        <w:t>.</w:t>
      </w:r>
      <w:r w:rsidRPr="00382100">
        <w:rPr>
          <w:snapToGrid w:val="0"/>
          <w:lang w:eastAsia="en-US"/>
        </w:rPr>
        <w:tab/>
        <w:t>pozdravlja imenovanje novega vodje državne agencije za preprečevanje korupcije in začetek neodvisnih revizij, da bi ocenili učinkovitost ukrajinskega nacionalnega protikorupcijskega urada pri boju proti korupciji; pozdravlja začetek veljavnosti spremenjenega kazenskega zakonika in zakonika o kazenskem postopku, ki naj bi povečala učinkovitost izvrševanja boja proti korupciji, zlasti z izboljšanjem okvira za pogajanja o priznanju krivde; priznava, da sta se število sodb, ki jih letno izreče višje protikorupcijsko sodišče, in število obtožnic, ki jih nacionalni protikorupcijski urad in specializirano protikorupcijsko tožilstvo vložita na višjem protikorupcijskem sodišču, na letni osnovi povečala, kar dokazuje, da tožilska dejavnost stalno napreduje; pozdravlja obnovitev postopkov prijave premoženja in dostopa javnosti, krepitev uredb o nasprotjih interesov in izboljšave v neodvisnosti specializiranega protikorupcijskega tožilstva; pozdravlja sprejetje akcijskega načrta za izvajanje strategije za odvzem premoženjske koristi za obdobje 2024–2025 in s tem povezanih ukrepov; poziva k nujni reformi agencije za odvzem premoženjske koristi in upravljanje ter podpira hitro sprejetje osnutka zakona št. 12374-d, ki bo okrepil njeno delovanje; pozdravlja povečanje števila zaposlenih v specializiranem uradu generalnega državnega tožilca za okolje in poziva k nadaljnjemu razvoju protikorupcijskih politik na področju upravljanja naravnih virov;</w:t>
      </w:r>
    </w:p>
    <w:p w14:paraId="38D221D2" w14:textId="77777777" w:rsidR="00A8664F" w:rsidRPr="00382100" w:rsidRDefault="00A8664F" w:rsidP="00A8664F">
      <w:pPr>
        <w:spacing w:after="240"/>
        <w:ind w:left="567" w:hanging="567"/>
        <w:rPr>
          <w:bCs/>
          <w:iCs/>
        </w:rPr>
      </w:pPr>
      <w:r>
        <w:t>31</w:t>
      </w:r>
      <w:r w:rsidRPr="00382100">
        <w:t xml:space="preserve">. </w:t>
      </w:r>
      <w:r w:rsidRPr="00382100">
        <w:tab/>
        <w:t>ugotavlja, da na višjem protikorupcijskem sodišču še vedno primanjkuje sodnikov, in poudarja, da je treba nujno začeti nov pregleden natečaj za zapolnitev prostih delovnih mest, da bo imelo Računsko sodišče dovolj osebja in prostorov za učinkovito delovanje; poudarja, da je treba nemudoma zapolniti prosto delovno mesto generalnega državnega tožilca, in poudarja, da je treba okrepiti institucionalno neodvisnost urada, hkrati pa zagotoviti ustrezno preverjanje njegovih pooblastil;</w:t>
      </w:r>
    </w:p>
    <w:p w14:paraId="706850EC" w14:textId="77777777" w:rsidR="00A8664F" w:rsidRPr="00382100" w:rsidRDefault="00A8664F" w:rsidP="00A8664F">
      <w:pPr>
        <w:widowControl/>
        <w:spacing w:after="240"/>
        <w:ind w:left="567" w:hanging="567"/>
        <w:rPr>
          <w:snapToGrid w:val="0"/>
          <w:lang w:eastAsia="en-US"/>
        </w:rPr>
      </w:pPr>
      <w:r>
        <w:rPr>
          <w:snapToGrid w:val="0"/>
          <w:lang w:eastAsia="en-US"/>
        </w:rPr>
        <w:lastRenderedPageBreak/>
        <w:t>32</w:t>
      </w:r>
      <w:r w:rsidRPr="00382100">
        <w:rPr>
          <w:snapToGrid w:val="0"/>
          <w:lang w:eastAsia="en-US"/>
        </w:rPr>
        <w:t>.</w:t>
      </w:r>
      <w:r w:rsidRPr="00382100">
        <w:rPr>
          <w:snapToGrid w:val="0"/>
          <w:lang w:eastAsia="en-US"/>
        </w:rPr>
        <w:tab/>
        <w:t>spodbuja Ukrajino, naj zaščiti neodvisnost in učinkovitost protikorupcijskih institucij, tudi specializiranega protikorupcijskega tožilstva in ukrajinskega nacionalnega protikorupcijskega urada, in sicer z zagotavljanjem preglednih postopkov imenovanja, zaščito teh organov pred političnim vmešavanjem in krepitvijo institucionalne avtonomije; spodbuja Ukrajino, naj zagotovi večjo neodvisnost specializiranega protikorupcijskega tožilstva od generalnega državnega tožilstva in ukrajinskemu nacionalnemu protikorupcijskemu uradu zagotovi sredstva za pravočasen dostop do forenzičnega strokovnega znanja in avtonomnih zmogljivosti za prisluškovanje za izvajanje učinkovitih preiskav; izreka pohvalo Ukrajini za povečanje števila zaposlenih v specializiranem protikorupcijskem tožilstvu in poudarja, da je treba to rast uskladiti z ustreznimi finančnimi in tehničnimi viri, da se zagotovi operativna zmogljivost; spodbuja Ukrajino, naj razmisli o strukturni reformi državnega preiskovalnega urada, da bi povečala njegovo neodvisnost in učinkovitost ter preprečila njegove zlorabe v povojnih političnih dogodkih v državi, zlasti v volilnih kampanjah;</w:t>
      </w:r>
    </w:p>
    <w:p w14:paraId="6CF5738E" w14:textId="77777777" w:rsidR="00A8664F" w:rsidRPr="00382100" w:rsidRDefault="00A8664F" w:rsidP="00A8664F">
      <w:pPr>
        <w:widowControl/>
        <w:spacing w:after="240"/>
        <w:ind w:left="567" w:hanging="567"/>
        <w:rPr>
          <w:snapToGrid w:val="0"/>
          <w:lang w:eastAsia="en-US"/>
        </w:rPr>
      </w:pPr>
      <w:r>
        <w:rPr>
          <w:snapToGrid w:val="0"/>
          <w:lang w:eastAsia="en-US"/>
        </w:rPr>
        <w:t>33</w:t>
      </w:r>
      <w:r w:rsidRPr="00382100">
        <w:rPr>
          <w:snapToGrid w:val="0"/>
          <w:lang w:eastAsia="en-US"/>
        </w:rPr>
        <w:t>.</w:t>
      </w:r>
      <w:r w:rsidRPr="00382100">
        <w:rPr>
          <w:snapToGrid w:val="0"/>
          <w:lang w:eastAsia="en-US"/>
        </w:rPr>
        <w:tab/>
        <w:t>izraža zaskrbljenost zaradi poskusa ukrajinskih oblasti, da bi spodkopale neodvisnost protikorupcijskih institucij, ki ni bil uspešen; pozdravlja odločno nasprotovanje civilne družbe tem nesprejemljivim poskusom, s katerim ji je uspelo prisiliti oblasti, da so storile korak nazaj; meni, da je ta poteza oblasti nevaren poskus spodkopavanja dosežkov resničnega boja proti korupciji; poudarja, da bi ta korak, če bi uspel, koristil le sovražnikom Ukrajine; poudarja, da bi moralo biti to jasno opozorilo za vse tiste v Ukrajini, ki zaradi ozkogledih interesov brez zadržkov ogrožajo prihodnost države; ponovno poudarja, da boj proti korupciji zahteva dolgoročno zavezanost in celovita prizadevanja za vzpostavitev dobrega upravljanja z dobro delujočim sistemom zavor in ravnovesij; podpira stališče Komisije, da so te institucije bistvenega pomena za program reform Ukrajine in morajo delovati neodvisno, da bi se borile proti korupciji in ohranile zaupanje javnosti;</w:t>
      </w:r>
    </w:p>
    <w:p w14:paraId="1F5EF850" w14:textId="77777777" w:rsidR="00A8664F" w:rsidRPr="00382100" w:rsidRDefault="00A8664F" w:rsidP="00A8664F">
      <w:pPr>
        <w:widowControl/>
        <w:spacing w:after="240"/>
        <w:ind w:left="567" w:hanging="567"/>
        <w:rPr>
          <w:snapToGrid w:val="0"/>
          <w:lang w:eastAsia="en-US"/>
        </w:rPr>
      </w:pPr>
      <w:r>
        <w:rPr>
          <w:snapToGrid w:val="0"/>
          <w:lang w:eastAsia="en-US"/>
        </w:rPr>
        <w:t>34</w:t>
      </w:r>
      <w:r w:rsidRPr="00382100">
        <w:rPr>
          <w:snapToGrid w:val="0"/>
          <w:lang w:eastAsia="en-US"/>
        </w:rPr>
        <w:t>.</w:t>
      </w:r>
      <w:r w:rsidRPr="00382100">
        <w:rPr>
          <w:snapToGrid w:val="0"/>
          <w:lang w:eastAsia="en-US"/>
        </w:rPr>
        <w:tab/>
        <w:t>pozdravlja sprejetje zakona o lobiranju kot del ukrajinske agende za odpravo oligarhičnih struktur; poudarja, da je potrebna obnovljena in celovita strategija za odpravo oligarhičnih vplivov, ki bo zagotavljala vključitev nacionalnih deležnikov, mednarodnih strokovnjakov in organizacij civilne družbe; spodbuja ukrajinske oblasti, naj si še naprej prizadevajo za reformiranje upravljanja podjetij v državni lasti v skladu s smernicami OECD, da bi zmanjšale možnosti za pokroviteljstvo in preprečile korupcijo, tudi z objavo vseh podatkov o dejanskem lastništvu podjetij v državni lasti ter zagotovitvijo neodvisnih uprav z uravnoteženo zastopanostjo spolov v vseh velikih podjetjih v državni lasti;</w:t>
      </w:r>
    </w:p>
    <w:p w14:paraId="1968D3EE" w14:textId="77777777" w:rsidR="00A8664F" w:rsidRPr="00382100" w:rsidRDefault="00A8664F" w:rsidP="00A8664F">
      <w:pPr>
        <w:widowControl/>
        <w:spacing w:after="240"/>
        <w:ind w:left="567" w:hanging="567"/>
        <w:rPr>
          <w:bCs/>
          <w:iCs/>
          <w:snapToGrid w:val="0"/>
          <w:lang w:eastAsia="en-US"/>
        </w:rPr>
      </w:pPr>
      <w:r>
        <w:rPr>
          <w:snapToGrid w:val="0"/>
          <w:lang w:eastAsia="en-US"/>
        </w:rPr>
        <w:t>35</w:t>
      </w:r>
      <w:r w:rsidRPr="00382100">
        <w:rPr>
          <w:snapToGrid w:val="0"/>
          <w:lang w:eastAsia="en-US"/>
        </w:rPr>
        <w:t xml:space="preserve">. </w:t>
      </w:r>
      <w:r w:rsidRPr="00382100">
        <w:rPr>
          <w:snapToGrid w:val="0"/>
          <w:lang w:eastAsia="en-US"/>
        </w:rPr>
        <w:tab/>
        <w:t>poudarja, da je potrebna nadaljnja reforma na področju nadzora javnih financ, kar vključuje izboljšanje spremljanja uspešnosti državne službe za revizijo in ustrezno izvajanje reforme računskega sodišča, da bi se zaščitila nacionalna poraba;</w:t>
      </w:r>
    </w:p>
    <w:p w14:paraId="65971425" w14:textId="77777777" w:rsidR="00A8664F" w:rsidRPr="00382100" w:rsidRDefault="00A8664F" w:rsidP="00A8664F">
      <w:pPr>
        <w:widowControl/>
        <w:spacing w:after="240"/>
        <w:ind w:left="567" w:hanging="567"/>
        <w:rPr>
          <w:snapToGrid w:val="0"/>
          <w:lang w:eastAsia="en-US"/>
        </w:rPr>
      </w:pPr>
      <w:r>
        <w:rPr>
          <w:snapToGrid w:val="0"/>
          <w:lang w:eastAsia="en-US"/>
        </w:rPr>
        <w:t>36</w:t>
      </w:r>
      <w:r w:rsidRPr="00382100">
        <w:rPr>
          <w:snapToGrid w:val="0"/>
          <w:lang w:eastAsia="en-US"/>
        </w:rPr>
        <w:t>.</w:t>
      </w:r>
      <w:r w:rsidRPr="00382100">
        <w:rPr>
          <w:snapToGrid w:val="0"/>
          <w:lang w:eastAsia="en-US"/>
        </w:rPr>
        <w:tab/>
        <w:t>je seznanjen z ugotovitvami iz dodatka k drugemu poročilu o skladnosti, ki ga je 22. novembra 2024 sprejela Skupina držav proti korupciji pri Svetu Evrope, v skladu s katerim je Ukrajina zadovoljivo izvedla ali zadovoljivo obravnavala 18 od 31 priporočil iz tega poročila; spodbuja Ukrajino, naj v celoti izvede preostala priporočila, zlasti uvede sistem naključnega dodeljevanja zadev tožilcem, pojasni opredelitve disciplinskih kršitev ter razširi obseg disciplinskih sankcij, ki so na voljo za zagotavljanje večje sorazmernosti in učinkovitosti, pri tem pa upošteva posebne okoliščine v Ukrajini;</w:t>
      </w:r>
    </w:p>
    <w:p w14:paraId="6FECC29B" w14:textId="77777777" w:rsidR="00A8664F" w:rsidRPr="00382100" w:rsidRDefault="00A8664F" w:rsidP="00A8664F">
      <w:pPr>
        <w:widowControl/>
        <w:spacing w:after="240"/>
        <w:ind w:left="567" w:hanging="567"/>
        <w:rPr>
          <w:bCs/>
          <w:iCs/>
          <w:snapToGrid w:val="0"/>
          <w:lang w:eastAsia="en-US"/>
        </w:rPr>
      </w:pPr>
      <w:r>
        <w:rPr>
          <w:snapToGrid w:val="0"/>
          <w:lang w:eastAsia="en-US"/>
        </w:rPr>
        <w:t>37</w:t>
      </w:r>
      <w:r w:rsidRPr="00382100">
        <w:rPr>
          <w:snapToGrid w:val="0"/>
          <w:lang w:eastAsia="en-US"/>
        </w:rPr>
        <w:t>.</w:t>
      </w:r>
      <w:r w:rsidRPr="00382100">
        <w:rPr>
          <w:snapToGrid w:val="0"/>
          <w:lang w:eastAsia="en-US"/>
        </w:rPr>
        <w:tab/>
        <w:t xml:space="preserve">poziva Ukrajino, naj prednostno obravnava krepitev pravne države, reformo pravosodja in boj proti korupciji, ter poziva EU in države članice, naj povečajo podporo za ta </w:t>
      </w:r>
      <w:r w:rsidRPr="00382100">
        <w:rPr>
          <w:snapToGrid w:val="0"/>
          <w:lang w:eastAsia="en-US"/>
        </w:rPr>
        <w:lastRenderedPageBreak/>
        <w:t>prizadevanja, saj napredek na teh področjih ni ključen le za članstvo v EU, temveč tudi za uspešno obnovo in gospodarsko zaupanje; priporoča sprejetje čvrstega zakona o zaščiti žvižgačev v skladu s pravnim redom EU; ugotavlja, da se sedanji okvir protikorupcijske politike Ukrajine izteče v letu 2025, in poudarja, da je potreben prenovljen državni protikorupcijski program, ki bo odražal prispevek civilne družbe in določal ambiciozne cilje, merljiva merila in jasne roke;</w:t>
      </w:r>
    </w:p>
    <w:p w14:paraId="68F2951D" w14:textId="77777777" w:rsidR="00A8664F" w:rsidRPr="00382100" w:rsidRDefault="00A8664F" w:rsidP="00A8664F">
      <w:pPr>
        <w:widowControl/>
        <w:spacing w:after="240"/>
        <w:ind w:left="567" w:hanging="567"/>
        <w:rPr>
          <w:bCs/>
          <w:iCs/>
          <w:snapToGrid w:val="0"/>
          <w:lang w:eastAsia="en-US"/>
        </w:rPr>
      </w:pPr>
      <w:r>
        <w:rPr>
          <w:snapToGrid w:val="0"/>
          <w:lang w:eastAsia="en-US"/>
        </w:rPr>
        <w:t>38</w:t>
      </w:r>
      <w:r w:rsidRPr="00382100">
        <w:rPr>
          <w:snapToGrid w:val="0"/>
          <w:lang w:eastAsia="en-US"/>
        </w:rPr>
        <w:t>.</w:t>
      </w:r>
      <w:r w:rsidRPr="00382100">
        <w:rPr>
          <w:snapToGrid w:val="0"/>
          <w:lang w:eastAsia="en-US"/>
        </w:rPr>
        <w:tab/>
        <w:t>poziva Komisijo, naj Ukrajino vključi v nabor orodij EU za pravno državo, da bi pred pristopom okrepila izvajanje demokratičnih reform; spodbuja izboljšanje zmogljivosti organov preprečevanja, odkrivanja in preiskovanja kaznivih dejanj za finančne preiskave, in sicer s pripravo metodoloških smernic in pojasnitvijo odgovornosti, tudi z boljšimi odzivi na kriminalne sheme, kot je uporaba denarnih mul;</w:t>
      </w:r>
    </w:p>
    <w:p w14:paraId="3D4F6D73" w14:textId="77777777" w:rsidR="00A8664F" w:rsidRPr="00382100" w:rsidRDefault="00A8664F" w:rsidP="00A8664F">
      <w:pPr>
        <w:spacing w:after="240"/>
        <w:ind w:left="567" w:hanging="567"/>
        <w:rPr>
          <w:bCs/>
          <w:iCs/>
        </w:rPr>
      </w:pPr>
      <w:r>
        <w:t>39</w:t>
      </w:r>
      <w:r w:rsidRPr="00382100">
        <w:t>.</w:t>
      </w:r>
      <w:r w:rsidRPr="00382100">
        <w:tab/>
        <w:t>ugotavlja, da ruska vojaška agresija pomeni ogromen pritisk na ukrajinski sodni sistem, tudi zaradi velikega števila primerov „kolaboracije“; v zvezi s tem poziva k skrbni uporabi zakonodaje o „kolaboraciji“, varovanju temeljnih pravic in pravičnosti sodstva ter spodbuja enoten tožilski pristop, utemeljen na pravni jasnosti in doslednemu upoštevanju dejstev, ki je ključnega pomena za ponovno vključevanje osvobojenih ozemelj; glede tega spodbuja ukrajinske oblasti, naj v skladu s četrto ženevsko konvencijo prednostno izvajajo pregon v bolj resnih zadevah, ki so pomembne za državno varnost; poziva k večji preglednosti in javnemu dostopu do podatkov o teh pregonih;</w:t>
      </w:r>
    </w:p>
    <w:p w14:paraId="2B26AE8B" w14:textId="77777777" w:rsidR="00A8664F" w:rsidRPr="00382100" w:rsidRDefault="00A8664F" w:rsidP="00A8664F">
      <w:pPr>
        <w:spacing w:after="240"/>
        <w:ind w:left="567" w:hanging="567"/>
        <w:rPr>
          <w:bCs/>
          <w:iCs/>
        </w:rPr>
      </w:pPr>
      <w:r>
        <w:t>40</w:t>
      </w:r>
      <w:r w:rsidRPr="00382100">
        <w:t>.</w:t>
      </w:r>
      <w:r w:rsidRPr="00382100">
        <w:tab/>
        <w:t xml:space="preserve">poziva Ukrajino, naj virtualna sredstva uredi tako, da sprejme celovito zakonodajo, imenuje nadzorni organ, izvede oceno tveganja in podpira odkrivanje finančnih kaznivih dejanj, v katera so vključena virtualna sredstva; v zvezi s tem pozdravlja dejstvo, da je vrhovna rada sprejela osnutek zakona št. 11290, in poziva k sprejetju osnutka zakona št. 12207, s katerim se med drugim uvajajo evropske certifikacijske sheme za kibernetsko varnost in ki je namenjen uskladitvi ukrajinske zakonodaje s standardi EU; </w:t>
      </w:r>
    </w:p>
    <w:p w14:paraId="0602D534" w14:textId="77777777" w:rsidR="00A8664F" w:rsidRPr="00382100" w:rsidRDefault="00A8664F" w:rsidP="00A8664F">
      <w:pPr>
        <w:spacing w:after="240"/>
        <w:rPr>
          <w:snapToGrid w:val="0"/>
          <w:lang w:eastAsia="en-US"/>
        </w:rPr>
      </w:pPr>
      <w:r w:rsidRPr="00382100">
        <w:rPr>
          <w:b/>
          <w:i/>
          <w:snapToGrid w:val="0"/>
          <w:lang w:eastAsia="en-US"/>
        </w:rPr>
        <w:t>Temeljne svoboščine in človekove pravice</w:t>
      </w:r>
    </w:p>
    <w:p w14:paraId="35B9E30A" w14:textId="77777777" w:rsidR="00A8664F" w:rsidRPr="00382100" w:rsidRDefault="00A8664F" w:rsidP="00A8664F">
      <w:pPr>
        <w:widowControl/>
        <w:spacing w:after="240"/>
        <w:ind w:left="567" w:hanging="567"/>
        <w:rPr>
          <w:snapToGrid w:val="0"/>
          <w:lang w:eastAsia="en-US"/>
        </w:rPr>
      </w:pPr>
      <w:r>
        <w:rPr>
          <w:snapToGrid w:val="0"/>
          <w:lang w:eastAsia="en-US"/>
        </w:rPr>
        <w:t>41</w:t>
      </w:r>
      <w:r w:rsidRPr="00382100">
        <w:rPr>
          <w:snapToGrid w:val="0"/>
          <w:lang w:eastAsia="en-US"/>
        </w:rPr>
        <w:t>.</w:t>
      </w:r>
      <w:r w:rsidRPr="00382100">
        <w:rPr>
          <w:snapToGrid w:val="0"/>
          <w:lang w:eastAsia="en-US"/>
        </w:rPr>
        <w:tab/>
        <w:t>pozdravlja zavezanost Ukrajine spoštovanju temeljnih pravic v okoliščinah sedanje ruske vojaške agresije in kljub njej; poudarja bistveno vlogo civilne družbe v procesih reform in pristopa k EU; poudarja, da je treba ohraniti varno, spodbudno in participativno okolje za organizacije civilne družbe, vključno z zagovorniki človekovih pravic in aktivisti; poziva k nujni posodobitvi nacionalne strategije za človekove pravice in k celovitemu načrtu izvajanja; spodbuja smiseln državljanski dialog na vseh področjih javnega in političnega življenja ter poziva k nadaljnji politični enotnosti glede evropske poti Ukrajine; spodbuja, naj se zakonodaja, ki opredeljuje mandat ukrajinskega varuha človekovih pravic, uskladi s pravnim redom EU;</w:t>
      </w:r>
    </w:p>
    <w:p w14:paraId="3747C47C" w14:textId="77777777" w:rsidR="00A8664F" w:rsidRPr="00382100" w:rsidRDefault="00A8664F" w:rsidP="00A8664F">
      <w:pPr>
        <w:widowControl/>
        <w:spacing w:after="240"/>
        <w:ind w:left="567" w:hanging="567"/>
        <w:rPr>
          <w:snapToGrid w:val="0"/>
          <w:lang w:eastAsia="en-US"/>
        </w:rPr>
      </w:pPr>
      <w:r>
        <w:rPr>
          <w:snapToGrid w:val="0"/>
          <w:lang w:eastAsia="en-US"/>
        </w:rPr>
        <w:t>42</w:t>
      </w:r>
      <w:r w:rsidRPr="00382100">
        <w:rPr>
          <w:snapToGrid w:val="0"/>
          <w:lang w:eastAsia="en-US"/>
        </w:rPr>
        <w:t>.</w:t>
      </w:r>
      <w:r w:rsidRPr="00382100">
        <w:rPr>
          <w:snapToGrid w:val="0"/>
          <w:lang w:eastAsia="en-US"/>
        </w:rPr>
        <w:tab/>
        <w:t>priznava izzive pri ohranjanju pluralističnih medijev v vojnih razmerah, vključno z zlomom trga, varnostnimi omejitvami in pomanjkanjem človeških virov; meni, da sta dinamičen informacijski prostor in svoboda medijev v Ukrajini ena od ključnih prednosti države pri upiranju ruski invaziji in njeni propagandi; poziva, naj se na podlagi politične odločitve ponovno vzpostavi radiodifuzija za ponudnike medijskih storitev, ki bo pokrivala vso državo, pri čemer odločno zavrača nadaljnje drsenje v politično cenzuro pri uporabi omejitev, ki so potrebne zaradi vojne;</w:t>
      </w:r>
    </w:p>
    <w:p w14:paraId="57499852" w14:textId="77777777" w:rsidR="00A8664F" w:rsidRPr="00382100" w:rsidRDefault="00A8664F" w:rsidP="00A8664F">
      <w:pPr>
        <w:widowControl/>
        <w:spacing w:after="240"/>
        <w:ind w:left="567" w:hanging="567"/>
        <w:rPr>
          <w:snapToGrid w:val="0"/>
          <w:lang w:eastAsia="en-US"/>
        </w:rPr>
      </w:pPr>
      <w:r>
        <w:rPr>
          <w:snapToGrid w:val="0"/>
          <w:lang w:eastAsia="en-US"/>
        </w:rPr>
        <w:lastRenderedPageBreak/>
        <w:t>43</w:t>
      </w:r>
      <w:r w:rsidRPr="00382100">
        <w:rPr>
          <w:snapToGrid w:val="0"/>
          <w:lang w:eastAsia="en-US"/>
        </w:rPr>
        <w:t>.</w:t>
      </w:r>
      <w:r w:rsidRPr="00382100">
        <w:rPr>
          <w:snapToGrid w:val="0"/>
          <w:lang w:eastAsia="en-US"/>
        </w:rPr>
        <w:tab/>
        <w:t>pozdravlja pogumno delo ukrajinskih zagovornikov človekovih pravic in novinarjev, ki beležijo kršitve človekovih pravic v začasno zasedenih regijah; priznava strateški položaj Ukrajine v ospredju informacijske vojne in pozdravlja njeno sodelovanje v evropskih pobudah, kot so ščit za demokracijo in skupne varnostne zaveze za boj proti tujemu manipuliranju z informacijami in vmešavanju; priznava, da je Ukrajina ključna partnerica EU v boju proti tujemu manipuliranju z informacijami in vmešavanju, ter poziva EU in njene države članice, naj okrepijo boj proti ruskim dezinformacijam in hibridnim grožnjam; poziva k spodbujanju digitalne pismenosti, uveljavljanju akta o digitalnih storitvah na platformah družbenih medijev in okrepitvi strateškega komuniciranja EU, da bi se zoperstavili ruskemu vmešavanju in jasno obveščali o znatni podpori EU Ukrajini;</w:t>
      </w:r>
    </w:p>
    <w:p w14:paraId="3D65625F" w14:textId="77777777" w:rsidR="00A8664F" w:rsidRPr="00382100" w:rsidRDefault="00A8664F" w:rsidP="00A8664F">
      <w:pPr>
        <w:widowControl/>
        <w:spacing w:after="240"/>
        <w:ind w:left="567" w:hanging="567"/>
        <w:rPr>
          <w:bCs/>
          <w:iCs/>
          <w:snapToGrid w:val="0"/>
          <w:lang w:eastAsia="en-US"/>
        </w:rPr>
      </w:pPr>
      <w:r>
        <w:rPr>
          <w:snapToGrid w:val="0"/>
          <w:lang w:eastAsia="en-US"/>
        </w:rPr>
        <w:t>44</w:t>
      </w:r>
      <w:r w:rsidRPr="00382100">
        <w:rPr>
          <w:snapToGrid w:val="0"/>
          <w:lang w:eastAsia="en-US"/>
        </w:rPr>
        <w:t>.</w:t>
      </w:r>
      <w:r w:rsidRPr="00382100">
        <w:rPr>
          <w:snapToGrid w:val="0"/>
          <w:lang w:eastAsia="en-US"/>
        </w:rPr>
        <w:tab/>
        <w:t xml:space="preserve">pozdravlja zakonodajne pobude za spodbujanje enakosti oseb LGBTQI+ in drugih marginaliziranih skupin, zlasti osnutke zakonov 5488 (kazniva dejanja iz sovraštva), 12252 (civilna partnerstva) in 9103 (registrirana partnerstva); poziva k takojšnjemu sprejetju teh zakonov, da se zagotovi skladnost s standardi Evropskega sodišča za človekove pravice; poziva k sprejetju nove </w:t>
      </w:r>
      <w:proofErr w:type="spellStart"/>
      <w:r w:rsidRPr="00382100">
        <w:rPr>
          <w:snapToGrid w:val="0"/>
          <w:lang w:eastAsia="en-US"/>
        </w:rPr>
        <w:t>protidiskriminacijske</w:t>
      </w:r>
      <w:proofErr w:type="spellEnd"/>
      <w:r w:rsidRPr="00382100">
        <w:rPr>
          <w:snapToGrid w:val="0"/>
          <w:lang w:eastAsia="en-US"/>
        </w:rPr>
        <w:t xml:space="preserve"> zakonodaje, ki bo zajemala spolno usmerjenost, spolno identiteto in invalidnost, ter k nadaljnji krepitvi ukrajinskega </w:t>
      </w:r>
      <w:proofErr w:type="spellStart"/>
      <w:r w:rsidRPr="00382100">
        <w:rPr>
          <w:snapToGrid w:val="0"/>
          <w:lang w:eastAsia="en-US"/>
        </w:rPr>
        <w:t>protidiskriminacijskega</w:t>
      </w:r>
      <w:proofErr w:type="spellEnd"/>
      <w:r w:rsidRPr="00382100">
        <w:rPr>
          <w:snapToGrid w:val="0"/>
          <w:lang w:eastAsia="en-US"/>
        </w:rPr>
        <w:t xml:space="preserve"> pravnega okvira;</w:t>
      </w:r>
    </w:p>
    <w:p w14:paraId="757BB585" w14:textId="77777777" w:rsidR="00A8664F" w:rsidRPr="00382100" w:rsidRDefault="00A8664F" w:rsidP="00A8664F">
      <w:pPr>
        <w:widowControl/>
        <w:spacing w:after="240"/>
        <w:ind w:left="567" w:hanging="567"/>
        <w:rPr>
          <w:bCs/>
          <w:iCs/>
          <w:snapToGrid w:val="0"/>
          <w:lang w:eastAsia="en-US"/>
        </w:rPr>
      </w:pPr>
      <w:r>
        <w:rPr>
          <w:snapToGrid w:val="0"/>
          <w:lang w:eastAsia="en-US"/>
        </w:rPr>
        <w:t>45</w:t>
      </w:r>
      <w:r w:rsidRPr="00382100">
        <w:rPr>
          <w:snapToGrid w:val="0"/>
          <w:lang w:eastAsia="en-US"/>
        </w:rPr>
        <w:t>.</w:t>
      </w:r>
      <w:r w:rsidRPr="00382100">
        <w:rPr>
          <w:snapToGrid w:val="0"/>
          <w:lang w:eastAsia="en-US"/>
        </w:rPr>
        <w:tab/>
        <w:t>pozdravlja spremembe zakona o narodnostnih manjšinah iz julija 2024, s katerimi so bile uvedene poti za dvojezično izobraževanje, in spodbuja čimprejšnje izvajanje teh reform z ustreznim financiranjem in usposabljanjem učiteljev; pozdravlja ustanovitev sveta narodnostnih manjšin in sprejetje akcijskega načrta za varstvo pravic narodnostnih manjšin do leta 2027, katerega cilj je uskladitev ukrajinske zakonodaje z evropskimi standardi; poziva k strukturiranemu in vsebinskemu dialogu z manjšinskimi skupnostmi ter k celovitemu izvajanju priporočil Beneške komisije;</w:t>
      </w:r>
    </w:p>
    <w:p w14:paraId="25EF9572" w14:textId="77777777" w:rsidR="00A8664F" w:rsidRPr="00382100" w:rsidRDefault="00A8664F" w:rsidP="00A8664F">
      <w:pPr>
        <w:widowControl/>
        <w:spacing w:after="240"/>
        <w:ind w:left="567" w:hanging="567"/>
        <w:rPr>
          <w:snapToGrid w:val="0"/>
          <w:lang w:eastAsia="en-US"/>
        </w:rPr>
      </w:pPr>
      <w:r>
        <w:rPr>
          <w:snapToGrid w:val="0"/>
          <w:lang w:eastAsia="en-US"/>
        </w:rPr>
        <w:t>46</w:t>
      </w:r>
      <w:r w:rsidRPr="00382100">
        <w:rPr>
          <w:snapToGrid w:val="0"/>
          <w:lang w:eastAsia="en-US"/>
        </w:rPr>
        <w:t>.</w:t>
      </w:r>
      <w:r w:rsidRPr="00382100">
        <w:rPr>
          <w:snapToGrid w:val="0"/>
          <w:lang w:eastAsia="en-US"/>
        </w:rPr>
        <w:tab/>
        <w:t>pozdravlja zmožnost Ukrajine, da skrbi za neprekinjeno izobraževanje in reforme, zlasti z digitalnimi orodji, programi, ki jih podpira EU, in razvojem odporne javne infrastrukture; spodbuja Komisijo, naj v okviru programov Erasmus+, Obzorje Evropa in EU4Youth poveča podporo ukrajinskim študentom in institucijam;</w:t>
      </w:r>
    </w:p>
    <w:p w14:paraId="73450011" w14:textId="77777777" w:rsidR="00A8664F" w:rsidRPr="00382100" w:rsidRDefault="00A8664F" w:rsidP="00A8664F">
      <w:pPr>
        <w:spacing w:after="240"/>
        <w:ind w:left="567" w:hanging="567"/>
        <w:rPr>
          <w:bCs/>
          <w:iCs/>
        </w:rPr>
      </w:pPr>
      <w:r>
        <w:t>47</w:t>
      </w:r>
      <w:r w:rsidRPr="00382100">
        <w:t>.</w:t>
      </w:r>
      <w:r w:rsidRPr="00382100">
        <w:tab/>
        <w:t>pozdravlja, da je Ukrajina ratificirala Istanbulsko konvencijo in vzpostavila centre za pomoč preživelim; spodbuja Ukrajino, naj zagotovi trajno financiranje za preprečevanje nasilja na podlagi spola in podporo žrtvam, zlasti glede na to, da so tveganja med vojno večja; spodbuja Ukrajino, naj zakon o načelih preprečevanja diskriminacije in boja proti njej v Ukrajini ter kazenski zakonik Ukrajine o kaznivih dejanjih iz sovraštva izboljša v skladu z mednarodnimi standardi ter uvede potrebne zakonodajne spremembe za izvajanje Istanbulske konvencije;</w:t>
      </w:r>
    </w:p>
    <w:p w14:paraId="39207B38" w14:textId="77777777" w:rsidR="00A8664F" w:rsidRPr="00382100" w:rsidRDefault="00A8664F" w:rsidP="00A8664F">
      <w:pPr>
        <w:widowControl/>
        <w:spacing w:after="240"/>
        <w:ind w:left="567" w:hanging="567"/>
        <w:rPr>
          <w:snapToGrid w:val="0"/>
          <w:lang w:eastAsia="en-US"/>
        </w:rPr>
      </w:pPr>
      <w:r>
        <w:rPr>
          <w:snapToGrid w:val="0"/>
          <w:lang w:eastAsia="en-US"/>
        </w:rPr>
        <w:t>48</w:t>
      </w:r>
      <w:r w:rsidRPr="00382100">
        <w:rPr>
          <w:snapToGrid w:val="0"/>
          <w:lang w:eastAsia="en-US"/>
        </w:rPr>
        <w:t>.</w:t>
      </w:r>
      <w:r w:rsidRPr="00382100">
        <w:rPr>
          <w:snapToGrid w:val="0"/>
          <w:lang w:eastAsia="en-US"/>
        </w:rPr>
        <w:tab/>
        <w:t>priznava v konfliktnih razmerah in po njih obstaja povečano tveganje za trgovino z ljudmi, zlasti z ženskami in otroki; poziva ukrajinske oblasti, naj s podporo EU okrepijo mehanizme za odkrivanje ter sodelujejo s civilno družbo, da bi v skladu z direktivo EU o boju proti trgovini z ljudmi</w:t>
      </w:r>
      <w:r w:rsidRPr="00382100">
        <w:rPr>
          <w:snapToGrid w:val="0"/>
          <w:vertAlign w:val="superscript"/>
          <w:lang w:eastAsia="en-US"/>
        </w:rPr>
        <w:footnoteReference w:id="3"/>
      </w:r>
      <w:r w:rsidRPr="00382100">
        <w:rPr>
          <w:snapToGrid w:val="0"/>
          <w:lang w:eastAsia="en-US"/>
        </w:rPr>
        <w:t xml:space="preserve"> zaščitile žrtve in jim zagotovile rehabilitacijo;</w:t>
      </w:r>
    </w:p>
    <w:p w14:paraId="2E23F4AD" w14:textId="77777777" w:rsidR="00A8664F" w:rsidRPr="00382100" w:rsidRDefault="00A8664F" w:rsidP="00A8664F">
      <w:pPr>
        <w:widowControl/>
        <w:spacing w:after="240"/>
        <w:ind w:left="567" w:hanging="567"/>
        <w:rPr>
          <w:snapToGrid w:val="0"/>
          <w:lang w:eastAsia="en-US"/>
        </w:rPr>
      </w:pPr>
      <w:r>
        <w:rPr>
          <w:snapToGrid w:val="0"/>
          <w:lang w:eastAsia="en-US"/>
        </w:rPr>
        <w:lastRenderedPageBreak/>
        <w:t>49</w:t>
      </w:r>
      <w:r w:rsidRPr="00382100">
        <w:rPr>
          <w:snapToGrid w:val="0"/>
          <w:lang w:eastAsia="en-US"/>
        </w:rPr>
        <w:t>.</w:t>
      </w:r>
      <w:r w:rsidRPr="00382100">
        <w:rPr>
          <w:snapToGrid w:val="0"/>
          <w:lang w:eastAsia="en-US"/>
        </w:rPr>
        <w:tab/>
        <w:t>podpira okrepljeno pomoč EU Ukrajini na področju fizične rehabilitacije in protetične oskrbe, zlasti za ranjene vojake, žrtve min in amputirance; poudarja, je treba s podporo EU in držav članic razviti nacionalni sistem za protetiko in rehabilitacijo; podpira partnerstva z evropskimi zdravstvenimi zavodi za izboljšanje zmogljivosti, usposabljanja in dostopa do sodobne opreme;</w:t>
      </w:r>
    </w:p>
    <w:p w14:paraId="346E68D1" w14:textId="77777777" w:rsidR="00A8664F" w:rsidRPr="00382100" w:rsidRDefault="00A8664F" w:rsidP="00A8664F">
      <w:pPr>
        <w:spacing w:after="240"/>
        <w:ind w:left="567" w:hanging="567"/>
      </w:pPr>
      <w:r>
        <w:t>50</w:t>
      </w:r>
      <w:r w:rsidRPr="00382100">
        <w:t>.</w:t>
      </w:r>
      <w:r w:rsidRPr="00382100">
        <w:tab/>
        <w:t>je seznanjen, da je bil sprejet zakon, na podlagi katerega bodo lahko pravoslavne krajevne skupnosti iz Ukrajine zapustile jurisdikcijo moskovskega patriarhata ter se svobodno odločile o svoji pripadnosti drugi hierarhiji; obsoja, da si ruske sile nezakonito prisvajajo in odstranjujejo predmete kulturne dediščine z začasno zasedenih ukrajinskih ozemelj; poziva k spoštovanju verske in kulturne dediščine na začasno zasedenih ozemljih, kar vključuje 485 že uničenih spomenikov, verskih objektov in svetih krajev; poudarja, da so vse strani odgovorne za zaščito kulturne dediščine v skladu z mednarodnimi konvencijami;</w:t>
      </w:r>
    </w:p>
    <w:p w14:paraId="0AB7D6D9" w14:textId="77777777" w:rsidR="00A8664F" w:rsidRPr="00382100" w:rsidRDefault="00A8664F" w:rsidP="00A8664F">
      <w:pPr>
        <w:spacing w:after="240"/>
        <w:ind w:left="567" w:hanging="567"/>
        <w:rPr>
          <w:bCs/>
          <w:iCs/>
        </w:rPr>
      </w:pPr>
      <w:r>
        <w:t>51</w:t>
      </w:r>
      <w:r w:rsidRPr="00382100">
        <w:t>.</w:t>
      </w:r>
      <w:r w:rsidRPr="00382100">
        <w:tab/>
        <w:t>poziva Ukrajino, naj nadaljuje približevanje delovnih standardov, predvsem glede svobode zbiranja in socialnega dialoga, ter državo spodbuja, naj svojo nacionalno delovno in socialno zakonodajo še naprej usklajuje s standardi EU, zlasti na področjih zaposlovanja, socialne politike in enakih možnosti; poziva Komisijo, naj dodatno podpre napredovanje tega procesa; poudarja potrebo po širokih posvetovanjih s sindikati in civilno družbo ter priporoča, naj se upošteva strokovno znanje Mednarodne organizacije dela na tem področju;</w:t>
      </w:r>
    </w:p>
    <w:p w14:paraId="49B9E9CB" w14:textId="77777777" w:rsidR="00A8664F" w:rsidRPr="00382100" w:rsidRDefault="00A8664F" w:rsidP="00A8664F">
      <w:pPr>
        <w:spacing w:after="240"/>
        <w:rPr>
          <w:snapToGrid w:val="0"/>
          <w:lang w:eastAsia="en-US"/>
        </w:rPr>
      </w:pPr>
      <w:r w:rsidRPr="00382100">
        <w:rPr>
          <w:b/>
          <w:i/>
          <w:snapToGrid w:val="0"/>
          <w:lang w:eastAsia="en-US"/>
        </w:rPr>
        <w:t>Regionalno sodelovanje in dobri sosedski odnosi</w:t>
      </w:r>
    </w:p>
    <w:p w14:paraId="7C4AFBF7" w14:textId="77777777" w:rsidR="00A8664F" w:rsidRPr="00382100" w:rsidRDefault="00A8664F" w:rsidP="00A8664F">
      <w:pPr>
        <w:spacing w:after="240"/>
        <w:ind w:left="567" w:hanging="567"/>
      </w:pPr>
      <w:r>
        <w:t>52</w:t>
      </w:r>
      <w:r w:rsidRPr="00382100">
        <w:t>.</w:t>
      </w:r>
      <w:r w:rsidRPr="00382100">
        <w:tab/>
        <w:t>pozdravlja dejavno sodelovanje Ukrajine v regionalnih pobudah, kot sta njeno vodstvo v forumu civilne družbe vzhodnega partnerstva in usklajevanje čezmejnih projektov z državami članicami EU;</w:t>
      </w:r>
    </w:p>
    <w:p w14:paraId="63B13029" w14:textId="77777777" w:rsidR="00A8664F" w:rsidRPr="00382100" w:rsidRDefault="00A8664F" w:rsidP="00A8664F">
      <w:pPr>
        <w:spacing w:after="240"/>
        <w:ind w:left="567" w:hanging="567"/>
        <w:rPr>
          <w:bCs/>
          <w:iCs/>
        </w:rPr>
      </w:pPr>
      <w:r>
        <w:t>53</w:t>
      </w:r>
      <w:r w:rsidRPr="00382100">
        <w:t>.</w:t>
      </w:r>
      <w:r w:rsidRPr="00382100">
        <w:tab/>
        <w:t>pozdravlja nedavno skupno sporočilo Komisije in visoke predstavnice Unije za zunanje zadeve in varnostno politiko z naslovom Strateški pristop Evropske unije k črnomorski regiji</w:t>
      </w:r>
      <w:r w:rsidRPr="00382100">
        <w:rPr>
          <w:bCs/>
          <w:iCs/>
          <w:vertAlign w:val="superscript"/>
        </w:rPr>
        <w:footnoteReference w:id="4"/>
      </w:r>
      <w:r w:rsidRPr="00382100">
        <w:t xml:space="preserve"> ter zlasti priložnosti za smiseln prispevek Ukrajine v tem okviru; spodbuja nadaljnje dejavno sodelovanje Ukrajine v vzhodnem partnerstvu in parlamentarni skupščini </w:t>
      </w:r>
      <w:proofErr w:type="spellStart"/>
      <w:r w:rsidRPr="00382100">
        <w:t>Euronest</w:t>
      </w:r>
      <w:proofErr w:type="spellEnd"/>
      <w:r w:rsidRPr="00382100">
        <w:t>, in sicer v vlogi „voditeljice povezovanja“, ki se zavzema za evropske vrednote in reforme po vsej regiji;</w:t>
      </w:r>
    </w:p>
    <w:p w14:paraId="1F91716F" w14:textId="77777777" w:rsidR="00A8664F" w:rsidRPr="00382100" w:rsidRDefault="00A8664F" w:rsidP="00A8664F">
      <w:pPr>
        <w:widowControl/>
        <w:spacing w:after="240"/>
        <w:ind w:left="567" w:hanging="567"/>
        <w:rPr>
          <w:snapToGrid w:val="0"/>
          <w:lang w:eastAsia="en-US"/>
        </w:rPr>
      </w:pPr>
      <w:r>
        <w:rPr>
          <w:snapToGrid w:val="0"/>
          <w:lang w:eastAsia="en-US"/>
        </w:rPr>
        <w:t>54</w:t>
      </w:r>
      <w:r w:rsidRPr="00382100">
        <w:rPr>
          <w:snapToGrid w:val="0"/>
          <w:lang w:eastAsia="en-US"/>
        </w:rPr>
        <w:t>.</w:t>
      </w:r>
      <w:r w:rsidRPr="00382100">
        <w:rPr>
          <w:snapToGrid w:val="0"/>
          <w:lang w:eastAsia="en-US"/>
        </w:rPr>
        <w:tab/>
        <w:t xml:space="preserve">pozdravlja in spodbuja vse poskuse Ukrajine in držav članic EU, da bi obravnavale nerešene vidike zgodovinskih dvostranskih in regionalnih odnosov, na primer pokola v </w:t>
      </w:r>
      <w:proofErr w:type="spellStart"/>
      <w:r w:rsidRPr="00382100">
        <w:rPr>
          <w:snapToGrid w:val="0"/>
          <w:lang w:eastAsia="en-US"/>
        </w:rPr>
        <w:t>Voliniji</w:t>
      </w:r>
      <w:proofErr w:type="spellEnd"/>
      <w:r w:rsidRPr="00382100">
        <w:rPr>
          <w:snapToGrid w:val="0"/>
          <w:lang w:eastAsia="en-US"/>
        </w:rPr>
        <w:t>, v duhu resnične in iskrene sprave ter ob spoštovanju vrednot EU, kot sta človekovo dostojanstvo in dobri sosedski odnosi, pa tudi s kritično presojo zgodovinskih dogodkov; je prepričan, da se bo z dobro voljo vseh zadevnih strani konstruktivno pristopilo k potrpežljivemu procesu sprave, da bi se doseglo medsebojno razumevanje; v zvezi s tem pozdravlja potekajoče pogovore med poljskimi in ukrajinskimi oblastmi, ki so privedli do ponovnega izkopavanja grobov poljskih državljanov na ukrajinskem ozemlju aprila 2025; upa, da se bo proces nadaljeval z jasnim ciljem, da se žrtvam zagotovi dostojen pokop in spomin;</w:t>
      </w:r>
    </w:p>
    <w:p w14:paraId="29B96F51" w14:textId="77777777" w:rsidR="00A8664F" w:rsidRPr="00382100" w:rsidRDefault="00A8664F" w:rsidP="00A8664F">
      <w:pPr>
        <w:spacing w:after="240"/>
        <w:ind w:left="567" w:hanging="567"/>
      </w:pPr>
      <w:r>
        <w:t>55</w:t>
      </w:r>
      <w:r w:rsidRPr="00382100">
        <w:t xml:space="preserve">. </w:t>
      </w:r>
      <w:r w:rsidRPr="00382100">
        <w:tab/>
        <w:t xml:space="preserve">je zelo zaskrbljen zaradi nedavnega odkritja, da so madžarske varnostne agencije zbirale </w:t>
      </w:r>
      <w:r w:rsidRPr="00382100">
        <w:lastRenderedPageBreak/>
        <w:t xml:space="preserve">obveščevalne podatke v </w:t>
      </w:r>
      <w:proofErr w:type="spellStart"/>
      <w:r w:rsidRPr="00382100">
        <w:t>Zakarpatski</w:t>
      </w:r>
      <w:proofErr w:type="spellEnd"/>
      <w:r w:rsidRPr="00382100">
        <w:t xml:space="preserve"> regiji na jugozahodu Ukrajine; izraža obžalovanje zaradi sistematične politike madžarske vlade, usmerjene v spodkopavanje samoobrambnih prizadevanj Ukrajine in izkoriščanje vprašanj, povezanih z madžarsko manjšino v Ukrajini, za politično korist, kar ovira napredek Ukrajine pri vključevanju v EU; </w:t>
      </w:r>
    </w:p>
    <w:p w14:paraId="49F02E8C" w14:textId="77777777" w:rsidR="00A8664F" w:rsidRPr="00382100" w:rsidRDefault="00A8664F" w:rsidP="00A8664F">
      <w:pPr>
        <w:spacing w:after="240"/>
        <w:rPr>
          <w:snapToGrid w:val="0"/>
          <w:lang w:eastAsia="en-US"/>
        </w:rPr>
      </w:pPr>
      <w:r w:rsidRPr="00382100">
        <w:rPr>
          <w:b/>
          <w:i/>
          <w:snapToGrid w:val="0"/>
          <w:lang w:eastAsia="en-US"/>
        </w:rPr>
        <w:t>Družbeno-gospodarske reforme</w:t>
      </w:r>
    </w:p>
    <w:p w14:paraId="1E368C93" w14:textId="77777777" w:rsidR="00A8664F" w:rsidRPr="00382100" w:rsidRDefault="00A8664F" w:rsidP="00A8664F">
      <w:pPr>
        <w:widowControl/>
        <w:spacing w:after="240"/>
        <w:ind w:left="567" w:hanging="567"/>
        <w:rPr>
          <w:snapToGrid w:val="0"/>
          <w:lang w:eastAsia="en-US"/>
        </w:rPr>
      </w:pPr>
      <w:r>
        <w:rPr>
          <w:snapToGrid w:val="0"/>
          <w:lang w:eastAsia="en-US"/>
        </w:rPr>
        <w:t>56</w:t>
      </w:r>
      <w:r w:rsidRPr="00382100">
        <w:rPr>
          <w:snapToGrid w:val="0"/>
          <w:lang w:eastAsia="en-US"/>
        </w:rPr>
        <w:t>.</w:t>
      </w:r>
      <w:r w:rsidRPr="00382100">
        <w:rPr>
          <w:snapToGrid w:val="0"/>
          <w:lang w:eastAsia="en-US"/>
        </w:rPr>
        <w:tab/>
        <w:t>pozdravlja, da Ukrajina izvaja prednostni akcijski načrt za obdobje 2023–2024 in da je sprejela zakonodajo, potrebno za reformo ukrajinskega urada za gospodarsko varnost, kar ji omogoča učinkovitejši boj proti davčnim utajam in gospodarski kriminaliteti;</w:t>
      </w:r>
    </w:p>
    <w:p w14:paraId="2DBBA378" w14:textId="77777777" w:rsidR="00A8664F" w:rsidRPr="00382100" w:rsidRDefault="00A8664F" w:rsidP="00A8664F">
      <w:pPr>
        <w:widowControl/>
        <w:spacing w:after="240"/>
        <w:ind w:left="567" w:hanging="567"/>
        <w:rPr>
          <w:snapToGrid w:val="0"/>
          <w:lang w:eastAsia="en-US"/>
        </w:rPr>
      </w:pPr>
      <w:r>
        <w:rPr>
          <w:snapToGrid w:val="0"/>
          <w:lang w:eastAsia="en-US"/>
        </w:rPr>
        <w:t>57</w:t>
      </w:r>
      <w:r w:rsidRPr="00382100">
        <w:rPr>
          <w:snapToGrid w:val="0"/>
          <w:lang w:eastAsia="en-US"/>
        </w:rPr>
        <w:t>.</w:t>
      </w:r>
      <w:r w:rsidRPr="00382100">
        <w:rPr>
          <w:snapToGrid w:val="0"/>
          <w:lang w:eastAsia="en-US"/>
        </w:rPr>
        <w:tab/>
        <w:t>opozarja na sprejetje zakona o lokalni javni upravi leta 2023 in spodbuja ukrajinsko vlado, naj sprejme sistemski pristop k prihodnjim reformam javne uprave, tako da določi jasno vizijo in strukturirano strategijo izvajanja; poudarja, da je treba institucionalno in upravno zmogljivost, ki je potrebna za dolgoročen uspeh in vpliv reform, povezanih s pristopom, okrepiti tako z zakonodajo kot v praksi; pozdravlja, da je vrhovna rada nedavno sprejela osnutek zakona št. 8222, s katerim se standardizira sistem plač javnih uslužbencev in poskuša izboljšati učinkovitost upravljanja ob hkratnem usklajevanju z evropskimi standardi na področju upravljanja javnih služb;</w:t>
      </w:r>
    </w:p>
    <w:p w14:paraId="127AF1B0" w14:textId="77777777" w:rsidR="00A8664F" w:rsidRPr="00382100" w:rsidRDefault="00A8664F" w:rsidP="00A8664F">
      <w:pPr>
        <w:widowControl/>
        <w:spacing w:after="240"/>
        <w:ind w:left="567" w:hanging="567"/>
        <w:rPr>
          <w:snapToGrid w:val="0"/>
          <w:lang w:eastAsia="en-US"/>
        </w:rPr>
      </w:pPr>
      <w:r>
        <w:rPr>
          <w:snapToGrid w:val="0"/>
          <w:lang w:eastAsia="en-US"/>
        </w:rPr>
        <w:t>58</w:t>
      </w:r>
      <w:r w:rsidRPr="00382100">
        <w:rPr>
          <w:snapToGrid w:val="0"/>
          <w:lang w:eastAsia="en-US"/>
        </w:rPr>
        <w:t>.</w:t>
      </w:r>
      <w:r w:rsidRPr="00382100">
        <w:rPr>
          <w:snapToGrid w:val="0"/>
          <w:lang w:eastAsia="en-US"/>
        </w:rPr>
        <w:tab/>
        <w:t>spodbuja Ukrajino k napredku pri odobritvi sprememb zakona o lokalni državni upravi, vključno z osnutkom zakona št. 4298, da bi reforme lokalnega upravljanja uskladila s standardi EU; poziva k uravnoteženemu pravnemu okviru za upravni nadzor, ki bo spoštoval načelo sorazmernosti in Evropsko listino lokalne samouprave, hkrati pa varoval pristojnosti, pooblastila in samoupravne funkcije lokalnih organov; ponovno poziva k formalni uvedbi pravne osebnosti za lokalne in regionalne javne organe;</w:t>
      </w:r>
    </w:p>
    <w:p w14:paraId="11969E2B" w14:textId="77777777" w:rsidR="00A8664F" w:rsidRPr="00382100" w:rsidRDefault="00A8664F" w:rsidP="00A8664F">
      <w:pPr>
        <w:widowControl/>
        <w:spacing w:after="240"/>
        <w:ind w:left="567" w:hanging="567"/>
        <w:rPr>
          <w:snapToGrid w:val="0"/>
          <w:lang w:eastAsia="en-US"/>
        </w:rPr>
      </w:pPr>
      <w:r>
        <w:rPr>
          <w:snapToGrid w:val="0"/>
          <w:lang w:eastAsia="en-US"/>
        </w:rPr>
        <w:t>59</w:t>
      </w:r>
      <w:r w:rsidRPr="00382100">
        <w:rPr>
          <w:snapToGrid w:val="0"/>
          <w:lang w:eastAsia="en-US"/>
        </w:rPr>
        <w:t>.</w:t>
      </w:r>
      <w:r w:rsidRPr="00382100">
        <w:rPr>
          <w:snapToGrid w:val="0"/>
          <w:lang w:eastAsia="en-US"/>
        </w:rPr>
        <w:tab/>
        <w:t>poziva k stalnemu napredku pri reformi za decentralizacijo in krepitvi lokalne samouprave; pozdravlja začetek faze III programa U-LEAD, ki ga podpirajo EU in države članice, osredotočen pa je na krepitev lokalne samouprave ter spodbujanje odpornega okrevanja na lokalni in regionalni ravni; poudarja, je treba vse prihodnje ustavne ali institucionalne reforme, vključno z volilno reformo in reformo za decentralizacijo, izvajati pregledno, vključujoče in v skladu s priporočili Beneške komisije;</w:t>
      </w:r>
    </w:p>
    <w:p w14:paraId="5A3E980F" w14:textId="77777777" w:rsidR="00A8664F" w:rsidRPr="00382100" w:rsidRDefault="00A8664F" w:rsidP="00A8664F">
      <w:pPr>
        <w:widowControl/>
        <w:spacing w:after="240"/>
        <w:ind w:left="567" w:hanging="567"/>
        <w:rPr>
          <w:snapToGrid w:val="0"/>
          <w:lang w:eastAsia="en-US"/>
        </w:rPr>
      </w:pPr>
      <w:r>
        <w:rPr>
          <w:snapToGrid w:val="0"/>
          <w:lang w:eastAsia="en-US"/>
        </w:rPr>
        <w:t>60</w:t>
      </w:r>
      <w:r w:rsidRPr="00382100">
        <w:rPr>
          <w:snapToGrid w:val="0"/>
          <w:lang w:eastAsia="en-US"/>
        </w:rPr>
        <w:t>.</w:t>
      </w:r>
      <w:r w:rsidRPr="00382100">
        <w:rPr>
          <w:snapToGrid w:val="0"/>
          <w:lang w:eastAsia="en-US"/>
        </w:rPr>
        <w:tab/>
        <w:t>pozdravlja, da je Ukrajina dosegla ključne mejnike, in jo poziva, naj še naprej napreduje pri izvajanju načrta za Ukrajino v skladu z Uredbo (EU) 2024/792, hkrati pa spoštuje vrednote in standarde, na katerih temelji načrt; poudarja, da mora Komisija ohraniti pogojenost, zlasti v zvezi s stebrom III instrumenta, da bi zagotovila vzdržnost in odgovornost v procesu reform; poudarja močan zagon pri izvajanju reform, ki ga spodbujata široko družbeno soglasje in pogojenost z instrumentom za Ukrajino;</w:t>
      </w:r>
    </w:p>
    <w:p w14:paraId="2E5C5962" w14:textId="77777777" w:rsidR="00A8664F" w:rsidRPr="00382100" w:rsidRDefault="00A8664F" w:rsidP="00A8664F">
      <w:pPr>
        <w:spacing w:after="240"/>
        <w:ind w:left="567" w:hanging="567"/>
      </w:pPr>
      <w:r>
        <w:t>61</w:t>
      </w:r>
      <w:r w:rsidRPr="00382100">
        <w:t>.</w:t>
      </w:r>
      <w:r w:rsidRPr="00382100">
        <w:tab/>
        <w:t xml:space="preserve">pozdravlja stalno podporo organizacijam civilne družbe prek sklopa za civilno družbo instrumenta za Ukrajino in spodbuja Ukrajino, naj zagotovi, da zahteve glede finančnega poročanja ne bodo neustrezno omejevale dejavnosti organizacij civilne družbe; </w:t>
      </w:r>
      <w:bookmarkStart w:id="11" w:name="_Hlk204185250"/>
      <w:r w:rsidRPr="00382100">
        <w:t>poudarja pomen smiselnega sodelovanja s civilno družbo in lokalnimi organi, da bi v okviru načrta za Ukrajino zagotovili učinkovito izvajanje in kakovostne reforme;</w:t>
      </w:r>
      <w:bookmarkEnd w:id="11"/>
      <w:r w:rsidRPr="00382100">
        <w:t xml:space="preserve"> spodbuja pravosodne organe Ukrajine, naj okrepijo obstoječe mehanizme, tudi s sodnimi ukrepi, za zaščito aktivistov civilne družbe; poziva Ukrajino, naj poskrbi, da zahteve glede finančnega poročanja in ureditev dejanskega lastništva pravnih subjektov ne bodo neupravičeno posegale v delovanje in neodvisnost organizacij civilne družbe; </w:t>
      </w:r>
      <w:r w:rsidRPr="00382100">
        <w:lastRenderedPageBreak/>
        <w:t xml:space="preserve">pozdravlja stalno podpiranje organizacij civilne družbe s sklopom za civilno družbo iz instrumenta za Ukrajino; </w:t>
      </w:r>
    </w:p>
    <w:p w14:paraId="27DDC797" w14:textId="77777777" w:rsidR="00A8664F" w:rsidRPr="00382100" w:rsidRDefault="00A8664F" w:rsidP="00A8664F">
      <w:pPr>
        <w:spacing w:after="240"/>
        <w:ind w:left="567" w:hanging="567"/>
        <w:rPr>
          <w:bCs/>
          <w:iCs/>
        </w:rPr>
      </w:pPr>
      <w:r>
        <w:t>62</w:t>
      </w:r>
      <w:r w:rsidRPr="00382100">
        <w:t>.</w:t>
      </w:r>
      <w:r w:rsidRPr="00382100">
        <w:tab/>
        <w:t>poudarja, da mora biti obnova Ukrajine tesno povezana z njenimi reformami za pristop k EU, usmerjati pa jo morajo načela socialne pravičnosti, trajnosti, preglednosti in lokalne odgovornosti; poleg tega poudarja, da mora obnova Ukrajine temeljiti na trdni pravni državi, preglednemu upravljanju in demokratičnemu vključevanju; poudarja, da reforma pravosodja, protikorupcijska prizadevanja in izboljšave javne uprave niso le pogoji za pristop k EU, temveč so tudi bistveni za privabljanje naložb in ponovno vzpostavitev zaupanja med partnerji Ukrajine in njenimi državljani; poziva k vključevanju pristopov, ki upoštevajo vidik spola, v vsa prizadevanja za obnovo, vključno z večjo zastopanostjo žensk in manjšin v postopkih odločanja; poziva ukrajinsko vlado, naj poskrbi za preglednost pri izvajanju načrta za obnovo „</w:t>
      </w:r>
      <w:proofErr w:type="spellStart"/>
      <w:r w:rsidRPr="00382100">
        <w:t>RebuildUkraine</w:t>
      </w:r>
      <w:proofErr w:type="spellEnd"/>
      <w:r w:rsidRPr="00382100">
        <w:t>“ ter kar zadeva posvetovanje in sodelovanje civilne družbe in ogroženih skupin v družbi, zlasti v zvezi s spoštovanjem temeljnih pravic in vladavine prava, pa tudi nediskriminatorno porazdelitev in uporabo sredstev EU;</w:t>
      </w:r>
    </w:p>
    <w:p w14:paraId="023EAE2C" w14:textId="77777777" w:rsidR="00A8664F" w:rsidRPr="00382100" w:rsidRDefault="00A8664F" w:rsidP="00A8664F">
      <w:pPr>
        <w:spacing w:after="240"/>
        <w:ind w:left="567" w:hanging="567"/>
      </w:pPr>
      <w:r>
        <w:t>63</w:t>
      </w:r>
      <w:r w:rsidRPr="00382100">
        <w:t>.</w:t>
      </w:r>
      <w:r w:rsidRPr="00382100">
        <w:tab/>
        <w:t xml:space="preserve">poudarja bistveno vlogo, ki jo imata instrument EU za Ukrajino in program posojil za pospešitev uporabe izrednih prihodkov, saj skupaj zagotavljata več kot 30 milijard EUR v letu 2025 za podporo javnim storitvam, </w:t>
      </w:r>
      <w:proofErr w:type="spellStart"/>
      <w:r w:rsidRPr="00382100">
        <w:t>makrofinančni</w:t>
      </w:r>
      <w:proofErr w:type="spellEnd"/>
      <w:r w:rsidRPr="00382100">
        <w:t xml:space="preserve"> stabilnosti in reformnemu programu Ukrajine; poziva, naj se finančna podpora Ukrajini v letih 2026 in 2027 nadaljuje in poveča, tudi z novim svežnjem makrofinančne pomoči za kritje pričakovanega proračunskega primanjkljaja Ukrajine v višini 39 milijard EUR; poleg tega ugotavlja, da finančna in gospodarska odpornost Ukrajine ostaja osnovni pogoj za ohranitev njenih obrambnih zmogljivosti in procesa reform; zato poziva k razmisleku o rešitvah za zmanjšanje bremena zunanjega dolga Ukrajine; </w:t>
      </w:r>
    </w:p>
    <w:p w14:paraId="39AC77F2" w14:textId="77777777" w:rsidR="00A8664F" w:rsidRPr="00382100" w:rsidRDefault="00A8664F" w:rsidP="00A8664F">
      <w:pPr>
        <w:spacing w:after="240"/>
        <w:ind w:left="567" w:hanging="567"/>
        <w:rPr>
          <w:bCs/>
          <w:iCs/>
        </w:rPr>
      </w:pPr>
      <w:r>
        <w:t>64</w:t>
      </w:r>
      <w:r w:rsidRPr="00382100">
        <w:t>.</w:t>
      </w:r>
      <w:r w:rsidRPr="00382100">
        <w:tab/>
        <w:t>je seznanjen s sporazumom o gospodarskem partnerstvu med ZDA in Ukrajino o kritičnih mineralih in priznava, da sporazum potrjuje dolgoročno podporo ZDA varnosti in obnovi Ukrajine, ter je seznanjen z namero, izraženo v sporazumu, da se zaščitijo proces pristopa Ukrajine k EU in s tem povezane obveznosti ter zagotovi skladnost z zavezami Ukrajine do mednarodnih finančnih institucij ali drugih uradnih upnikov; poziva Komisijo, naj obe strani pozove, da dodatno pojasnita, kako se bodo izvajale določbe, namenjene zaščiti poti vključevanja Ukrajine v EU, in redno poročata o njihovi skladnosti s pravom Unije; šteje za bistveno, da se pri izkoriščanju mineralov na podlagi tega sporazuma v celoti spoštujejo visoki socialni in ekološki standardi ter da se s čvrstimi nadzornimi mehanizmi poskrbi za skladnost; nadalje pričakuje, da bo Ukrajina v svoj nacionalni pravni okvir v celoti vključila ustrezno okoljsko zakonodajo EU, vključno z okvirno direktivo o vodah</w:t>
      </w:r>
      <w:r w:rsidRPr="00382100">
        <w:rPr>
          <w:bCs/>
          <w:iCs/>
          <w:vertAlign w:val="superscript"/>
        </w:rPr>
        <w:footnoteReference w:id="5"/>
      </w:r>
      <w:r w:rsidRPr="00382100">
        <w:t xml:space="preserve"> in direktivo o ravnanju z odpadki iz rudarskih in drugih ekstraktivnih dejavnosti</w:t>
      </w:r>
      <w:r w:rsidRPr="00382100">
        <w:rPr>
          <w:bCs/>
          <w:iCs/>
          <w:vertAlign w:val="superscript"/>
        </w:rPr>
        <w:footnoteReference w:id="6"/>
      </w:r>
      <w:r w:rsidRPr="00382100">
        <w:t>;</w:t>
      </w:r>
    </w:p>
    <w:p w14:paraId="28824DF8" w14:textId="77777777" w:rsidR="00A8664F" w:rsidRPr="00382100" w:rsidRDefault="00A8664F" w:rsidP="00A8664F">
      <w:pPr>
        <w:widowControl/>
        <w:spacing w:after="240"/>
        <w:ind w:left="567" w:hanging="567"/>
        <w:rPr>
          <w:snapToGrid w:val="0"/>
          <w:lang w:eastAsia="en-US"/>
        </w:rPr>
      </w:pPr>
      <w:r>
        <w:rPr>
          <w:snapToGrid w:val="0"/>
          <w:lang w:eastAsia="en-US"/>
        </w:rPr>
        <w:t>65</w:t>
      </w:r>
      <w:r w:rsidRPr="00382100">
        <w:rPr>
          <w:snapToGrid w:val="0"/>
          <w:lang w:eastAsia="en-US"/>
        </w:rPr>
        <w:t>.</w:t>
      </w:r>
      <w:r w:rsidRPr="00382100">
        <w:rPr>
          <w:snapToGrid w:val="0"/>
          <w:lang w:eastAsia="en-US"/>
        </w:rPr>
        <w:tab/>
        <w:t>opozarja, da je treba pri širitvi EU zagotoviti, da pridružitev ne bo povzročila izkoriščanja naravnih virov držav kandidatk ali prispevala k socialni neenakosti in degradaciji okolja;</w:t>
      </w:r>
    </w:p>
    <w:p w14:paraId="29F5DF6A" w14:textId="77777777" w:rsidR="00A8664F" w:rsidRPr="00382100" w:rsidRDefault="00A8664F" w:rsidP="00A8664F">
      <w:pPr>
        <w:spacing w:after="240"/>
        <w:ind w:left="567" w:hanging="567"/>
        <w:rPr>
          <w:bCs/>
          <w:iCs/>
        </w:rPr>
      </w:pPr>
      <w:r>
        <w:lastRenderedPageBreak/>
        <w:t>66</w:t>
      </w:r>
      <w:r w:rsidRPr="00382100">
        <w:t>.</w:t>
      </w:r>
      <w:r w:rsidRPr="00382100">
        <w:tab/>
        <w:t>pozdravlja napredek, ki ga je Ukrajina dosegla pri delnem sprejetju zakonodaje o dobrobiti živali, čeprav s precejšnjimi zamudami glede zavez, sprejetih v okviru poglobljenega in celovitega območja proste trgovine; spodbuja Ukrajino, naj si še naprej prizadeva za napredek pri sprejetju Uredbe Sveta (ES) št. 1/2005</w:t>
      </w:r>
      <w:r w:rsidRPr="00382100">
        <w:rPr>
          <w:bCs/>
          <w:iCs/>
          <w:vertAlign w:val="superscript"/>
        </w:rPr>
        <w:footnoteReference w:id="7"/>
      </w:r>
      <w:r w:rsidRPr="00382100">
        <w:t xml:space="preserve"> o zaščiti živali med prevozom in pri tem upošteva sedanjo revizijo te zakonodaje v okviru EU, saj je to ključno za izpolnjevanje proizvodnih standardov EU in lajšanje povečanega izvoza proizvodov živalskega izvora v EU; poziva EU in njene države članice, naj Ukrajini pri tem finančno in tehnično pomagajo;</w:t>
      </w:r>
    </w:p>
    <w:p w14:paraId="5888A173" w14:textId="77777777" w:rsidR="00A8664F" w:rsidRPr="00382100" w:rsidRDefault="00A8664F" w:rsidP="00A8664F">
      <w:pPr>
        <w:spacing w:after="240"/>
        <w:ind w:left="567" w:hanging="567"/>
        <w:rPr>
          <w:bCs/>
          <w:iCs/>
        </w:rPr>
      </w:pPr>
      <w:r>
        <w:t>67</w:t>
      </w:r>
      <w:r w:rsidRPr="00382100">
        <w:t>.</w:t>
      </w:r>
      <w:r w:rsidRPr="00382100">
        <w:tab/>
        <w:t>poudarja odpornost in pomen kmetijskega sektorja (19 % BDP, 53 % izvoza blaga), potrebo po diverzifikaciji vrednostnih verig ter koristnost hitrega sprejetja fitosanitarnih standardov EU; poudarja pomen okoljskih zaščitnih ukrepov za zeleno okrevanje Ukrajine; poziva Komisijo, naj Ukrajino še naprej podpira pri izvajanju postopkov presoje vplivov na okolje, zlasti v gozdarskem in kmetijskem sektorju, ter postopkov strateške presoje vplivov na okolje; poleg tega poziva Komisijo, naj še naprej podpira Ukrajino pri krepitvi upravnih zmogljivosti za celovito izvajanje okoljskega pravnega reda EU, vključno s sodelovanjem javnosti pri odločanju, in pri usklajevanju njene zakonodaje z direktivo o energiji iz obnovljivih virov</w:t>
      </w:r>
      <w:r w:rsidRPr="00382100">
        <w:rPr>
          <w:bCs/>
          <w:iCs/>
          <w:vertAlign w:val="superscript"/>
        </w:rPr>
        <w:footnoteReference w:id="8"/>
      </w:r>
      <w:r w:rsidRPr="00382100">
        <w:t>, zlasti z merili za trajnostnost bioenergije;</w:t>
      </w:r>
    </w:p>
    <w:p w14:paraId="0CA69E9C" w14:textId="77777777" w:rsidR="00A8664F" w:rsidRPr="00382100" w:rsidRDefault="00A8664F" w:rsidP="00A8664F">
      <w:pPr>
        <w:widowControl/>
        <w:spacing w:after="240"/>
        <w:ind w:left="567" w:hanging="567"/>
        <w:rPr>
          <w:snapToGrid w:val="0"/>
          <w:lang w:eastAsia="en-US"/>
        </w:rPr>
      </w:pPr>
      <w:r>
        <w:rPr>
          <w:snapToGrid w:val="0"/>
          <w:lang w:eastAsia="en-US"/>
        </w:rPr>
        <w:t>68</w:t>
      </w:r>
      <w:r w:rsidRPr="00382100">
        <w:rPr>
          <w:snapToGrid w:val="0"/>
          <w:lang w:eastAsia="en-US"/>
        </w:rPr>
        <w:t>.</w:t>
      </w:r>
      <w:r w:rsidRPr="00382100">
        <w:rPr>
          <w:snapToGrid w:val="0"/>
          <w:lang w:eastAsia="en-US"/>
        </w:rPr>
        <w:tab/>
        <w:t>poziva vrhovno rado in ukrajinsko vlado, naj spremeni zakon št. 12089, na podlagi katerega je dovoljena legalizacija lastništva na zemljiščih, ki je bilo nezakonito odvzeto državi, vključno z gozdovi in vodnimi telesi, in preneseno na posameznike, kar ni skladno s pravnim redom EU, saj zakon v sedanji obliki vključuje pravne negotovosti, zaradi katerih teh zemljišč ne bo mogoče vrniti državi;</w:t>
      </w:r>
    </w:p>
    <w:p w14:paraId="6F1F7460" w14:textId="77777777" w:rsidR="00A8664F" w:rsidRPr="00382100" w:rsidRDefault="00A8664F" w:rsidP="00A8664F">
      <w:pPr>
        <w:spacing w:after="240"/>
        <w:rPr>
          <w:snapToGrid w:val="0"/>
          <w:lang w:eastAsia="en-US"/>
        </w:rPr>
      </w:pPr>
      <w:r w:rsidRPr="00382100">
        <w:rPr>
          <w:b/>
          <w:i/>
          <w:snapToGrid w:val="0"/>
          <w:lang w:eastAsia="en-US"/>
        </w:rPr>
        <w:t>Energija, okolje, trajnostni razvoj in povezljivost</w:t>
      </w:r>
    </w:p>
    <w:p w14:paraId="24C07F70" w14:textId="77777777" w:rsidR="00A8664F" w:rsidRPr="00382100" w:rsidRDefault="00A8664F" w:rsidP="00A8664F">
      <w:pPr>
        <w:spacing w:after="240"/>
        <w:ind w:left="567" w:hanging="567"/>
        <w:rPr>
          <w:bCs/>
          <w:iCs/>
        </w:rPr>
      </w:pPr>
      <w:r>
        <w:t>69</w:t>
      </w:r>
      <w:r w:rsidRPr="00382100">
        <w:t>.</w:t>
      </w:r>
      <w:r w:rsidRPr="00382100">
        <w:tab/>
        <w:t>pozdravlja znaten napredek, dosežen pri reformah energetskega sektorja, in uskladitev Ukrajine s cilji evropskega zelenega dogovora ter državo spodbuja, naj glede tega ne nazaduje; poudarja, da je treba energetsko varnost Ukrajine dodatno okrepiti s spodbujanjem njenega vključevanja v trg EU z energijo, vključno s sinhronizacijo električnega omrežja Ukrajine s celinsko Evropo in poglobljenim sodelovanjem na področju skladiščenja plina in oskrbe z njim, ter s pospeševanjem uvajanja obnovljivih virov energije in ukrepov za energetsko učinkovitost; poudarja, da je za gospodarsko stabilnost in strateško avtonomijo Ukrajine še naprej ključna krepitev odpornosti kritične energetske infrastrukture;</w:t>
      </w:r>
    </w:p>
    <w:p w14:paraId="07E5A935" w14:textId="77777777" w:rsidR="00A8664F" w:rsidRPr="00382100" w:rsidRDefault="00A8664F" w:rsidP="00A8664F">
      <w:pPr>
        <w:spacing w:after="240"/>
        <w:ind w:left="567" w:hanging="567"/>
        <w:rPr>
          <w:bCs/>
          <w:iCs/>
        </w:rPr>
      </w:pPr>
      <w:r>
        <w:t>70</w:t>
      </w:r>
      <w:r w:rsidRPr="00382100">
        <w:t>.</w:t>
      </w:r>
      <w:r w:rsidRPr="00382100">
        <w:tab/>
        <w:t xml:space="preserve">poudarja, da ima Ukrajina velik potencial kot ponudnica energetskih in energetsko intenzivnih proizvodov za preostalo Evropo; zato spodbuja Ukrajino, naj še naprej razvija energetske povezave s sosednjimi državami članicami in regionalnimi partnerji, kot je Republika Moldavija, da bi nadaljevala vključevanje v trg EU z energijo; </w:t>
      </w:r>
      <w:r w:rsidRPr="00382100">
        <w:lastRenderedPageBreak/>
        <w:t>priznava, da je Rusija v svoji vojaški agresiji ciljala omrežja in obrate ter jih uničila; zato poziva Ukrajino, naj obnovo izkoristi za izboljšave in pri tem, kjer je le mogoče, uporabi podnebju najprijaznejše tehnologije in procese, vlaga v obnovljive vire energije in energijsko učinkovitost ter v celotni proizvodni verigi čim bolj zmanjša vpliv na okolje; pozdravlja stalno sodelovanje Komisije na tem področju, da bi podprla reformo energetskega sektorja Ukrajine, vključno z obnovo in zelenim prehodom; poziva k napredku pri izvajanju obstoječih zavez iz načrta za Ukrajino in svežnjev Energetske skupnosti, vključno z ločevanjem regionalnih podjetij za distribucijo energije;</w:t>
      </w:r>
    </w:p>
    <w:p w14:paraId="10990E9A" w14:textId="77777777" w:rsidR="00A8664F" w:rsidRPr="00382100" w:rsidRDefault="00A8664F" w:rsidP="00A8664F">
      <w:pPr>
        <w:spacing w:after="240"/>
        <w:ind w:left="567" w:hanging="567"/>
        <w:rPr>
          <w:bCs/>
          <w:iCs/>
        </w:rPr>
      </w:pPr>
      <w:r>
        <w:t>71</w:t>
      </w:r>
      <w:r w:rsidRPr="00382100">
        <w:t>.</w:t>
      </w:r>
      <w:r w:rsidRPr="00382100">
        <w:tab/>
        <w:t>spodbuja Ukrajino, naj po napadih Rusije na njeno energetsko infrastrukturo preuči stroškovno najučinkovitejše in najzanesljivejše rešitve za svoj energetski sektor, na primer tako, da v največji možni meri glede na sedanjo vojno nadomesti svoje elektrarne na fosilna goriva z decentraliziranimi in trajnostnimi tehnologijami za pridobivanje energije; poziva Komisijo in ukrajinske oblasti, naj sredstva iz instrumenta za Ukrajino strateško uporabijo za prednostno obravnavanje naložb v obnovljive vire energije, ki so ključnega pomena za dolgoročno energetsko varnost, okoljsko trajnostnost ter ekonomsko odpornost Ukrajine in preostale celine;</w:t>
      </w:r>
    </w:p>
    <w:p w14:paraId="5AD1F433" w14:textId="77777777" w:rsidR="00A8664F" w:rsidRPr="00382100" w:rsidRDefault="00A8664F" w:rsidP="00A8664F">
      <w:pPr>
        <w:spacing w:after="240"/>
        <w:ind w:left="567" w:hanging="567"/>
      </w:pPr>
      <w:r>
        <w:t>72</w:t>
      </w:r>
      <w:r w:rsidRPr="00382100">
        <w:t>.</w:t>
      </w:r>
      <w:r w:rsidRPr="00382100">
        <w:tab/>
        <w:t>izraža veliko zaskrbljenost zaradi škodljivega vpliva Rusije v Mednarodni agenciji za jedrsko energijo kljub njenim ponavljajočim se kršitvam temeljnih načel agencije glede jedrske varnosti in nevmešavanja; poziva EU in njene države članice, naj se še naprej zavzemajo za večji nadzor vloge Rusije v Mednarodni agenciji za jedrsko energijo ter preučijo reforme, v okviru katerih države agresorke ne bi mogle spodkopati nevtralnosti in kredibilnosti mednarodnega jedrskega nadzora;</w:t>
      </w:r>
    </w:p>
    <w:p w14:paraId="43922297" w14:textId="77777777" w:rsidR="00A8664F" w:rsidRPr="00382100" w:rsidRDefault="00A8664F" w:rsidP="00A8664F">
      <w:pPr>
        <w:spacing w:after="240"/>
        <w:ind w:left="567" w:hanging="567"/>
        <w:rPr>
          <w:b/>
          <w:bCs/>
          <w:i/>
          <w:iCs/>
        </w:rPr>
      </w:pPr>
      <w:r>
        <w:t>73</w:t>
      </w:r>
      <w:r w:rsidRPr="00382100">
        <w:t>.</w:t>
      </w:r>
      <w:r w:rsidRPr="00382100">
        <w:tab/>
        <w:t>poudarja, da ruska vojaška agresija pomeni ekocid in je povzročila hudo in dolgoročno škodo okolju v Ukrajini, kar vključuje uničenje ekosistemov, onesnaženje vode in tal ter ciljanje industrijske in energetske infrastrukture; meni, da je bistveno prepoznati ta dejanja kot vojne zločine in tako poskrbeti, da bo Rusija v celoti pravno odgovorna, Ukrajina pa posledično upravičena do odškodnine, ter poziva, naj EU v okviru obnove Ukrajine podpre celovito strategijo za okoljsko okrevanje; poziva EU in njene države članice, naj v celoti podprejo vse pobude, s katerimi se evidentira uničevanje okolja, ki ga povzroča ruska vojna, ter spodbujajo prizadevanja, da bi se v tujih jurisdikcijah dosegli odgovornost in odškodnine;</w:t>
      </w:r>
    </w:p>
    <w:p w14:paraId="5845E16E" w14:textId="77777777" w:rsidR="00A8664F" w:rsidRPr="00382100" w:rsidRDefault="00A8664F" w:rsidP="00A8664F">
      <w:pPr>
        <w:widowControl/>
        <w:spacing w:after="240"/>
        <w:ind w:left="567" w:hanging="567"/>
        <w:rPr>
          <w:snapToGrid w:val="0"/>
          <w:lang w:eastAsia="en-US"/>
        </w:rPr>
      </w:pPr>
      <w:r>
        <w:rPr>
          <w:snapToGrid w:val="0"/>
          <w:lang w:eastAsia="en-US"/>
        </w:rPr>
        <w:t>74</w:t>
      </w:r>
      <w:r w:rsidRPr="00382100">
        <w:rPr>
          <w:snapToGrid w:val="0"/>
          <w:lang w:eastAsia="en-US"/>
        </w:rPr>
        <w:t>.</w:t>
      </w:r>
      <w:r w:rsidRPr="00382100">
        <w:rPr>
          <w:snapToGrid w:val="0"/>
          <w:lang w:eastAsia="en-US"/>
        </w:rPr>
        <w:tab/>
        <w:t>izraža pohvalo Ukrajini za sprejetje nacionalnega načrta za energijo in podnebje ter za usklajevanje in načrtovanje svoje energetske in okoljske politike do leta 2030, katere posebni cilji vključujejo znatno zmanjšanje emisij toplogrednih plinov in večji delež obnovljivih virov energije; podpira sedanja prizadevanja sklada za energetsko učinkovitost in na novo vzpostavljenega sklada za razogljičenje; poziva EU in države članice, naj poskrbijo za finančno vzdržnost teh instrumentov, zlasti v okviru obnove in vključevanja obnovljivih virov energije v stanovanja; spodbuja Ukrajino, naj v energetske reforme vključi načelo pravičnega prehoda, da bi ublažila socialne posledice in podprla ranljive skupine;</w:t>
      </w:r>
    </w:p>
    <w:p w14:paraId="0BE62C5B" w14:textId="77777777" w:rsidR="00A8664F" w:rsidRPr="00382100" w:rsidRDefault="00A8664F" w:rsidP="00A8664F">
      <w:pPr>
        <w:widowControl/>
        <w:spacing w:after="240"/>
        <w:ind w:left="567" w:hanging="567"/>
        <w:rPr>
          <w:snapToGrid w:val="0"/>
          <w:lang w:eastAsia="en-US"/>
        </w:rPr>
      </w:pPr>
      <w:r>
        <w:rPr>
          <w:snapToGrid w:val="0"/>
          <w:lang w:eastAsia="en-US"/>
        </w:rPr>
        <w:t>75</w:t>
      </w:r>
      <w:r w:rsidRPr="00382100">
        <w:rPr>
          <w:snapToGrid w:val="0"/>
          <w:lang w:eastAsia="en-US"/>
        </w:rPr>
        <w:t>.</w:t>
      </w:r>
      <w:r w:rsidRPr="00382100">
        <w:rPr>
          <w:snapToGrid w:val="0"/>
          <w:lang w:eastAsia="en-US"/>
        </w:rPr>
        <w:tab/>
        <w:t xml:space="preserve">poziva Komisijo in države članice, naj jedrsko varnost vključijo kot osrednji sestavni del strategije Ukrajine za okrevanje in vključevanje v EU, pri tem pa zagotovijo uskladitev s pravnim redom EU o jedrski energiji in varstvu pred sevanjem na podlagi okvira Euratom; podpira krepitev jedrske varnosti Ukrajine in njene zmogljivosti za odzivanje na radiološke izredne dogodke kot osrednjega elementa strategije Ukrajine za okrevanje in vključevanje v EU, tudi s tehnično in finančno pomočjo EU in mednarodnih partnerjev; poziva k vzpostavitvi pobude pod vodstvom EU za okrepitev </w:t>
      </w:r>
      <w:r w:rsidRPr="00382100">
        <w:rPr>
          <w:snapToGrid w:val="0"/>
          <w:lang w:eastAsia="en-US"/>
        </w:rPr>
        <w:lastRenderedPageBreak/>
        <w:t>jedrske varnosti, zaščito kritične infrastrukture in preprečevanje radioloških nesreč, ki izhajajo iz ruske agresije; izraža veliko zaskrbljenost zaradi poskusov Ruske federacije, da bi si dejansko priključila ukrajinsko kritično infrastrukturo, vključno z verodostojnimi javnimi poročili, da namerava odklopiti jedrsko elektrarno Zaporožje od ukrajinskega elektroenergetskega omrežja in jo prisilno vključiti v ruski energetski sistem, kar bi bila kršitev suverenosti Ukrajine in mednarodnega prava ter veliko tveganje za jedrsko varnost; poziva, naj se vse rusko vojaško osebje in oprema nujno in nemudoma brezpogojno umakneta z območja jedrske elektrarne Zaporožje in vseh drugih jedrskih objektov v Ukrajini, ter Mednarodno agencijo za jedrsko energijo poziva, naj javno in nedvoumno nasprotuje vsem tovrstnim poskusom; poudarja, da celovitost in odpornost jedrske infrastrukture Ukrajine ni le nacionalno vprašanje, ampak skupna evropska odgovornost; poziva k usklajenemu načrtovanju ravnanja v nepredvidljivih razmerah in bolj poglobljenemu čezmejnemu sodelovanju med državami članicami EU, da bi se odzivale na morebitne jedrske grožnje zaradi ruskih dejanj v Ukrajini;</w:t>
      </w:r>
    </w:p>
    <w:p w14:paraId="1840480C" w14:textId="77777777" w:rsidR="00A8664F" w:rsidRPr="00382100" w:rsidRDefault="00A8664F" w:rsidP="00A8664F">
      <w:pPr>
        <w:spacing w:after="240"/>
        <w:ind w:left="567" w:hanging="567"/>
      </w:pPr>
      <w:r>
        <w:t>76</w:t>
      </w:r>
      <w:r w:rsidRPr="00382100">
        <w:t>.</w:t>
      </w:r>
      <w:r w:rsidRPr="00382100">
        <w:tab/>
        <w:t xml:space="preserve">poziva Ukrajino, naj se v skladu s trajnostnim gospodarjenjem z gozdovi in standardi varstva okolja uspešno bori proti nezakoniti sečnji, kot je zakonita sečnja v karpatskih pragozdovih; poziva EU, naj prispeva k preprečevanju nezakonite sečnje v zvezi s projektom smučarskega letovišča </w:t>
      </w:r>
      <w:proofErr w:type="spellStart"/>
      <w:r w:rsidRPr="00382100">
        <w:t>Svidovec</w:t>
      </w:r>
      <w:proofErr w:type="spellEnd"/>
      <w:r w:rsidRPr="00382100">
        <w:t xml:space="preserve">; spodbuja Ukrajino, naj vlaga v ekološko in okoljsko varno ter trajnostno turistično infrastrukturo; </w:t>
      </w:r>
    </w:p>
    <w:p w14:paraId="7518B58B" w14:textId="77777777" w:rsidR="00A8664F" w:rsidRPr="00382100" w:rsidRDefault="00A8664F" w:rsidP="00A8664F">
      <w:pPr>
        <w:spacing w:after="240"/>
        <w:ind w:left="567" w:hanging="567"/>
      </w:pPr>
      <w:r>
        <w:t>77</w:t>
      </w:r>
      <w:r w:rsidRPr="00382100">
        <w:t>.</w:t>
      </w:r>
      <w:r w:rsidRPr="00382100">
        <w:tab/>
        <w:t xml:space="preserve">poziva Komisijo, naj Ukrajini pomaga ohraniti napredek pri doseganju visoke ravni zadostnosti Smaragdne mreže v zvezi z območji posebnega ohranitvenega interesa; </w:t>
      </w:r>
    </w:p>
    <w:p w14:paraId="4FF996BF" w14:textId="77777777" w:rsidR="00A8664F" w:rsidRPr="00382100" w:rsidRDefault="00A8664F" w:rsidP="00A8664F">
      <w:pPr>
        <w:widowControl/>
        <w:spacing w:after="240"/>
        <w:ind w:left="567" w:hanging="567"/>
        <w:rPr>
          <w:snapToGrid w:val="0"/>
          <w:lang w:eastAsia="en-US"/>
        </w:rPr>
      </w:pPr>
      <w:r>
        <w:rPr>
          <w:snapToGrid w:val="0"/>
          <w:lang w:eastAsia="en-US"/>
        </w:rPr>
        <w:t>78</w:t>
      </w:r>
      <w:r w:rsidRPr="00382100">
        <w:rPr>
          <w:snapToGrid w:val="0"/>
          <w:lang w:eastAsia="en-US"/>
        </w:rPr>
        <w:t>.</w:t>
      </w:r>
      <w:r w:rsidRPr="00382100">
        <w:rPr>
          <w:snapToGrid w:val="0"/>
          <w:lang w:eastAsia="en-US"/>
        </w:rPr>
        <w:tab/>
        <w:t>pozdravlja dejstvo, da je izvoz, usmerjen v EU, leta 2024 predstavljal 63 % vsega izvoza, kar je bilo več kot 42 % leta 2021 in je odražalo uspešno trgovinsko preusmeritev;</w:t>
      </w:r>
    </w:p>
    <w:p w14:paraId="351903F7" w14:textId="77777777" w:rsidR="00A8664F" w:rsidRPr="00382100" w:rsidRDefault="00A8664F" w:rsidP="00A8664F">
      <w:pPr>
        <w:spacing w:after="240"/>
        <w:ind w:left="567" w:hanging="567"/>
        <w:rPr>
          <w:bCs/>
          <w:iCs/>
        </w:rPr>
      </w:pPr>
      <w:r>
        <w:t>79</w:t>
      </w:r>
      <w:r w:rsidRPr="00382100">
        <w:t>.</w:t>
      </w:r>
      <w:r w:rsidRPr="00382100">
        <w:tab/>
        <w:t>upošteva strateški pomen razvoja in širitve železniških koridorjev, ki Ukrajino prek vseevropskega prometnega omrežja (TEN-T) povezujejo z EU in imajo v okviru širše infrastrukture za dvojno rabo tako civilne kot vojaške logistične namene; spodbuja stalna prizadevanja za uskladitev digitalnih in prometnih standardov Ukrajine s standardi EU, kar olajša trgovino, mobilnost in varno komunikacijo; poudarja, da bo boljša povezljivost podprla gospodarsko okrevanje in povezovanje Ukrajine;</w:t>
      </w:r>
    </w:p>
    <w:p w14:paraId="1BB9E7C2" w14:textId="77777777" w:rsidR="00A8664F" w:rsidRPr="00382100" w:rsidRDefault="00A8664F" w:rsidP="00A8664F">
      <w:pPr>
        <w:spacing w:after="240"/>
        <w:ind w:left="567" w:hanging="567"/>
        <w:rPr>
          <w:bCs/>
          <w:iCs/>
        </w:rPr>
      </w:pPr>
      <w:r>
        <w:t>80</w:t>
      </w:r>
      <w:r w:rsidRPr="00382100">
        <w:t>.</w:t>
      </w:r>
      <w:r w:rsidRPr="00382100">
        <w:tab/>
        <w:t>poziva Komisijo in države članice, naj izboljšanju predvidene prometne povezljivosti in odpornosti Ukrajine do leta 2050, vključno z nadaljnjim posodabljanjem zemljevidov vseevropskega prometnega omrežja, dodelijo vsa potrebna sredstva; pozdravlja uspešen razvoj in izvedbo solidarnostnih pasov, po katerih lahko Ukrajina zaobide črnomorsko blokado ter raznovrstno blago prek sosednjih držav članic EU in Moldavije izvozi na svetovne trge; pozdravlja dejstvo, da je imela Ukrajina kljub vojnim grozodejstvom, ki jih je utrpela, in znatnemu zmanjšanju pridelave žita ključno vlogo pri preprečevanju svetovne prehranske krize, saj je bilo prek programa humanitarne pomoči s hrano Žito iz Ukrajine, ki ga je predsednik Zelenski začel leta 2022, državam z najhujšimi prehranskimi krizami, zlasti v Afriki, zagotovljenih več kot 170.000 ton pšenice; ugotavlja, da Ukrajina veliko večino žita izvozi v države v razvoju;</w:t>
      </w:r>
    </w:p>
    <w:p w14:paraId="45FCCCD3" w14:textId="77777777" w:rsidR="00A8664F" w:rsidRPr="00382100" w:rsidRDefault="00A8664F" w:rsidP="00A8664F">
      <w:pPr>
        <w:spacing w:after="240"/>
        <w:ind w:left="567" w:hanging="567"/>
        <w:rPr>
          <w:bCs/>
          <w:iCs/>
        </w:rPr>
      </w:pPr>
      <w:r>
        <w:t>81</w:t>
      </w:r>
      <w:r w:rsidRPr="00382100">
        <w:t>.</w:t>
      </w:r>
      <w:r w:rsidRPr="00382100">
        <w:tab/>
        <w:t xml:space="preserve">priznava, da Ukrajina napreduje pri vključevanju v pobude EU za prometno in digitalno povezljivost, ter poudarja pomen usklajevanja s pravnim redom EU na teh področjih; pozdravlja predvsem ukrepe, sprejete za vključitev Ukrajine v območje brezplačnega gostovanja EU, pri čemer se za državljane in podjetja odpravijo stroški mobilnega </w:t>
      </w:r>
      <w:r w:rsidRPr="00382100">
        <w:lastRenderedPageBreak/>
        <w:t>gostovanja med Ukrajino in EU;</w:t>
      </w:r>
    </w:p>
    <w:p w14:paraId="0E4AA235" w14:textId="77777777" w:rsidR="00A8664F" w:rsidRPr="00382100" w:rsidRDefault="00A8664F" w:rsidP="00A8664F">
      <w:pPr>
        <w:spacing w:after="240"/>
        <w:ind w:left="567" w:hanging="567"/>
      </w:pPr>
      <w:r>
        <w:t>82</w:t>
      </w:r>
      <w:r w:rsidRPr="00382100">
        <w:t>.</w:t>
      </w:r>
      <w:r w:rsidRPr="00382100">
        <w:tab/>
        <w:t>poudarja, kako pomembno je okrepiti povezljivost, interoperabilnost in zmogljivost digitalnih in računalniških sistemov med EU in Ukrajino v skladu s pridružitvenim sporazumom; poziva k nadaljnjim prizadevanjem za harmonizacijo digitalnih politik, razširitev sodelovanja na področju kibernetske varnosti ter zagotovitev odporne in varne digitalne infrastrukture; v zvezi s tem pozdravlja sklenitev delovnega dogovora med Agencijo Evropske unije za kibernetsko varnost in ukrajinskimi organi za kibernetsko varnost decembra 2023;</w:t>
      </w:r>
    </w:p>
    <w:p w14:paraId="603D7FC7" w14:textId="77777777" w:rsidR="00A8664F" w:rsidRPr="00382100" w:rsidRDefault="00A8664F" w:rsidP="00A8664F">
      <w:pPr>
        <w:spacing w:after="240"/>
        <w:ind w:left="567" w:hanging="567"/>
        <w:rPr>
          <w:b/>
          <w:bCs/>
          <w:i/>
          <w:iCs/>
        </w:rPr>
      </w:pPr>
      <w:r w:rsidRPr="00382100">
        <w:rPr>
          <w:b/>
          <w:i/>
        </w:rPr>
        <w:t>O pristopnih pogajanjih</w:t>
      </w:r>
    </w:p>
    <w:p w14:paraId="325BDBCC" w14:textId="77777777" w:rsidR="00A8664F" w:rsidRPr="00382100" w:rsidRDefault="00A8664F" w:rsidP="00A8664F">
      <w:pPr>
        <w:spacing w:after="240"/>
        <w:ind w:left="567" w:hanging="567"/>
        <w:rPr>
          <w:bCs/>
          <w:iCs/>
        </w:rPr>
      </w:pPr>
      <w:r>
        <w:t>83</w:t>
      </w:r>
      <w:r w:rsidRPr="00382100">
        <w:t>.</w:t>
      </w:r>
      <w:r w:rsidRPr="00382100">
        <w:tab/>
        <w:t>opozarja na odločitev Evropskega sveta 14. in 15. decembra 2023 o začetku pristopnih pogajanj z Ukrajino, ki pomeni zgodovinski mejnik na poti Ukrajine k članstvu v EU; pozdravlja hiter sklic prve medvladne pristopne konference EU-Ukrajina 25. junija 2024, s katero se je uradno začel pogajalski proces, in pozdravlja oceno komisarke Marte Kos, da bi bilo mogoče vse preglede zaključiti do jeseni 2025;</w:t>
      </w:r>
    </w:p>
    <w:p w14:paraId="090BE72C" w14:textId="77777777" w:rsidR="00A8664F" w:rsidRPr="00382100" w:rsidRDefault="00A8664F" w:rsidP="00A8664F">
      <w:pPr>
        <w:widowControl/>
        <w:spacing w:after="240"/>
        <w:ind w:left="567" w:hanging="567"/>
        <w:rPr>
          <w:bCs/>
          <w:iCs/>
          <w:snapToGrid w:val="0"/>
          <w:lang w:eastAsia="en-US"/>
        </w:rPr>
      </w:pPr>
      <w:r>
        <w:rPr>
          <w:snapToGrid w:val="0"/>
          <w:lang w:eastAsia="en-US"/>
        </w:rPr>
        <w:t>84</w:t>
      </w:r>
      <w:r w:rsidRPr="00382100">
        <w:rPr>
          <w:snapToGrid w:val="0"/>
          <w:lang w:eastAsia="en-US"/>
        </w:rPr>
        <w:t>.</w:t>
      </w:r>
      <w:r w:rsidRPr="00382100">
        <w:rPr>
          <w:snapToGrid w:val="0"/>
          <w:lang w:eastAsia="en-US"/>
        </w:rPr>
        <w:tab/>
        <w:t>priznava pomembne reforme in prizadevnost Ukrajine ter zato priporoča, naj Komisija hitro odpre pogajalske sklope z Ukrajino, da bi prošnja države za članstvo v EU napredovala kar najhitreje, pod pogojem, da bo še naprej izvajala pravni red EU in dokončala reforme, katerih se je lotila; poudarja, da bi morala pristopna pogajanja slediti jasni in pregledni poti, na kateri bi jih vodila objektivna in merljiva merila; poudarja, da morajo ta vključevati poglobljene reforme na vseh temeljnih področjih in delovanje stabilnih institucij, ki podpirajo demokracijo, pravno državo, človekove pravice ter zlasti spoštovanje in varstvo manjšin; poudarja priporočila Komisije za prihodnje leto;</w:t>
      </w:r>
    </w:p>
    <w:p w14:paraId="28B03018" w14:textId="77777777" w:rsidR="00A8664F" w:rsidRPr="00382100" w:rsidRDefault="00A8664F" w:rsidP="00A8664F">
      <w:pPr>
        <w:spacing w:after="240"/>
        <w:ind w:left="567" w:hanging="567"/>
      </w:pPr>
      <w:r>
        <w:t>85</w:t>
      </w:r>
      <w:r w:rsidRPr="00382100">
        <w:t>.</w:t>
      </w:r>
      <w:r w:rsidRPr="00382100">
        <w:tab/>
      </w:r>
      <w:bookmarkStart w:id="12" w:name="_Hlk204187147"/>
      <w:bookmarkStart w:id="13" w:name="_Hlk204186804"/>
      <w:r w:rsidRPr="00382100">
        <w:t>poziva madžarsko vlado in države članice, naj pri reševanju vseh težav, podobnih tistim, ki so povezana z ukrajinskim zakonom o narodnostnih manjšinah, ravnajo v dobri veri</w:t>
      </w:r>
      <w:bookmarkEnd w:id="12"/>
      <w:r w:rsidRPr="00382100">
        <w:t xml:space="preserve"> </w:t>
      </w:r>
      <w:bookmarkStart w:id="14" w:name="_Hlk204187133"/>
      <w:r w:rsidRPr="00382100">
        <w:t xml:space="preserve">in teh vprašanj ne uporabljajo </w:t>
      </w:r>
      <w:bookmarkStart w:id="15" w:name="_Hlk204187250"/>
      <w:r w:rsidRPr="00382100">
        <w:t>kot razloga za blokiranje pristopa Ukrajine</w:t>
      </w:r>
      <w:bookmarkEnd w:id="14"/>
      <w:bookmarkEnd w:id="15"/>
      <w:r w:rsidRPr="00382100">
        <w:t xml:space="preserve"> k EU; </w:t>
      </w:r>
      <w:bookmarkEnd w:id="13"/>
      <w:r w:rsidRPr="00382100">
        <w:t>zato poziva madžarsko vlado, naj ne blokira več začetka prvih sklopov pogajanj ter Ukrajini in njeni sosedi Moldaviji omogoči, da še naprej skupaj napredujeta na poti k članstvu v EU;</w:t>
      </w:r>
    </w:p>
    <w:p w14:paraId="0A31C989" w14:textId="77777777" w:rsidR="00A8664F" w:rsidRPr="00382100" w:rsidRDefault="00A8664F" w:rsidP="00A8664F">
      <w:pPr>
        <w:tabs>
          <w:tab w:val="left" w:pos="1560"/>
        </w:tabs>
        <w:spacing w:after="240"/>
        <w:ind w:left="567" w:hanging="567"/>
        <w:rPr>
          <w:b/>
          <w:bCs/>
          <w:i/>
          <w:iCs/>
        </w:rPr>
      </w:pPr>
      <w:r>
        <w:t>86</w:t>
      </w:r>
      <w:r w:rsidRPr="00382100">
        <w:t>.</w:t>
      </w:r>
      <w:r w:rsidRPr="00382100">
        <w:tab/>
        <w:t xml:space="preserve">opozarja, da se širitvenega procesa ne sme </w:t>
      </w:r>
      <w:proofErr w:type="spellStart"/>
      <w:r w:rsidRPr="00382100">
        <w:t>instrumentalizirati</w:t>
      </w:r>
      <w:proofErr w:type="spellEnd"/>
      <w:r w:rsidRPr="00382100">
        <w:t xml:space="preserve"> za reševanje dvostranskih sporov ali za odlaganje pristopa, ki temelji na dosežkih, ter da bi bilo treba ta vprašanja reševati neodvisno od poti do članstva ter s konstruktivnim dialogom in pristnim sodelovanjem; opozarja, da lahko prevelike zamude na poti do polnopravnega članstva v EU ogrozijo podporo javnosti in politično odločnost v državi kandidatki;</w:t>
      </w:r>
    </w:p>
    <w:p w14:paraId="330D44D1" w14:textId="77777777" w:rsidR="00A8664F" w:rsidRPr="00382100" w:rsidRDefault="00A8664F" w:rsidP="00A8664F">
      <w:pPr>
        <w:spacing w:after="240"/>
        <w:ind w:left="567" w:hanging="567"/>
        <w:rPr>
          <w:bCs/>
          <w:iCs/>
        </w:rPr>
      </w:pPr>
      <w:r>
        <w:t>87</w:t>
      </w:r>
      <w:r w:rsidRPr="00382100">
        <w:t>.</w:t>
      </w:r>
      <w:r w:rsidRPr="00382100">
        <w:tab/>
        <w:t xml:space="preserve">v pripravah na pogajanja poziva k nadaljnji podpori EU, zlasti v obliki strokovne pomoči, da bi se presegle morebitne upravne pomanjkljivosti, ki so posledica sedanje agresije proti Ukrajini; poleg tega poziva EU, naj poskrbi za tehnično pomoč, da bi Ukrajini pomagala učinkovito izpolniti vse pristopne zahteve; obžaluje odločitev vlade ZDA, da preneha s financiranjem prek Agencije Združenih držav za mednarodni razvoj (USAID), kar je že neposredno vplivalo na podporo za ključne reformne procese v Ukrajini, tudi v zvezi s pravno državo, bojem proti korupciji, upravljanjem javnih financ, gospodarskim razvojem, energetsko varnostjo in zagotavljanjem humanitarne pomoči; pozdravlja prizadevanja Komisije in mednarodnih partnerjev, da bi odpravili najnujnejše vrzeli, ki so nastale zaradi tega umika financiranja; </w:t>
      </w:r>
    </w:p>
    <w:p w14:paraId="1F15DAAC" w14:textId="77777777" w:rsidR="00A8664F" w:rsidRPr="00382100" w:rsidRDefault="00A8664F" w:rsidP="00A8664F">
      <w:pPr>
        <w:spacing w:after="240"/>
        <w:ind w:left="567" w:hanging="567"/>
        <w:rPr>
          <w:bCs/>
          <w:iCs/>
        </w:rPr>
      </w:pPr>
      <w:r>
        <w:lastRenderedPageBreak/>
        <w:t>88</w:t>
      </w:r>
      <w:r w:rsidRPr="00382100">
        <w:t>.</w:t>
      </w:r>
      <w:r w:rsidRPr="00382100">
        <w:tab/>
        <w:t>poudarja, da je pred pristopom Ukrajine k EU potrebna večja podpora EU za pospešitev vključevanja države prek ciljno usmerjenih programov finančne in tehnične pomoči, ter poudarja, da bi tako Ukrajini kot EU koristilo postopno vključevanje države v politike in programe EU, ki bi potekalo vzporedno s formalnimi pristopnimi pogajanji;</w:t>
      </w:r>
    </w:p>
    <w:p w14:paraId="2472BCAC" w14:textId="77777777" w:rsidR="00A8664F" w:rsidRPr="00382100" w:rsidRDefault="00A8664F" w:rsidP="00A8664F">
      <w:pPr>
        <w:spacing w:after="240"/>
        <w:ind w:left="567" w:hanging="567"/>
        <w:rPr>
          <w:bCs/>
          <w:iCs/>
        </w:rPr>
      </w:pPr>
      <w:r>
        <w:t>89</w:t>
      </w:r>
      <w:r w:rsidRPr="00382100">
        <w:t>.</w:t>
      </w:r>
      <w:r w:rsidRPr="00382100">
        <w:tab/>
        <w:t>ugotavlja, da je vključevanje Ukrajine v EU zaradi njene velikosti in sedanje vojne zelo kompleksno ter prinaša izzive na ključnih področjih, kot je kmetijstvo, in da so zato potrebne občutne institucionalne in finančne reforme v EU, da bo bila sposobna sprejeti Ukrajino; poziva EU in njene države članice, naj proaktivno obravnavajo te izzive, državljane EU jasno obveščajo o koristih vključevanja Ukrajine, poiščejo vzdržne in pravične rešitve za občutljive sektorje ter vzporedno s potekom pristopnih pogajanj izvedejo potrebne notranje reforme EU; poziva Komisijo, naj – v kontekstu pristopa Ukrajine – podpre sektorje, ki so najbolj izpostavljeni učinkom liberalizacije trgovine; hkrati na podlagi izkušenj iz prejšnjih krogov širitve ugotavlja, da utegnejo biti potrebna prehodna obdobja za nekatere posebne sektorje, v katerih se še ne uporablja celoten pravni red Unije, da bi se sedanje države članice lahko prilagodile; ponovno poziva države članice, naj pokažejo jasno in nedvoumno politično zavezanost širitvenemu procesu ter naj ga ne zlorabljajo za reševanje dvostranskih sporov, ki bi jih bilo treba reševati neodvisno od poti do članstva;</w:t>
      </w:r>
    </w:p>
    <w:p w14:paraId="60BCD133" w14:textId="77777777" w:rsidR="00A8664F" w:rsidRPr="00382100" w:rsidRDefault="00A8664F" w:rsidP="00A8664F">
      <w:pPr>
        <w:spacing w:after="240"/>
        <w:ind w:left="567" w:hanging="567"/>
      </w:pPr>
      <w:r>
        <w:t>90</w:t>
      </w:r>
      <w:r w:rsidRPr="00382100">
        <w:t>.</w:t>
      </w:r>
      <w:r w:rsidRPr="00382100">
        <w:tab/>
        <w:t xml:space="preserve">ponovno poziva, naj se z reformo odločanja okrepijo zmogljivosti EU za ukrepanje, tudi </w:t>
      </w:r>
      <w:bookmarkStart w:id="16" w:name="_Hlk204186408"/>
      <w:r w:rsidRPr="00382100">
        <w:t>z uvedbo glasovanja s kvalificirano večino v Svetu</w:t>
      </w:r>
      <w:bookmarkEnd w:id="16"/>
      <w:r w:rsidRPr="00382100">
        <w:t xml:space="preserve"> o vmesnih korakih v pridružitvenem postopku, zlasti na začetku pogajanj ter pri odprtju in zaprtju posameznih pogajalskih sklopov in poglavij;</w:t>
      </w:r>
    </w:p>
    <w:p w14:paraId="46B26CA4" w14:textId="77777777" w:rsidR="00A8664F" w:rsidRPr="00382100" w:rsidRDefault="00A8664F" w:rsidP="00A8664F">
      <w:pPr>
        <w:spacing w:after="240"/>
        <w:jc w:val="center"/>
      </w:pPr>
      <w:r w:rsidRPr="00382100">
        <w:t>°</w:t>
      </w:r>
    </w:p>
    <w:p w14:paraId="45FEA49F" w14:textId="77777777" w:rsidR="00A8664F" w:rsidRPr="00382100" w:rsidRDefault="00A8664F" w:rsidP="00A8664F">
      <w:pPr>
        <w:spacing w:after="240"/>
        <w:jc w:val="center"/>
      </w:pPr>
      <w:r w:rsidRPr="00382100">
        <w:t>°</w:t>
      </w:r>
      <w:r w:rsidRPr="00382100">
        <w:tab/>
        <w:t>°</w:t>
      </w:r>
    </w:p>
    <w:p w14:paraId="69700561" w14:textId="42FAD273" w:rsidR="00E365E1" w:rsidRPr="001E5C2E" w:rsidRDefault="00A8664F" w:rsidP="00A8664F">
      <w:pPr>
        <w:widowControl/>
        <w:spacing w:after="240"/>
        <w:ind w:left="567" w:hanging="567"/>
      </w:pPr>
      <w:r>
        <w:rPr>
          <w:snapToGrid w:val="0"/>
          <w:lang w:eastAsia="en-US"/>
        </w:rPr>
        <w:t>91</w:t>
      </w:r>
      <w:r w:rsidRPr="00382100">
        <w:rPr>
          <w:snapToGrid w:val="0"/>
          <w:lang w:eastAsia="en-US"/>
        </w:rPr>
        <w:t>.</w:t>
      </w:r>
      <w:r w:rsidRPr="00382100">
        <w:rPr>
          <w:snapToGrid w:val="0"/>
          <w:lang w:eastAsia="en-US"/>
        </w:rPr>
        <w:tab/>
        <w:t>naroči svoji predsednici, naj to resolucijo posreduje predsedniku, vladi in parlamentu Ukrajine, vladam in parlamentom držav članic ter Svetu in Komisiji.</w:t>
      </w:r>
    </w:p>
    <w:sectPr w:rsidR="00E365E1" w:rsidRPr="001E5C2E" w:rsidSect="00BE2FEB">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CCF1EB" w14:textId="77777777" w:rsidR="00FB7125" w:rsidRPr="00BE2FEB" w:rsidRDefault="00FB7125">
      <w:r w:rsidRPr="00BE2FEB">
        <w:separator/>
      </w:r>
    </w:p>
  </w:endnote>
  <w:endnote w:type="continuationSeparator" w:id="0">
    <w:p w14:paraId="09613A6E" w14:textId="77777777" w:rsidR="00FB7125" w:rsidRPr="00BE2FEB" w:rsidRDefault="00FB7125">
      <w:r w:rsidRPr="00BE2FE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38C022" w14:textId="77777777" w:rsidR="00FB7125" w:rsidRPr="00BE2FEB" w:rsidRDefault="00FB7125">
      <w:r w:rsidRPr="00BE2FEB">
        <w:separator/>
      </w:r>
    </w:p>
  </w:footnote>
  <w:footnote w:type="continuationSeparator" w:id="0">
    <w:p w14:paraId="7B027F71" w14:textId="77777777" w:rsidR="00FB7125" w:rsidRPr="00BE2FEB" w:rsidRDefault="00FB7125">
      <w:r w:rsidRPr="00BE2FEB">
        <w:continuationSeparator/>
      </w:r>
    </w:p>
  </w:footnote>
  <w:footnote w:id="1">
    <w:p w14:paraId="3A1617E2" w14:textId="77777777" w:rsidR="00A8664F" w:rsidRPr="00BE2FEB" w:rsidRDefault="00A8664F" w:rsidP="00A8664F">
      <w:pPr>
        <w:pStyle w:val="FootnoteText"/>
        <w:ind w:left="567" w:hanging="567"/>
        <w:rPr>
          <w:sz w:val="24"/>
        </w:rPr>
      </w:pPr>
      <w:r w:rsidRPr="00BE2FEB">
        <w:rPr>
          <w:rStyle w:val="FootnoteReference"/>
          <w:sz w:val="24"/>
        </w:rPr>
        <w:footnoteRef/>
      </w:r>
      <w:r w:rsidRPr="00BE2FEB">
        <w:rPr>
          <w:sz w:val="24"/>
        </w:rPr>
        <w:t xml:space="preserve"> </w:t>
      </w:r>
      <w:r w:rsidRPr="00BE2FEB">
        <w:rPr>
          <w:sz w:val="24"/>
        </w:rPr>
        <w:tab/>
        <w:t xml:space="preserve">UL L, 2024/792, 29.2.2024, ELI: </w:t>
      </w:r>
      <w:hyperlink r:id="rId1" w:history="1">
        <w:r w:rsidRPr="00BE2FEB">
          <w:rPr>
            <w:rStyle w:val="Hyperlink"/>
            <w:sz w:val="24"/>
          </w:rPr>
          <w:t>http://data.europa.eu/eli/reg/2024/792/oj</w:t>
        </w:r>
      </w:hyperlink>
      <w:r w:rsidRPr="00BE2FEB">
        <w:rPr>
          <w:sz w:val="24"/>
        </w:rPr>
        <w:t>.</w:t>
      </w:r>
    </w:p>
  </w:footnote>
  <w:footnote w:id="2">
    <w:p w14:paraId="7C9F15B6" w14:textId="053F7581" w:rsidR="00A8664F" w:rsidRPr="00BE2FEB" w:rsidRDefault="00A8664F" w:rsidP="00A8664F">
      <w:pPr>
        <w:pStyle w:val="FootnoteText"/>
        <w:ind w:left="567" w:hanging="567"/>
        <w:rPr>
          <w:sz w:val="24"/>
        </w:rPr>
      </w:pPr>
      <w:r w:rsidRPr="00BE2FEB">
        <w:rPr>
          <w:rStyle w:val="FootnoteReference"/>
          <w:sz w:val="24"/>
        </w:rPr>
        <w:footnoteRef/>
      </w:r>
      <w:r w:rsidRPr="00BE2FEB">
        <w:rPr>
          <w:sz w:val="24"/>
        </w:rPr>
        <w:t xml:space="preserve"> </w:t>
      </w:r>
      <w:r w:rsidRPr="00BE2FEB">
        <w:rPr>
          <w:sz w:val="24"/>
        </w:rPr>
        <w:tab/>
        <w:t xml:space="preserve">UL C, C/2025/3151, </w:t>
      </w:r>
      <w:r w:rsidRPr="00BE2FEB">
        <w:rPr>
          <w:sz w:val="24"/>
        </w:rPr>
        <w:t>2</w:t>
      </w:r>
      <w:r w:rsidR="00332BB8">
        <w:rPr>
          <w:sz w:val="24"/>
        </w:rPr>
        <w:t>0</w:t>
      </w:r>
      <w:r w:rsidRPr="00BE2FEB">
        <w:rPr>
          <w:sz w:val="24"/>
        </w:rPr>
        <w:t>.</w:t>
      </w:r>
      <w:r w:rsidR="00332BB8">
        <w:rPr>
          <w:sz w:val="24"/>
        </w:rPr>
        <w:t>6</w:t>
      </w:r>
      <w:r w:rsidRPr="00BE2FEB">
        <w:rPr>
          <w:sz w:val="24"/>
        </w:rPr>
        <w:t xml:space="preserve">.2025, </w:t>
      </w:r>
      <w:proofErr w:type="gramStart"/>
      <w:r w:rsidRPr="00BE2FEB">
        <w:rPr>
          <w:sz w:val="24"/>
        </w:rPr>
        <w:t>ELI:</w:t>
      </w:r>
      <w:proofErr w:type="gramEnd"/>
      <w:r w:rsidRPr="00BE2FEB">
        <w:rPr>
          <w:sz w:val="24"/>
        </w:rPr>
        <w:t xml:space="preserve"> </w:t>
      </w:r>
      <w:hyperlink r:id="rId2" w:history="1">
        <w:r w:rsidRPr="00BE2FEB">
          <w:rPr>
            <w:rStyle w:val="Hyperlink"/>
            <w:sz w:val="24"/>
          </w:rPr>
          <w:t>http://data.europa.eu/eli/C/2025/3151/oj</w:t>
        </w:r>
      </w:hyperlink>
      <w:r w:rsidRPr="00BE2FEB">
        <w:rPr>
          <w:sz w:val="24"/>
        </w:rPr>
        <w:t>.</w:t>
      </w:r>
    </w:p>
  </w:footnote>
  <w:footnote w:id="3">
    <w:p w14:paraId="7E10D46F" w14:textId="77777777" w:rsidR="00A8664F" w:rsidRPr="00BE2FEB" w:rsidRDefault="00A8664F" w:rsidP="00A8664F">
      <w:pPr>
        <w:pStyle w:val="FootnoteText"/>
        <w:ind w:left="567" w:hanging="567"/>
        <w:rPr>
          <w:sz w:val="24"/>
        </w:rPr>
      </w:pPr>
      <w:r w:rsidRPr="00BE2FEB">
        <w:rPr>
          <w:rStyle w:val="FootnoteReference"/>
          <w:sz w:val="24"/>
        </w:rPr>
        <w:footnoteRef/>
      </w:r>
      <w:r w:rsidRPr="00BE2FEB">
        <w:rPr>
          <w:sz w:val="24"/>
        </w:rPr>
        <w:t xml:space="preserve"> </w:t>
      </w:r>
      <w:r w:rsidRPr="00BE2FEB">
        <w:rPr>
          <w:sz w:val="24"/>
        </w:rPr>
        <w:tab/>
        <w:t xml:space="preserve">Direktiva (EU) 2024/1712 Evropskega parlamenta in Sveta z dne 13. junija 2024 o spremembi Direktive 2011/36/EU o preprečevanju trgovine z ljudmi in boju proti njej ter zaščiti njenih žrtev (UL L, 2024/1712, 24.6.2024, ELI: </w:t>
      </w:r>
      <w:hyperlink r:id="rId3" w:history="1">
        <w:r w:rsidRPr="00BE2FEB">
          <w:rPr>
            <w:rStyle w:val="Hyperlink"/>
            <w:sz w:val="24"/>
          </w:rPr>
          <w:t>http://data.europa.eu/eli/dir/2024/1712/oj</w:t>
        </w:r>
      </w:hyperlink>
      <w:r w:rsidRPr="00BE2FEB">
        <w:rPr>
          <w:sz w:val="24"/>
        </w:rPr>
        <w:t>).</w:t>
      </w:r>
    </w:p>
  </w:footnote>
  <w:footnote w:id="4">
    <w:p w14:paraId="66B2A720" w14:textId="77777777" w:rsidR="00A8664F" w:rsidRPr="00BE2FEB" w:rsidRDefault="00A8664F" w:rsidP="00A8664F">
      <w:pPr>
        <w:pStyle w:val="FootnoteText"/>
        <w:ind w:left="567" w:hanging="567"/>
        <w:rPr>
          <w:sz w:val="24"/>
        </w:rPr>
      </w:pPr>
      <w:r w:rsidRPr="00BE2FEB">
        <w:rPr>
          <w:rStyle w:val="FootnoteReference"/>
          <w:sz w:val="24"/>
        </w:rPr>
        <w:footnoteRef/>
      </w:r>
      <w:r w:rsidRPr="00BE2FEB">
        <w:rPr>
          <w:sz w:val="24"/>
        </w:rPr>
        <w:t xml:space="preserve"> </w:t>
      </w:r>
      <w:r w:rsidRPr="00BE2FEB">
        <w:rPr>
          <w:sz w:val="24"/>
        </w:rPr>
        <w:tab/>
        <w:t>Skupno sporočilo Komisije in visoke predstavnice Unije za zunanje zadeve in varnostno politiko z dne 28. maja 2025 z naslovom Strateški pristop Evropske unije k črnomorski regiji (JOIN(2025)0135).</w:t>
      </w:r>
    </w:p>
  </w:footnote>
  <w:footnote w:id="5">
    <w:p w14:paraId="6EC259C1" w14:textId="77777777" w:rsidR="00A8664F" w:rsidRPr="00BE2FEB" w:rsidRDefault="00A8664F" w:rsidP="00A8664F">
      <w:pPr>
        <w:pStyle w:val="FootnoteText"/>
        <w:ind w:left="567" w:hanging="567"/>
        <w:rPr>
          <w:sz w:val="24"/>
        </w:rPr>
      </w:pPr>
      <w:r w:rsidRPr="00BE2FEB">
        <w:rPr>
          <w:rStyle w:val="FootnoteReference"/>
          <w:sz w:val="24"/>
        </w:rPr>
        <w:footnoteRef/>
      </w:r>
      <w:r w:rsidRPr="00BE2FEB">
        <w:rPr>
          <w:sz w:val="24"/>
        </w:rPr>
        <w:t xml:space="preserve"> </w:t>
      </w:r>
      <w:r w:rsidRPr="00BE2FEB">
        <w:rPr>
          <w:sz w:val="24"/>
        </w:rPr>
        <w:tab/>
        <w:t xml:space="preserve">Direktiva Evropskega parlamenta in Sveta 2000/60/ES z dne 23. oktobra 2000 o določitvi okvira za ukrepe Skupnosti na področju vodne politike (UL L 327, 22.12.2000, str. 1, ELI: </w:t>
      </w:r>
      <w:hyperlink r:id="rId4" w:history="1">
        <w:r w:rsidRPr="00BE2FEB">
          <w:rPr>
            <w:rStyle w:val="Hyperlink"/>
            <w:sz w:val="24"/>
          </w:rPr>
          <w:t>http://data.europa.eu/eli/dir/2000/60/oj</w:t>
        </w:r>
      </w:hyperlink>
      <w:r w:rsidRPr="00BE2FEB">
        <w:rPr>
          <w:sz w:val="24"/>
        </w:rPr>
        <w:t>).</w:t>
      </w:r>
    </w:p>
  </w:footnote>
  <w:footnote w:id="6">
    <w:p w14:paraId="30FA26DE" w14:textId="77777777" w:rsidR="00A8664F" w:rsidRPr="00BE2FEB" w:rsidRDefault="00A8664F" w:rsidP="00A8664F">
      <w:pPr>
        <w:pStyle w:val="FootnoteText"/>
        <w:ind w:left="567" w:hanging="567"/>
        <w:rPr>
          <w:sz w:val="24"/>
        </w:rPr>
      </w:pPr>
      <w:r w:rsidRPr="00BE2FEB">
        <w:rPr>
          <w:rStyle w:val="FootnoteReference"/>
          <w:sz w:val="24"/>
        </w:rPr>
        <w:footnoteRef/>
      </w:r>
      <w:r w:rsidRPr="00BE2FEB">
        <w:rPr>
          <w:sz w:val="24"/>
        </w:rPr>
        <w:t xml:space="preserve"> </w:t>
      </w:r>
      <w:r w:rsidRPr="00BE2FEB">
        <w:rPr>
          <w:sz w:val="24"/>
        </w:rPr>
        <w:tab/>
        <w:t xml:space="preserve">Direktiva 2006/21/ES Evropskega parlamenta in Sveta z dne 15. marca 2006 o ravnanju z odpadki iz rudarskih in drugih ekstraktivnih dejavnosti ter o spremembi Direktive 2004/35/ES (UL L 102, 11.4.2006, str. 15, ELI: </w:t>
      </w:r>
      <w:hyperlink r:id="rId5" w:history="1">
        <w:r w:rsidRPr="00BE2FEB">
          <w:rPr>
            <w:rStyle w:val="Hyperlink"/>
            <w:sz w:val="24"/>
          </w:rPr>
          <w:t>http://data.europa.eu/eli/dir/2006/21/oj</w:t>
        </w:r>
      </w:hyperlink>
      <w:r w:rsidRPr="00BE2FEB">
        <w:rPr>
          <w:sz w:val="24"/>
        </w:rPr>
        <w:t>).</w:t>
      </w:r>
    </w:p>
  </w:footnote>
  <w:footnote w:id="7">
    <w:p w14:paraId="07B1DFE7" w14:textId="77777777" w:rsidR="00A8664F" w:rsidRPr="00BE2FEB" w:rsidRDefault="00A8664F" w:rsidP="00A8664F">
      <w:pPr>
        <w:pStyle w:val="FootnoteText"/>
        <w:ind w:left="567" w:hanging="567"/>
        <w:rPr>
          <w:sz w:val="24"/>
        </w:rPr>
      </w:pPr>
      <w:r w:rsidRPr="00BE2FEB">
        <w:rPr>
          <w:rStyle w:val="FootnoteReference"/>
          <w:sz w:val="24"/>
        </w:rPr>
        <w:footnoteRef/>
      </w:r>
      <w:r w:rsidRPr="00BE2FEB">
        <w:rPr>
          <w:sz w:val="24"/>
        </w:rPr>
        <w:t xml:space="preserve"> </w:t>
      </w:r>
      <w:r w:rsidRPr="00BE2FEB">
        <w:rPr>
          <w:sz w:val="24"/>
        </w:rPr>
        <w:tab/>
        <w:t xml:space="preserve">Uredba Sveta (ES) št. 1/2005 z dne 22. decembra 2004 o zaščiti živali med prevozom in postopki, povezanimi z njim, in o spremembi direktiv 64/432/EGS in 93/119/ES ter Uredbe (ES) št. 1255/97 (UL L 3, 5.1.2005, str. 1, ELI: </w:t>
      </w:r>
      <w:hyperlink r:id="rId6" w:history="1">
        <w:r w:rsidRPr="00BE2FEB">
          <w:rPr>
            <w:rStyle w:val="Hyperlink"/>
            <w:sz w:val="24"/>
          </w:rPr>
          <w:t>http://data.europa.eu/eli/reg/2005/1/oj</w:t>
        </w:r>
      </w:hyperlink>
      <w:r w:rsidRPr="00BE2FEB">
        <w:rPr>
          <w:sz w:val="24"/>
        </w:rPr>
        <w:t>).</w:t>
      </w:r>
    </w:p>
  </w:footnote>
  <w:footnote w:id="8">
    <w:p w14:paraId="4DE75ECF" w14:textId="77777777" w:rsidR="00A8664F" w:rsidRPr="00BE2FEB" w:rsidRDefault="00A8664F" w:rsidP="00A8664F">
      <w:pPr>
        <w:pStyle w:val="FootnoteText"/>
        <w:ind w:left="567" w:hanging="567"/>
        <w:rPr>
          <w:sz w:val="24"/>
        </w:rPr>
      </w:pPr>
      <w:r w:rsidRPr="00BE2FEB">
        <w:rPr>
          <w:rStyle w:val="FootnoteReference"/>
          <w:sz w:val="24"/>
        </w:rPr>
        <w:footnoteRef/>
      </w:r>
      <w:r w:rsidRPr="00BE2FEB">
        <w:rPr>
          <w:sz w:val="24"/>
        </w:rPr>
        <w:t xml:space="preserve"> </w:t>
      </w:r>
      <w:r w:rsidRPr="00BE2FEB">
        <w:rPr>
          <w:sz w:val="24"/>
        </w:rPr>
        <w:tab/>
        <w:t xml:space="preserve">Direktiva (EU) 2023/2413 Evropskega parlamenta in Sveta z dne 18. oktobra 2023 o spremembi Direktive (EU) 2018/2001, Uredbe (EU) 2018/1999 in Direktive 98/70/ES glede spodbujanja energije iz obnovljivih virov ter razveljavitvi Direktive Sveta (EU) 2015/652 (UL L, 2023/2413, 31.10.2023, ELI: </w:t>
      </w:r>
      <w:hyperlink r:id="rId7" w:history="1">
        <w:r w:rsidRPr="00BE2FEB">
          <w:rPr>
            <w:rStyle w:val="Hyperlink"/>
            <w:sz w:val="24"/>
          </w:rPr>
          <w:t>http://data.europa.eu/eli/dir/2023/2413/oj</w:t>
        </w:r>
      </w:hyperlink>
      <w:r w:rsidRPr="00BE2FEB">
        <w:rPr>
          <w:sz w:val="24"/>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32509612">
    <w:abstractNumId w:val="9"/>
  </w:num>
  <w:num w:numId="2" w16cid:durableId="134376622">
    <w:abstractNumId w:val="9"/>
  </w:num>
  <w:num w:numId="3" w16cid:durableId="2010019963">
    <w:abstractNumId w:val="7"/>
  </w:num>
  <w:num w:numId="4" w16cid:durableId="1447580287">
    <w:abstractNumId w:val="7"/>
  </w:num>
  <w:num w:numId="5" w16cid:durableId="1451585769">
    <w:abstractNumId w:val="6"/>
  </w:num>
  <w:num w:numId="6" w16cid:durableId="605886171">
    <w:abstractNumId w:val="6"/>
  </w:num>
  <w:num w:numId="7" w16cid:durableId="1722554201">
    <w:abstractNumId w:val="5"/>
  </w:num>
  <w:num w:numId="8" w16cid:durableId="797114462">
    <w:abstractNumId w:val="5"/>
  </w:num>
  <w:num w:numId="9" w16cid:durableId="601229661">
    <w:abstractNumId w:val="4"/>
  </w:num>
  <w:num w:numId="10" w16cid:durableId="532234868">
    <w:abstractNumId w:val="4"/>
  </w:num>
  <w:num w:numId="11" w16cid:durableId="872419255">
    <w:abstractNumId w:val="8"/>
  </w:num>
  <w:num w:numId="12" w16cid:durableId="140192929">
    <w:abstractNumId w:val="8"/>
  </w:num>
  <w:num w:numId="13" w16cid:durableId="756173897">
    <w:abstractNumId w:val="3"/>
  </w:num>
  <w:num w:numId="14" w16cid:durableId="279722217">
    <w:abstractNumId w:val="3"/>
  </w:num>
  <w:num w:numId="15" w16cid:durableId="1281492534">
    <w:abstractNumId w:val="2"/>
  </w:num>
  <w:num w:numId="16" w16cid:durableId="1457867260">
    <w:abstractNumId w:val="2"/>
  </w:num>
  <w:num w:numId="17" w16cid:durableId="59211277">
    <w:abstractNumId w:val="1"/>
  </w:num>
  <w:num w:numId="18" w16cid:durableId="217013349">
    <w:abstractNumId w:val="1"/>
  </w:num>
  <w:num w:numId="19" w16cid:durableId="1892376807">
    <w:abstractNumId w:val="0"/>
  </w:num>
  <w:num w:numId="20" w16cid:durableId="1230766420">
    <w:abstractNumId w:val="0"/>
  </w:num>
  <w:num w:numId="21" w16cid:durableId="945388044">
    <w:abstractNumId w:val="9"/>
  </w:num>
  <w:num w:numId="22" w16cid:durableId="1915814615">
    <w:abstractNumId w:val="7"/>
  </w:num>
  <w:num w:numId="23" w16cid:durableId="1894584879">
    <w:abstractNumId w:val="6"/>
  </w:num>
  <w:num w:numId="24" w16cid:durableId="701125111">
    <w:abstractNumId w:val="5"/>
  </w:num>
  <w:num w:numId="25" w16cid:durableId="614797543">
    <w:abstractNumId w:val="4"/>
  </w:num>
  <w:num w:numId="26" w16cid:durableId="218135855">
    <w:abstractNumId w:val="8"/>
  </w:num>
  <w:num w:numId="27" w16cid:durableId="72289600">
    <w:abstractNumId w:val="3"/>
  </w:num>
  <w:num w:numId="28" w16cid:durableId="1165512156">
    <w:abstractNumId w:val="2"/>
  </w:num>
  <w:num w:numId="29" w16cid:durableId="214855861">
    <w:abstractNumId w:val="1"/>
  </w:num>
  <w:num w:numId="30" w16cid:durableId="1542211947">
    <w:abstractNumId w:val="0"/>
  </w:num>
  <w:num w:numId="31" w16cid:durableId="1974629828">
    <w:abstractNumId w:val="9"/>
  </w:num>
  <w:num w:numId="32" w16cid:durableId="435758762">
    <w:abstractNumId w:val="7"/>
  </w:num>
  <w:num w:numId="33" w16cid:durableId="2124298429">
    <w:abstractNumId w:val="6"/>
  </w:num>
  <w:num w:numId="34" w16cid:durableId="1377392262">
    <w:abstractNumId w:val="5"/>
  </w:num>
  <w:num w:numId="35" w16cid:durableId="1421944075">
    <w:abstractNumId w:val="4"/>
  </w:num>
  <w:num w:numId="36" w16cid:durableId="1496653564">
    <w:abstractNumId w:val="8"/>
  </w:num>
  <w:num w:numId="37" w16cid:durableId="1207984855">
    <w:abstractNumId w:val="3"/>
  </w:num>
  <w:num w:numId="38" w16cid:durableId="115680318">
    <w:abstractNumId w:val="2"/>
  </w:num>
  <w:num w:numId="39" w16cid:durableId="251672381">
    <w:abstractNumId w:val="1"/>
  </w:num>
  <w:num w:numId="40" w16cid:durableId="434253486">
    <w:abstractNumId w:val="0"/>
  </w:num>
  <w:num w:numId="41" w16cid:durableId="1392190302">
    <w:abstractNumId w:val="10"/>
  </w:num>
  <w:num w:numId="42" w16cid:durableId="165902405">
    <w:abstractNumId w:val="10"/>
  </w:num>
  <w:num w:numId="43" w16cid:durableId="453598991">
    <w:abstractNumId w:val="10"/>
  </w:num>
  <w:num w:numId="44" w16cid:durableId="131414430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54/2025"/>
    <w:docVar w:name="dvlangue" w:val="SL"/>
    <w:docVar w:name="dvnumam" w:val="0"/>
    <w:docVar w:name="dvpe" w:val="769.901"/>
    <w:docVar w:name="dvrapporteur" w:val="Poročevalec: "/>
    <w:docVar w:name="dvtitre" w:val="Resolucija Evropskega parlamenta z dne xx. septembra 2025 o poročilih Komisije o Ukrajini za leti 2023 in 2024(2025/2026(INI))"/>
  </w:docVars>
  <w:rsids>
    <w:rsidRoot w:val="00FB7125"/>
    <w:rsid w:val="00002272"/>
    <w:rsid w:val="00064002"/>
    <w:rsid w:val="000677B9"/>
    <w:rsid w:val="000831BA"/>
    <w:rsid w:val="000A42CC"/>
    <w:rsid w:val="000E7DD9"/>
    <w:rsid w:val="0010095E"/>
    <w:rsid w:val="00125B37"/>
    <w:rsid w:val="00187494"/>
    <w:rsid w:val="001E5C2E"/>
    <w:rsid w:val="001F32AE"/>
    <w:rsid w:val="002459DB"/>
    <w:rsid w:val="002767FF"/>
    <w:rsid w:val="002B18FE"/>
    <w:rsid w:val="002B5493"/>
    <w:rsid w:val="002C78C8"/>
    <w:rsid w:val="00332BB8"/>
    <w:rsid w:val="00340623"/>
    <w:rsid w:val="00343214"/>
    <w:rsid w:val="003553F3"/>
    <w:rsid w:val="00361C00"/>
    <w:rsid w:val="00390D58"/>
    <w:rsid w:val="00395FA1"/>
    <w:rsid w:val="003E15D4"/>
    <w:rsid w:val="00411CCE"/>
    <w:rsid w:val="0041666E"/>
    <w:rsid w:val="00417A3F"/>
    <w:rsid w:val="00421060"/>
    <w:rsid w:val="00471C19"/>
    <w:rsid w:val="004867E3"/>
    <w:rsid w:val="00494A28"/>
    <w:rsid w:val="004C0004"/>
    <w:rsid w:val="004C5D52"/>
    <w:rsid w:val="0050519A"/>
    <w:rsid w:val="005072A1"/>
    <w:rsid w:val="00514517"/>
    <w:rsid w:val="00516C13"/>
    <w:rsid w:val="00545827"/>
    <w:rsid w:val="00560270"/>
    <w:rsid w:val="005C2568"/>
    <w:rsid w:val="005F1B17"/>
    <w:rsid w:val="006037C0"/>
    <w:rsid w:val="00621DFF"/>
    <w:rsid w:val="006631B6"/>
    <w:rsid w:val="00680577"/>
    <w:rsid w:val="006C4055"/>
    <w:rsid w:val="006F74FA"/>
    <w:rsid w:val="007032D8"/>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5E05"/>
    <w:rsid w:val="009509D8"/>
    <w:rsid w:val="00950B64"/>
    <w:rsid w:val="00981893"/>
    <w:rsid w:val="009C64E0"/>
    <w:rsid w:val="009E58D6"/>
    <w:rsid w:val="00A10608"/>
    <w:rsid w:val="00A1687D"/>
    <w:rsid w:val="00A43E52"/>
    <w:rsid w:val="00A4678D"/>
    <w:rsid w:val="00A778C7"/>
    <w:rsid w:val="00A8664F"/>
    <w:rsid w:val="00AB441E"/>
    <w:rsid w:val="00AB6293"/>
    <w:rsid w:val="00AE0928"/>
    <w:rsid w:val="00AF2AB0"/>
    <w:rsid w:val="00AF3B82"/>
    <w:rsid w:val="00B12E95"/>
    <w:rsid w:val="00B22876"/>
    <w:rsid w:val="00B558F0"/>
    <w:rsid w:val="00BD48FE"/>
    <w:rsid w:val="00BD7BD8"/>
    <w:rsid w:val="00BE2FEB"/>
    <w:rsid w:val="00BE6ADC"/>
    <w:rsid w:val="00C05BFE"/>
    <w:rsid w:val="00C23CD4"/>
    <w:rsid w:val="00C37F01"/>
    <w:rsid w:val="00C61C0C"/>
    <w:rsid w:val="00C941CB"/>
    <w:rsid w:val="00CC2357"/>
    <w:rsid w:val="00CF071A"/>
    <w:rsid w:val="00D058B8"/>
    <w:rsid w:val="00D12F8C"/>
    <w:rsid w:val="00D47D58"/>
    <w:rsid w:val="00D56C11"/>
    <w:rsid w:val="00D834A0"/>
    <w:rsid w:val="00D872DF"/>
    <w:rsid w:val="00D91E21"/>
    <w:rsid w:val="00DA7FCD"/>
    <w:rsid w:val="00E365E1"/>
    <w:rsid w:val="00E7144C"/>
    <w:rsid w:val="00E820A4"/>
    <w:rsid w:val="00EB006A"/>
    <w:rsid w:val="00EB4772"/>
    <w:rsid w:val="00ED169E"/>
    <w:rsid w:val="00ED4235"/>
    <w:rsid w:val="00F04346"/>
    <w:rsid w:val="00F075DC"/>
    <w:rsid w:val="00F149E9"/>
    <w:rsid w:val="00F5134D"/>
    <w:rsid w:val="00F74202"/>
    <w:rsid w:val="00F75A9E"/>
    <w:rsid w:val="00F82354"/>
    <w:rsid w:val="00F87713"/>
    <w:rsid w:val="00FB4360"/>
    <w:rsid w:val="00FB7125"/>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D4C3A4"/>
  <w15:chartTrackingRefBased/>
  <w15:docId w15:val="{35ACD79A-21CC-45CB-828C-9744DD8BE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45E05"/>
    <w:pPr>
      <w:spacing w:before="480" w:after="240"/>
    </w:pPr>
    <w:rPr>
      <w:snapToGrid w:val="0"/>
      <w:lang w:eastAsia="en-US"/>
    </w:rPr>
  </w:style>
  <w:style w:type="paragraph" w:customStyle="1" w:styleId="NormalHanging12a">
    <w:name w:val="NormalHanging12a"/>
    <w:basedOn w:val="Normal"/>
    <w:link w:val="NormalHanging12aChar"/>
    <w:rsid w:val="00945E05"/>
    <w:pPr>
      <w:widowControl/>
      <w:spacing w:after="240"/>
      <w:ind w:left="567" w:hanging="567"/>
    </w:pPr>
    <w:rPr>
      <w:snapToGrid w:val="0"/>
      <w:lang w:eastAsia="en-US"/>
    </w:rPr>
  </w:style>
  <w:style w:type="paragraph" w:customStyle="1" w:styleId="NormalCenter12a">
    <w:name w:val="NormalCenter12a"/>
    <w:basedOn w:val="Normal"/>
    <w:rsid w:val="00945E05"/>
    <w:pPr>
      <w:spacing w:after="240"/>
      <w:jc w:val="center"/>
    </w:pPr>
  </w:style>
  <w:style w:type="character" w:customStyle="1" w:styleId="BoldItalic">
    <w:name w:val="BoldItalic"/>
    <w:uiPriority w:val="1"/>
    <w:rsid w:val="00945E05"/>
    <w:rPr>
      <w:b/>
      <w:i/>
      <w:u w:val="none"/>
    </w:rPr>
  </w:style>
  <w:style w:type="character" w:customStyle="1" w:styleId="Italic">
    <w:name w:val="Italic"/>
    <w:uiPriority w:val="1"/>
    <w:rsid w:val="00945E05"/>
    <w:rPr>
      <w:i/>
    </w:rPr>
  </w:style>
  <w:style w:type="paragraph" w:customStyle="1" w:styleId="Normal12a24b">
    <w:name w:val="Normal12a24b"/>
    <w:basedOn w:val="Normal"/>
    <w:rsid w:val="00945E05"/>
    <w:pPr>
      <w:spacing w:before="360" w:after="240"/>
    </w:pPr>
    <w:rPr>
      <w:snapToGrid w:val="0"/>
      <w:lang w:eastAsia="en-US"/>
    </w:rPr>
  </w:style>
  <w:style w:type="character" w:styleId="Hyperlink">
    <w:name w:val="Hyperlink"/>
    <w:basedOn w:val="DefaultParagraphFont"/>
    <w:rsid w:val="00945E05"/>
    <w:rPr>
      <w:color w:val="0000FF"/>
      <w:u w:val="single"/>
    </w:rPr>
  </w:style>
  <w:style w:type="character" w:styleId="Strong">
    <w:name w:val="Strong"/>
    <w:basedOn w:val="DefaultParagraphFont"/>
    <w:uiPriority w:val="22"/>
    <w:qFormat/>
    <w:rsid w:val="00945E05"/>
    <w:rPr>
      <w:b/>
      <w:bCs/>
    </w:rPr>
  </w:style>
  <w:style w:type="paragraph" w:styleId="NormalWeb">
    <w:name w:val="Normal (Web)"/>
    <w:basedOn w:val="Normal"/>
    <w:uiPriority w:val="99"/>
    <w:unhideWhenUsed/>
    <w:rsid w:val="00945E05"/>
    <w:pPr>
      <w:widowControl/>
      <w:spacing w:before="100" w:beforeAutospacing="1" w:after="100" w:afterAutospacing="1"/>
    </w:pPr>
    <w:rPr>
      <w:szCs w:val="24"/>
    </w:rPr>
  </w:style>
  <w:style w:type="character" w:customStyle="1" w:styleId="NormalHanging12aChar">
    <w:name w:val="NormalHanging12a Char"/>
    <w:basedOn w:val="DefaultParagraphFont"/>
    <w:link w:val="NormalHanging12a"/>
    <w:locked/>
    <w:rsid w:val="00945E05"/>
    <w:rPr>
      <w:snapToGrid w:val="0"/>
      <w:sz w:val="24"/>
      <w:lang w:val="sl-SI" w:eastAsia="en-US"/>
    </w:rPr>
  </w:style>
  <w:style w:type="paragraph" w:styleId="Revision">
    <w:name w:val="Revision"/>
    <w:hidden/>
    <w:uiPriority w:val="99"/>
    <w:semiHidden/>
    <w:rsid w:val="009E58D6"/>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24/1712/oj" TargetMode="External"/><Relationship Id="rId7" Type="http://schemas.openxmlformats.org/officeDocument/2006/relationships/hyperlink" Target="http://data.europa.eu/eli/dir/2023/2413/oj" TargetMode="External"/><Relationship Id="rId2" Type="http://schemas.openxmlformats.org/officeDocument/2006/relationships/hyperlink" Target="http://data.europa.eu/eli/C/2025/3151/oj" TargetMode="External"/><Relationship Id="rId1" Type="http://schemas.openxmlformats.org/officeDocument/2006/relationships/hyperlink" Target="http://data.europa.eu/eli/reg/2024/792/oj" TargetMode="External"/><Relationship Id="rId6" Type="http://schemas.openxmlformats.org/officeDocument/2006/relationships/hyperlink" Target="http://data.europa.eu/eli/reg/2005/1/oj" TargetMode="External"/><Relationship Id="rId5" Type="http://schemas.openxmlformats.org/officeDocument/2006/relationships/hyperlink" Target="http://data.europa.eu/eli/dir/2006/21/oj" TargetMode="External"/><Relationship Id="rId4" Type="http://schemas.openxmlformats.org/officeDocument/2006/relationships/hyperlink" Target="http://data.europa.eu/eli/dir/2000/6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D0F203-69F9-4265-8484-A9F0174E8F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10686</Words>
  <Characters>65562</Characters>
  <Application>Microsoft Office Word</Application>
  <DocSecurity>0</DocSecurity>
  <Lines>1040</Lines>
  <Paragraphs>303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75945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GROSELJ Tadej</cp:lastModifiedBy>
  <cp:revision>2</cp:revision>
  <cp:lastPrinted>2004-11-19T15:42:00Z</cp:lastPrinted>
  <dcterms:created xsi:type="dcterms:W3CDTF">2025-10-23T10:13:00Z</dcterms:created>
  <dcterms:modified xsi:type="dcterms:W3CDTF">2025-10-23T10:13:00Z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A10-0154/2025</vt:lpwstr>
  </property>
  <property fmtid="{D5CDD505-2E9C-101B-9397-08002B2CF9AE}" pid="4" name="&lt;Type&gt;">
    <vt:lpwstr>RR</vt:lpwstr>
  </property>
</Properties>
</file>