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2B3" w14:paraId="164912C9" w14:textId="77777777" w:rsidTr="0010095E">
        <w:trPr>
          <w:trHeight w:hRule="exact" w:val="1418"/>
        </w:trPr>
        <w:tc>
          <w:tcPr>
            <w:tcW w:w="6804" w:type="dxa"/>
            <w:shd w:val="clear" w:color="auto" w:fill="auto"/>
            <w:vAlign w:val="center"/>
          </w:tcPr>
          <w:p w14:paraId="1885DB0B" w14:textId="77777777" w:rsidR="00751A4A" w:rsidRPr="00BA72B3" w:rsidRDefault="00AD175A" w:rsidP="0010095E">
            <w:pPr>
              <w:pStyle w:val="EPName"/>
            </w:pPr>
            <w:r w:rsidRPr="00BA72B3">
              <w:t>Europäisches Parlament</w:t>
            </w:r>
          </w:p>
          <w:p w14:paraId="6230E46D" w14:textId="77777777" w:rsidR="00751A4A" w:rsidRPr="00BA72B3" w:rsidRDefault="005F1B17" w:rsidP="005F1B17">
            <w:pPr>
              <w:pStyle w:val="EPTerm"/>
              <w:rPr>
                <w:rStyle w:val="HideTWBExt"/>
                <w:noProof w:val="0"/>
                <w:vanish w:val="0"/>
                <w:color w:val="auto"/>
              </w:rPr>
            </w:pPr>
            <w:r w:rsidRPr="00BA72B3">
              <w:t>2024</w:t>
            </w:r>
            <w:r w:rsidR="00817416" w:rsidRPr="00BA72B3">
              <w:t>-202</w:t>
            </w:r>
            <w:r w:rsidRPr="00BA72B3">
              <w:t>9</w:t>
            </w:r>
          </w:p>
        </w:tc>
        <w:tc>
          <w:tcPr>
            <w:tcW w:w="2268" w:type="dxa"/>
            <w:shd w:val="clear" w:color="auto" w:fill="auto"/>
          </w:tcPr>
          <w:p w14:paraId="08B8029E" w14:textId="77777777" w:rsidR="00751A4A" w:rsidRPr="00BA72B3" w:rsidRDefault="00187494" w:rsidP="0010095E">
            <w:pPr>
              <w:pStyle w:val="EPLogo"/>
            </w:pPr>
            <w:r w:rsidRPr="00BA72B3">
              <w:rPr>
                <w:noProof/>
                <w:lang w:val="en-GB"/>
              </w:rPr>
              <w:drawing>
                <wp:inline distT="0" distB="0" distL="0" distR="0" wp14:anchorId="133BF526" wp14:editId="7E387D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26304" w14:textId="77777777" w:rsidR="00D058B8" w:rsidRPr="00BA72B3" w:rsidRDefault="00D058B8" w:rsidP="004C5D52">
      <w:pPr>
        <w:pStyle w:val="LineTop"/>
      </w:pPr>
    </w:p>
    <w:p w14:paraId="357D5A8F" w14:textId="77777777" w:rsidR="00680577" w:rsidRPr="00BA72B3" w:rsidRDefault="00AD175A" w:rsidP="00680577">
      <w:pPr>
        <w:pStyle w:val="EPBodyTA1"/>
      </w:pPr>
      <w:r w:rsidRPr="00BA72B3">
        <w:t>ANGENOMMENE TEXTE</w:t>
      </w:r>
    </w:p>
    <w:p w14:paraId="2507EC14" w14:textId="77777777" w:rsidR="00D058B8" w:rsidRPr="00BA72B3" w:rsidRDefault="00D058B8" w:rsidP="00D058B8">
      <w:pPr>
        <w:pStyle w:val="LineBottom"/>
      </w:pPr>
    </w:p>
    <w:p w14:paraId="3BF883B9" w14:textId="26E6BE3E" w:rsidR="00AD175A" w:rsidRPr="00BA72B3" w:rsidRDefault="00AD175A" w:rsidP="00AD175A">
      <w:pPr>
        <w:pStyle w:val="ATHeading1"/>
      </w:pPr>
      <w:bookmarkStart w:id="0" w:name="TANumber"/>
      <w:r w:rsidRPr="00BA72B3">
        <w:t>P10_</w:t>
      </w:r>
      <w:proofErr w:type="gramStart"/>
      <w:r w:rsidRPr="00BA72B3">
        <w:t>TA(</w:t>
      </w:r>
      <w:proofErr w:type="gramEnd"/>
      <w:r w:rsidRPr="00BA72B3">
        <w:t>2025)</w:t>
      </w:r>
      <w:r w:rsidR="00C97F54">
        <w:t>0176</w:t>
      </w:r>
      <w:bookmarkEnd w:id="0"/>
    </w:p>
    <w:p w14:paraId="47E21C7C" w14:textId="77777777" w:rsidR="00AD175A" w:rsidRPr="00BA72B3" w:rsidRDefault="006158CC" w:rsidP="00AD175A">
      <w:pPr>
        <w:pStyle w:val="ATHeading2"/>
      </w:pPr>
      <w:bookmarkStart w:id="1" w:name="title"/>
      <w:r>
        <w:t xml:space="preserve">Europäischer Sozialfonds Plus (ESF+): </w:t>
      </w:r>
      <w:r w:rsidRPr="006158CC">
        <w:t>spezifische Maßnahmen zur Bewältigung strategischer Herausforderungen</w:t>
      </w:r>
      <w:bookmarkEnd w:id="1"/>
    </w:p>
    <w:p w14:paraId="486B9770" w14:textId="77777777" w:rsidR="00AD175A" w:rsidRPr="00BA72B3" w:rsidRDefault="00AD175A" w:rsidP="00AD175A">
      <w:pPr>
        <w:rPr>
          <w:i/>
          <w:vanish/>
        </w:rPr>
      </w:pPr>
      <w:r w:rsidRPr="00BA72B3">
        <w:rPr>
          <w:i/>
        </w:rPr>
        <w:fldChar w:fldCharType="begin"/>
      </w:r>
      <w:r w:rsidRPr="00BA72B3">
        <w:rPr>
          <w:i/>
        </w:rPr>
        <w:instrText xml:space="preserve"> TC"(</w:instrText>
      </w:r>
      <w:bookmarkStart w:id="2" w:name="DocNumber"/>
      <w:r w:rsidRPr="00BA72B3">
        <w:rPr>
          <w:i/>
        </w:rPr>
        <w:instrText>A10-0122/2025</w:instrText>
      </w:r>
      <w:bookmarkEnd w:id="2"/>
      <w:r w:rsidRPr="00BA72B3">
        <w:rPr>
          <w:i/>
        </w:rPr>
        <w:instrText xml:space="preserve"> - Berichterstatterin: Marit </w:instrText>
      </w:r>
      <w:proofErr w:type="spellStart"/>
      <w:r w:rsidRPr="00BA72B3">
        <w:rPr>
          <w:i/>
        </w:rPr>
        <w:instrText>Maij</w:instrText>
      </w:r>
      <w:proofErr w:type="spellEnd"/>
      <w:r w:rsidRPr="00BA72B3">
        <w:rPr>
          <w:i/>
        </w:rPr>
        <w:instrText xml:space="preserve">)"\l3 \n&gt; \* MERGEFORMAT </w:instrText>
      </w:r>
      <w:r w:rsidRPr="00BA72B3">
        <w:rPr>
          <w:i/>
        </w:rPr>
        <w:fldChar w:fldCharType="end"/>
      </w:r>
    </w:p>
    <w:p w14:paraId="629D8E15" w14:textId="77777777" w:rsidR="00AD175A" w:rsidRPr="00BA72B3" w:rsidRDefault="00AD175A" w:rsidP="00AD175A">
      <w:pPr>
        <w:rPr>
          <w:vanish/>
        </w:rPr>
      </w:pPr>
      <w:bookmarkStart w:id="3" w:name="Commission"/>
      <w:r w:rsidRPr="00BA72B3">
        <w:rPr>
          <w:vanish/>
        </w:rPr>
        <w:t>Ausschuss für Beschäftigung und soziale Angelegenheiten</w:t>
      </w:r>
      <w:bookmarkEnd w:id="3"/>
    </w:p>
    <w:p w14:paraId="5160B922" w14:textId="77777777" w:rsidR="00AD175A" w:rsidRPr="00BA72B3" w:rsidRDefault="00AD175A" w:rsidP="00AD175A">
      <w:pPr>
        <w:rPr>
          <w:vanish/>
        </w:rPr>
      </w:pPr>
      <w:bookmarkStart w:id="4" w:name="PE"/>
      <w:r w:rsidRPr="00BA72B3">
        <w:rPr>
          <w:vanish/>
        </w:rPr>
        <w:t>PE774.605</w:t>
      </w:r>
      <w:bookmarkEnd w:id="4"/>
    </w:p>
    <w:p w14:paraId="06AB30B6" w14:textId="77777777" w:rsidR="00AD175A" w:rsidRPr="00BA72B3" w:rsidRDefault="00AD175A" w:rsidP="00AD175A">
      <w:pPr>
        <w:pStyle w:val="ATHeading3"/>
      </w:pPr>
      <w:bookmarkStart w:id="5" w:name="Sujet"/>
      <w:r w:rsidRPr="00BA72B3">
        <w:t xml:space="preserve">Legislative Entschließung des Europäischen Parlaments vom </w:t>
      </w:r>
      <w:r w:rsidR="00161AA1">
        <w:t>10</w:t>
      </w:r>
      <w:r w:rsidRPr="00BA72B3">
        <w:t xml:space="preserve">. </w:t>
      </w:r>
      <w:r w:rsidR="00161AA1">
        <w:t>September</w:t>
      </w:r>
      <w:r w:rsidRPr="00BA72B3">
        <w:t xml:space="preserve"> 2025 </w:t>
      </w:r>
      <w:r w:rsidR="00161AA1">
        <w:t>zu dem</w:t>
      </w:r>
      <w:r w:rsidRPr="00BA72B3">
        <w:t xml:space="preserve"> Vorschlag für eine Verordnung des Europäischen Parlaments und des Rates zur Änderung der Verordnung (EU) 2021/1057 zur Einrichtung des Europäischen Sozialfonds Plus (ESF+) in Bezug auf spezifische Maßnahmen zur Bewältigung strategischer Herausforderungen</w:t>
      </w:r>
      <w:bookmarkEnd w:id="5"/>
      <w:r w:rsidRPr="00BA72B3">
        <w:t xml:space="preserve"> </w:t>
      </w:r>
      <w:bookmarkStart w:id="6" w:name="References"/>
      <w:r w:rsidRPr="00BA72B3">
        <w:t>(</w:t>
      </w:r>
      <w:proofErr w:type="gramStart"/>
      <w:r w:rsidRPr="00BA72B3">
        <w:t>COM(</w:t>
      </w:r>
      <w:proofErr w:type="gramEnd"/>
      <w:r w:rsidRPr="00BA72B3">
        <w:t>2025)0164 – C10-0064/2025 – 2025/0085(COD))</w:t>
      </w:r>
      <w:bookmarkEnd w:id="6"/>
    </w:p>
    <w:p w14:paraId="7078640C" w14:textId="77777777" w:rsidR="00AD175A" w:rsidRPr="00BA72B3" w:rsidRDefault="00AD175A" w:rsidP="00AD175A"/>
    <w:p w14:paraId="55A30776" w14:textId="77777777" w:rsidR="00D92A7C" w:rsidRPr="00BA72B3" w:rsidRDefault="00D92A7C" w:rsidP="00D92A7C">
      <w:pPr>
        <w:pStyle w:val="NormalBold"/>
      </w:pPr>
      <w:bookmarkStart w:id="7" w:name="TextBodyBegin"/>
      <w:bookmarkEnd w:id="7"/>
      <w:r w:rsidRPr="00BA72B3">
        <w:t>(Ordentliches Gesetzgebungsverfahren: erste Lesung)</w:t>
      </w:r>
    </w:p>
    <w:p w14:paraId="6A62114E" w14:textId="77777777" w:rsidR="00D92A7C" w:rsidRPr="00BA72B3" w:rsidRDefault="00D92A7C" w:rsidP="00D92A7C">
      <w:pPr>
        <w:pStyle w:val="EPComma"/>
      </w:pPr>
      <w:r w:rsidRPr="00BA72B3">
        <w:rPr>
          <w:i/>
        </w:rPr>
        <w:t>Das Europäische Parlament</w:t>
      </w:r>
      <w:r w:rsidRPr="00BA72B3">
        <w:t>,</w:t>
      </w:r>
    </w:p>
    <w:p w14:paraId="4F3EDC90" w14:textId="77777777" w:rsidR="00D92A7C" w:rsidRPr="00BA72B3" w:rsidRDefault="00D92A7C" w:rsidP="00D92A7C">
      <w:pPr>
        <w:pStyle w:val="NormalHanging12a"/>
      </w:pPr>
      <w:r w:rsidRPr="00BA72B3">
        <w:t>–</w:t>
      </w:r>
      <w:r w:rsidRPr="00BA72B3">
        <w:tab/>
        <w:t>unter Hinweis auf den Vorschlag der Kommission an das Europäische Parlament und den Rat (</w:t>
      </w:r>
      <w:proofErr w:type="gramStart"/>
      <w:r w:rsidRPr="00BA72B3">
        <w:t>COM(</w:t>
      </w:r>
      <w:proofErr w:type="gramEnd"/>
      <w:r w:rsidRPr="00BA72B3">
        <w:t>2025)0164),</w:t>
      </w:r>
    </w:p>
    <w:p w14:paraId="39A06A7D" w14:textId="77777777" w:rsidR="00D92A7C" w:rsidRPr="00BA72B3" w:rsidRDefault="00D92A7C" w:rsidP="00D92A7C">
      <w:pPr>
        <w:pStyle w:val="NormalHanging12a"/>
      </w:pPr>
      <w:r w:rsidRPr="00BA72B3">
        <w:t>–</w:t>
      </w:r>
      <w:r w:rsidRPr="00BA72B3">
        <w:tab/>
        <w:t>gestützt auf Artikel 294 Absatz 2 und die Artikel 164, 175, 177 und 322 des Vertrags über die Arbeitsweise der Europäischen Union, auf deren Grundlage ihm der Vorschlag der Kommission unterbreitet wurde (C10-0064/2025),</w:t>
      </w:r>
    </w:p>
    <w:p w14:paraId="5A21FFA5" w14:textId="77777777" w:rsidR="00D92A7C" w:rsidRPr="00BA72B3" w:rsidRDefault="00D92A7C" w:rsidP="00D92A7C">
      <w:pPr>
        <w:pStyle w:val="NormalHanging12a"/>
      </w:pPr>
      <w:r w:rsidRPr="00BA72B3">
        <w:t>–</w:t>
      </w:r>
      <w:r w:rsidRPr="00BA72B3">
        <w:tab/>
        <w:t>gestützt auf Artikel 294 Absatz 3 des Vertrags über die Arbeitsweise der Europäischen Union,</w:t>
      </w:r>
    </w:p>
    <w:p w14:paraId="65594CA8" w14:textId="68ECD09E" w:rsidR="00D92A7C" w:rsidRDefault="00D92A7C" w:rsidP="00D92A7C">
      <w:pPr>
        <w:pStyle w:val="NormalHanging12a"/>
      </w:pPr>
      <w:r w:rsidRPr="00BA72B3">
        <w:t>–</w:t>
      </w:r>
      <w:r w:rsidRPr="00BA72B3">
        <w:tab/>
        <w:t>unter Hinweis auf die haushaltspolitische Bewertung durch den Haushaltsausschuss,</w:t>
      </w:r>
    </w:p>
    <w:p w14:paraId="600C23D3" w14:textId="2270CF47" w:rsidR="004753CF" w:rsidRDefault="004753CF" w:rsidP="00D92A7C">
      <w:pPr>
        <w:pStyle w:val="NormalHanging12a"/>
      </w:pPr>
      <w:r w:rsidRPr="00BA72B3">
        <w:t>–</w:t>
      </w:r>
      <w:r w:rsidRPr="00BA72B3">
        <w:tab/>
      </w:r>
      <w:r w:rsidRPr="004753CF">
        <w:t>unter Hinweis auf die Stellungnahme des Europäischen Wirtschafts- und Sozialausschusses vom 29. April 2025</w:t>
      </w:r>
      <w:r>
        <w:rPr>
          <w:rStyle w:val="FootnoteReference"/>
        </w:rPr>
        <w:footnoteReference w:id="1"/>
      </w:r>
      <w:r w:rsidRPr="004753CF">
        <w:t>,</w:t>
      </w:r>
    </w:p>
    <w:p w14:paraId="5CCC94E8" w14:textId="35581D2D" w:rsidR="004753CF" w:rsidRDefault="004753CF" w:rsidP="00D92A7C">
      <w:pPr>
        <w:pStyle w:val="NormalHanging12a"/>
      </w:pPr>
      <w:r w:rsidRPr="00BA72B3">
        <w:t>–</w:t>
      </w:r>
      <w:r w:rsidRPr="00BA72B3">
        <w:tab/>
      </w:r>
      <w:r w:rsidRPr="004753CF">
        <w:t>unter Hinweis auf die Stellungnahme des Europäischen</w:t>
      </w:r>
      <w:r>
        <w:t xml:space="preserve"> Ausschusses der Regionen vom 15. Mai 2025</w:t>
      </w:r>
      <w:r>
        <w:rPr>
          <w:rStyle w:val="FootnoteReference"/>
        </w:rPr>
        <w:footnoteReference w:id="2"/>
      </w:r>
      <w:r>
        <w:t>,</w:t>
      </w:r>
      <w:r w:rsidRPr="004753CF">
        <w:t xml:space="preserve"> </w:t>
      </w:r>
    </w:p>
    <w:p w14:paraId="10641F3E" w14:textId="3DC8FC12" w:rsidR="00CB6E0D" w:rsidRPr="00BA72B3" w:rsidRDefault="00CB6E0D" w:rsidP="00D92A7C">
      <w:pPr>
        <w:pStyle w:val="NormalHanging12a"/>
      </w:pPr>
      <w:r w:rsidRPr="00BA72B3">
        <w:t>–</w:t>
      </w:r>
      <w:r w:rsidRPr="00BA72B3">
        <w:tab/>
      </w:r>
      <w:r w:rsidRPr="00CB6E0D">
        <w:t>unter Hinweis auf die vorläufige Einigung, die gemäß Artikel 75 Ab</w:t>
      </w:r>
      <w:r>
        <w:t xml:space="preserve">satz 4 seiner Geschäftsordnung </w:t>
      </w:r>
      <w:r w:rsidRPr="00CB6E0D">
        <w:t xml:space="preserve">vom zuständigen Ausschuss angenommen wurde, und auf die vom </w:t>
      </w:r>
      <w:r w:rsidRPr="00CB6E0D">
        <w:lastRenderedPageBreak/>
        <w:t>Vertret</w:t>
      </w:r>
      <w:r>
        <w:t>er des Rates mit Schreiben vom 23. Juli 2025</w:t>
      </w:r>
      <w:r w:rsidRPr="00CB6E0D">
        <w:t xml:space="preserve"> gemachte Zusage, den Standpunkt des Europäischen Parlaments gemäß Artikel 294 Absatz 4 des Vertrags über die Arbeitsweise der Eu</w:t>
      </w:r>
      <w:r>
        <w:t>ropäischen Union zu billigen,</w:t>
      </w:r>
    </w:p>
    <w:p w14:paraId="2DDEC291" w14:textId="77777777" w:rsidR="00D92A7C" w:rsidRPr="00BA72B3" w:rsidRDefault="00D92A7C" w:rsidP="00D92A7C">
      <w:pPr>
        <w:pStyle w:val="NormalHanging12a"/>
      </w:pPr>
      <w:r w:rsidRPr="00BA72B3">
        <w:t>–</w:t>
      </w:r>
      <w:r w:rsidRPr="00BA72B3">
        <w:tab/>
        <w:t>gestützt auf die Artikel 60 und 58 seiner Geschäftsordnung,</w:t>
      </w:r>
    </w:p>
    <w:p w14:paraId="55DAFFFA" w14:textId="77777777" w:rsidR="00D92A7C" w:rsidRPr="00BA72B3" w:rsidRDefault="00D92A7C" w:rsidP="00D92A7C">
      <w:pPr>
        <w:pStyle w:val="NormalHanging12a"/>
      </w:pPr>
      <w:r w:rsidRPr="00BA72B3">
        <w:t>–</w:t>
      </w:r>
      <w:r w:rsidRPr="00BA72B3">
        <w:tab/>
        <w:t>unter Hinweis auf die Stellungnahme des Ausschusses für Sicherheit und Verteidigung,</w:t>
      </w:r>
    </w:p>
    <w:p w14:paraId="4D9B08B7" w14:textId="77777777" w:rsidR="00D92A7C" w:rsidRPr="00BA72B3" w:rsidRDefault="00D92A7C" w:rsidP="00D92A7C">
      <w:pPr>
        <w:pStyle w:val="NormalHanging12a"/>
      </w:pPr>
      <w:r w:rsidRPr="00BA72B3">
        <w:t>–</w:t>
      </w:r>
      <w:r w:rsidRPr="00BA72B3">
        <w:tab/>
        <w:t>unter Hinweis auf das Schreiben des Ausschusses für regionale Entwicklung,</w:t>
      </w:r>
    </w:p>
    <w:p w14:paraId="4FAA27BA" w14:textId="77777777" w:rsidR="00D92A7C" w:rsidRPr="00BA72B3" w:rsidRDefault="00D92A7C" w:rsidP="00D92A7C">
      <w:pPr>
        <w:pStyle w:val="NormalHanging12a"/>
      </w:pPr>
      <w:r w:rsidRPr="00BA72B3">
        <w:t>–</w:t>
      </w:r>
      <w:r w:rsidRPr="00BA72B3">
        <w:tab/>
        <w:t>unter Hinweis auf den Bericht des Ausschusses für Beschäftigung und soziale Angelegenheiten (A10-0122/2025),</w:t>
      </w:r>
    </w:p>
    <w:p w14:paraId="4DC2DCD7" w14:textId="013B7D61" w:rsidR="00D92A7C" w:rsidRDefault="00D92A7C" w:rsidP="00D92A7C">
      <w:pPr>
        <w:pStyle w:val="NormalHanging12a"/>
      </w:pPr>
      <w:r w:rsidRPr="00BA72B3">
        <w:t>1.</w:t>
      </w:r>
      <w:r w:rsidRPr="00BA72B3">
        <w:tab/>
        <w:t>legt den folgenden Standpunkt in erster Lesung fest;</w:t>
      </w:r>
    </w:p>
    <w:p w14:paraId="6245AD94" w14:textId="06BF79D5" w:rsidR="00CB6E0D" w:rsidRPr="00BA72B3" w:rsidRDefault="00CB6E0D" w:rsidP="00D92A7C">
      <w:pPr>
        <w:pStyle w:val="NormalHanging12a"/>
      </w:pPr>
      <w:r>
        <w:t>2</w:t>
      </w:r>
      <w:r w:rsidRPr="00CB6E0D">
        <w:t>.</w:t>
      </w:r>
      <w:r w:rsidRPr="00CB6E0D">
        <w:tab/>
        <w:t xml:space="preserve">nimmt die dieser Entschließung beigefügte Erklärung der Kommission zur Kenntnis, die im </w:t>
      </w:r>
      <w:r w:rsidRPr="005A2602">
        <w:rPr>
          <w:i/>
          <w:iCs/>
        </w:rPr>
        <w:t>Amtsblatt der Europäischen Union</w:t>
      </w:r>
      <w:r w:rsidRPr="00CB6E0D">
        <w:t xml:space="preserve"> (Reihe C) veröffentlicht wird;</w:t>
      </w:r>
    </w:p>
    <w:p w14:paraId="479F0EE1" w14:textId="7AB19A12" w:rsidR="00D92A7C" w:rsidRPr="00BA72B3" w:rsidRDefault="00CB6E0D" w:rsidP="00D92A7C">
      <w:pPr>
        <w:pStyle w:val="NormalHanging12a"/>
      </w:pPr>
      <w:r>
        <w:t>3</w:t>
      </w:r>
      <w:r w:rsidR="00D92A7C" w:rsidRPr="00BA72B3">
        <w:t>.</w:t>
      </w:r>
      <w:r w:rsidR="00D92A7C" w:rsidRPr="00BA72B3">
        <w:tab/>
        <w:t>fordert die Kommission auf, es erneut zu befassen, falls sie ihren Vorschlag ersetzt, entscheidend ändert oder beabsichtigt, ihn entscheidend zu ändern;</w:t>
      </w:r>
    </w:p>
    <w:p w14:paraId="3C0AA15C" w14:textId="0A709F80" w:rsidR="00D92A7C" w:rsidRPr="00BA72B3" w:rsidRDefault="00CB6E0D" w:rsidP="00D92A7C">
      <w:pPr>
        <w:pStyle w:val="NormalHanging12a"/>
      </w:pPr>
      <w:r>
        <w:t>4</w:t>
      </w:r>
      <w:r w:rsidR="00D92A7C" w:rsidRPr="00BA72B3">
        <w:t>.</w:t>
      </w:r>
      <w:r w:rsidR="00D92A7C" w:rsidRPr="00BA72B3">
        <w:tab/>
        <w:t>beauftragt seine Präsidentin, den Standpunkt des Parlaments dem Rat und der Kommission sowie den nationalen Parlamenten zu übermitteln.</w:t>
      </w:r>
    </w:p>
    <w:p w14:paraId="00F7E4C9" w14:textId="77777777" w:rsidR="00CB6E0D" w:rsidRDefault="00CB6E0D" w:rsidP="00D92A7C">
      <w:pPr>
        <w:pStyle w:val="NormalHanging12a"/>
        <w:sectPr w:rsidR="00CB6E0D" w:rsidSect="00BA72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C25A13" w14:textId="0AEFFB7C" w:rsidR="00CB6E0D" w:rsidRPr="009F4798" w:rsidRDefault="00CB6E0D" w:rsidP="00CB6E0D">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2025)0085</w:t>
      </w:r>
    </w:p>
    <w:p w14:paraId="1E071196" w14:textId="08E0D0CF" w:rsidR="00CB6E0D" w:rsidRPr="00CB6E0D" w:rsidRDefault="00CB6E0D" w:rsidP="00CB6E0D">
      <w:pPr>
        <w:rPr>
          <w:b/>
          <w:snapToGrid w:val="0"/>
        </w:rPr>
      </w:pPr>
      <w:r w:rsidRPr="009F4798">
        <w:rPr>
          <w:b/>
          <w:snapToGrid w:val="0"/>
        </w:rPr>
        <w:t>Standpunkt des Europäischen Parlaments festge</w:t>
      </w:r>
      <w:r>
        <w:rPr>
          <w:b/>
          <w:snapToGrid w:val="0"/>
        </w:rPr>
        <w:t>legt in erster Lesung am 10. September 2025</w:t>
      </w:r>
      <w:r w:rsidRPr="009F4798">
        <w:rPr>
          <w:b/>
          <w:snapToGrid w:val="0"/>
        </w:rPr>
        <w:t xml:space="preserve"> im Hinblick auf de</w:t>
      </w:r>
      <w:r>
        <w:rPr>
          <w:b/>
          <w:snapToGrid w:val="0"/>
        </w:rPr>
        <w:t>n Erlass der Verordnung (EU) 2025</w:t>
      </w:r>
      <w:r w:rsidRPr="009F4798">
        <w:rPr>
          <w:b/>
          <w:snapToGrid w:val="0"/>
        </w:rPr>
        <w:t>/... des Europäisch</w:t>
      </w:r>
      <w:r>
        <w:rPr>
          <w:b/>
          <w:snapToGrid w:val="0"/>
        </w:rPr>
        <w:t xml:space="preserve">en Parlaments und des Rates </w:t>
      </w:r>
      <w:r w:rsidRPr="00CB6E0D">
        <w:rPr>
          <w:rFonts w:eastAsia="Calibri"/>
          <w:b/>
          <w:szCs w:val="22"/>
          <w:lang w:eastAsia="en-US"/>
        </w:rPr>
        <w:t xml:space="preserve">zur Änderung der Verordnung (EU) 2021/1057 zur Einrichtung des Europäischen Sozialfonds </w:t>
      </w:r>
      <w:r w:rsidRPr="0087667F">
        <w:rPr>
          <w:rFonts w:eastAsia="Calibri"/>
          <w:b/>
          <w:iCs/>
          <w:szCs w:val="22"/>
          <w:lang w:eastAsia="en-US"/>
        </w:rPr>
        <w:t>Plus</w:t>
      </w:r>
      <w:r w:rsidRPr="00CB6E0D">
        <w:rPr>
          <w:rFonts w:eastAsia="Calibri"/>
          <w:b/>
          <w:szCs w:val="22"/>
          <w:lang w:eastAsia="en-US"/>
        </w:rPr>
        <w:t xml:space="preserve"> (ESF+) in Bezug auf spezifische Maßnahmen zur Bewältigung strategischer Herausforderungen</w:t>
      </w:r>
    </w:p>
    <w:p w14:paraId="2150FEFA" w14:textId="6D47F255" w:rsidR="0087667F" w:rsidRPr="0020057E" w:rsidRDefault="0087667F" w:rsidP="0087667F">
      <w:pPr>
        <w:spacing w:before="240"/>
        <w:rPr>
          <w:i/>
        </w:rPr>
      </w:pPr>
      <w:r w:rsidRPr="0087667F">
        <w:rPr>
          <w:i/>
        </w:rPr>
        <w:t xml:space="preserve">(Da Parlament und Rat eine Einigung erzielt haben, entspricht der Standpunkt des Parlaments dem endgültigen Rechtsakt, Verordnung </w:t>
      </w:r>
      <w:r w:rsidRPr="0087667F">
        <w:rPr>
          <w:bCs/>
          <w:i/>
        </w:rPr>
        <w:t>(EU) 2025/1913.)</w:t>
      </w:r>
    </w:p>
    <w:p w14:paraId="49B61671" w14:textId="77777777" w:rsidR="0087667F" w:rsidRDefault="0087667F" w:rsidP="00CB6E0D">
      <w:pPr>
        <w:spacing w:after="240"/>
      </w:pPr>
    </w:p>
    <w:p w14:paraId="37622EA4" w14:textId="77777777" w:rsidR="0087667F" w:rsidRDefault="0087667F" w:rsidP="00CB6E0D">
      <w:pPr>
        <w:spacing w:after="240"/>
        <w:sectPr w:rsidR="0087667F" w:rsidSect="00BA72B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CE2B2C" w14:textId="234F7F31" w:rsidR="00F23820" w:rsidRDefault="00F23820" w:rsidP="00F23820">
      <w:pPr>
        <w:spacing w:before="120" w:after="120" w:line="360" w:lineRule="auto"/>
        <w:jc w:val="right"/>
      </w:pPr>
      <w:r w:rsidRPr="00F23820">
        <w:lastRenderedPageBreak/>
        <w:t>ANLAGE ZUR LEGISLATIVEN ENTSCHLIESSUNG</w:t>
      </w:r>
    </w:p>
    <w:p w14:paraId="6744A4A4" w14:textId="2F7EB446" w:rsidR="00CB6E0D" w:rsidRPr="00CB6E0D" w:rsidRDefault="00CB6E0D" w:rsidP="00F23820">
      <w:pPr>
        <w:spacing w:before="240" w:after="120" w:line="360" w:lineRule="auto"/>
        <w:jc w:val="center"/>
        <w:rPr>
          <w:b/>
          <w:bCs/>
        </w:rPr>
      </w:pPr>
      <w:r w:rsidRPr="00CB6E0D">
        <w:rPr>
          <w:b/>
        </w:rPr>
        <w:t>Erklärung der Kommission zur Achtung der Rechtsstaatlichkeit anlässlich der Annahme der Verordnung (EU) 2025/</w:t>
      </w:r>
      <w:r w:rsidR="0087667F">
        <w:rPr>
          <w:b/>
        </w:rPr>
        <w:t>1913</w:t>
      </w:r>
      <w:r w:rsidRPr="00CB6E0D">
        <w:rPr>
          <w:b/>
          <w:bCs/>
          <w:vertAlign w:val="superscript"/>
          <w:lang w:val="en-IE"/>
        </w:rPr>
        <w:footnoteReference w:id="3"/>
      </w:r>
    </w:p>
    <w:p w14:paraId="26B93691" w14:textId="43D715E6" w:rsidR="00CB6E0D" w:rsidRPr="00CB6E0D" w:rsidRDefault="00CB6E0D" w:rsidP="00F23820">
      <w:pPr>
        <w:spacing w:before="240" w:after="120" w:line="360" w:lineRule="auto"/>
      </w:pPr>
      <w:r w:rsidRPr="00CB6E0D">
        <w:t xml:space="preserve">Die Kommission betont, dass die Achtung der Rechtsstaatlichkeit und der Grundrechte für die Europäische Union von größter Bedeutung ist. Die Kommission versteht die Absicht der Mitgesetzgeber, den Schutz des Haushalts der Union mit ihren Änderungen am Kommissionsvorschlag zu gewährleisten. Die Kommission ist nach wie vor entschlossen, dafür zu sorgen, dass die Rechtsstaatlichkeit bei der Durchführung der Fonds gewahrt wird, und sie wird Anträge auf Programmänderungen im Einklang mit der Dachverordnung, der </w:t>
      </w:r>
      <w:proofErr w:type="spellStart"/>
      <w:r w:rsidRPr="00CB6E0D">
        <w:t>Konditionalitätsverordnung</w:t>
      </w:r>
      <w:proofErr w:type="spellEnd"/>
      <w:r w:rsidRPr="00CB6E0D">
        <w:t xml:space="preserve"> und den Bestimmungen der Verordnung über die Halbzeitüberprüfung prüfen.</w:t>
      </w:r>
    </w:p>
    <w:sectPr w:rsidR="00CB6E0D" w:rsidRPr="00CB6E0D" w:rsidSect="00BA72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0D2FE" w14:textId="77777777" w:rsidR="00AD175A" w:rsidRPr="00BA72B3" w:rsidRDefault="00AD175A">
      <w:r w:rsidRPr="00BA72B3">
        <w:separator/>
      </w:r>
    </w:p>
  </w:endnote>
  <w:endnote w:type="continuationSeparator" w:id="0">
    <w:p w14:paraId="59FF4C95" w14:textId="77777777" w:rsidR="00AD175A" w:rsidRPr="00BA72B3" w:rsidRDefault="00AD175A">
      <w:r w:rsidRPr="00BA7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4BE2" w14:textId="77777777" w:rsidR="00064002" w:rsidRPr="00BA72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1E71" w14:textId="77777777" w:rsidR="00064002" w:rsidRPr="00BA72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6CE0" w14:textId="77777777" w:rsidR="00064002" w:rsidRPr="00BA7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10AC0" w14:textId="77777777" w:rsidR="00AD175A" w:rsidRPr="00BA72B3" w:rsidRDefault="00AD175A">
      <w:r w:rsidRPr="00BA72B3">
        <w:separator/>
      </w:r>
    </w:p>
  </w:footnote>
  <w:footnote w:type="continuationSeparator" w:id="0">
    <w:p w14:paraId="08C02965" w14:textId="77777777" w:rsidR="00AD175A" w:rsidRPr="00BA72B3" w:rsidRDefault="00AD175A">
      <w:r w:rsidRPr="00BA72B3">
        <w:continuationSeparator/>
      </w:r>
    </w:p>
  </w:footnote>
  <w:footnote w:id="1">
    <w:p w14:paraId="4D08D14F" w14:textId="1CF44F20" w:rsidR="004753CF" w:rsidRPr="00A32A69" w:rsidRDefault="004753CF" w:rsidP="00A32A69">
      <w:pPr>
        <w:pStyle w:val="FootnoteText"/>
        <w:ind w:left="567" w:hanging="567"/>
        <w:rPr>
          <w:sz w:val="24"/>
          <w:szCs w:val="24"/>
          <w:lang w:val="fi-FI"/>
        </w:rPr>
      </w:pPr>
      <w:r w:rsidRPr="00A32A69">
        <w:rPr>
          <w:rStyle w:val="FootnoteReference"/>
          <w:sz w:val="24"/>
          <w:szCs w:val="24"/>
        </w:rPr>
        <w:footnoteRef/>
      </w:r>
      <w:r w:rsidRPr="00A32A69">
        <w:rPr>
          <w:sz w:val="24"/>
          <w:szCs w:val="24"/>
          <w:lang w:val="fi-FI"/>
        </w:rPr>
        <w:t xml:space="preserve"> </w:t>
      </w:r>
      <w:r w:rsidRPr="00A32A69">
        <w:rPr>
          <w:sz w:val="24"/>
          <w:szCs w:val="24"/>
          <w:lang w:val="fi-FI"/>
        </w:rPr>
        <w:tab/>
      </w:r>
      <w:proofErr w:type="spellStart"/>
      <w:r w:rsidRPr="00CB6E0D">
        <w:rPr>
          <w:sz w:val="24"/>
          <w:szCs w:val="24"/>
          <w:lang w:val="fi-FI"/>
        </w:rPr>
        <w:t>ABl.</w:t>
      </w:r>
      <w:proofErr w:type="spellEnd"/>
      <w:r w:rsidRPr="00A32A69">
        <w:rPr>
          <w:sz w:val="24"/>
          <w:szCs w:val="24"/>
          <w:lang w:val="fi-FI"/>
        </w:rPr>
        <w:t xml:space="preserve"> C, C/2025/3197, 2.7.2025, ELI: </w:t>
      </w:r>
      <w:hyperlink r:id="rId1" w:history="1">
        <w:r w:rsidRPr="00A32A69">
          <w:rPr>
            <w:rStyle w:val="Hyperlink"/>
            <w:sz w:val="24"/>
            <w:szCs w:val="24"/>
            <w:lang w:val="fi-FI"/>
          </w:rPr>
          <w:t>http://data.europa.eu/eli/C/2025/3197/oj</w:t>
        </w:r>
      </w:hyperlink>
      <w:r w:rsidRPr="00A32A69">
        <w:rPr>
          <w:sz w:val="24"/>
          <w:szCs w:val="24"/>
          <w:lang w:val="fi-FI"/>
        </w:rPr>
        <w:t>.</w:t>
      </w:r>
    </w:p>
  </w:footnote>
  <w:footnote w:id="2">
    <w:p w14:paraId="634FAA11" w14:textId="73A33478" w:rsidR="004753CF" w:rsidRPr="00A32A69" w:rsidRDefault="004753CF" w:rsidP="00A32A69">
      <w:pPr>
        <w:pStyle w:val="FootnoteText"/>
        <w:ind w:left="567" w:hanging="567"/>
        <w:rPr>
          <w:sz w:val="24"/>
          <w:szCs w:val="24"/>
          <w:lang w:val="fi-FI"/>
        </w:rPr>
      </w:pPr>
      <w:r w:rsidRPr="00A32A69">
        <w:rPr>
          <w:rStyle w:val="FootnoteReference"/>
          <w:sz w:val="24"/>
          <w:szCs w:val="24"/>
        </w:rPr>
        <w:footnoteRef/>
      </w:r>
      <w:r w:rsidRPr="00A32A69">
        <w:rPr>
          <w:sz w:val="24"/>
          <w:szCs w:val="24"/>
          <w:lang w:val="fi-FI"/>
        </w:rPr>
        <w:t xml:space="preserve"> </w:t>
      </w:r>
      <w:r w:rsidRPr="00A32A69">
        <w:rPr>
          <w:sz w:val="24"/>
          <w:szCs w:val="24"/>
          <w:lang w:val="fi-FI"/>
        </w:rPr>
        <w:tab/>
      </w:r>
      <w:proofErr w:type="spellStart"/>
      <w:r w:rsidR="00CB6E0D" w:rsidRPr="00A32A69">
        <w:rPr>
          <w:sz w:val="24"/>
          <w:szCs w:val="24"/>
          <w:lang w:val="fi-FI"/>
        </w:rPr>
        <w:t>ABl.</w:t>
      </w:r>
      <w:proofErr w:type="spellEnd"/>
      <w:r w:rsidRPr="00A32A69">
        <w:rPr>
          <w:sz w:val="24"/>
          <w:szCs w:val="24"/>
          <w:lang w:val="fi-FI"/>
        </w:rPr>
        <w:t xml:space="preserve"> C, C/2025/3474, 16.7.2025, ELI: </w:t>
      </w:r>
      <w:hyperlink r:id="rId2" w:history="1">
        <w:r w:rsidRPr="00A32A69">
          <w:rPr>
            <w:rStyle w:val="Hyperlink"/>
            <w:sz w:val="24"/>
            <w:szCs w:val="24"/>
            <w:lang w:val="fi-FI"/>
          </w:rPr>
          <w:t>http://data.europa.eu/eli/C/2025/3474/oj</w:t>
        </w:r>
      </w:hyperlink>
      <w:r w:rsidRPr="00A32A69">
        <w:rPr>
          <w:sz w:val="24"/>
          <w:szCs w:val="24"/>
          <w:lang w:val="fi-FI"/>
        </w:rPr>
        <w:t>.</w:t>
      </w:r>
    </w:p>
  </w:footnote>
  <w:footnote w:id="3">
    <w:p w14:paraId="2A6F2302" w14:textId="2620D4DA" w:rsidR="00CB6E0D" w:rsidRPr="0087667F" w:rsidRDefault="00CB6E0D" w:rsidP="0087667F">
      <w:pPr>
        <w:pStyle w:val="FootnoteText"/>
        <w:ind w:left="851" w:hanging="851"/>
        <w:rPr>
          <w:sz w:val="24"/>
          <w:szCs w:val="24"/>
          <w:lang w:val="fi-FI"/>
        </w:rPr>
      </w:pPr>
      <w:r w:rsidRPr="007763BE">
        <w:rPr>
          <w:rStyle w:val="FootnoteReference"/>
          <w:sz w:val="24"/>
          <w:szCs w:val="24"/>
        </w:rPr>
        <w:footnoteRef/>
      </w:r>
      <w:r w:rsidRPr="0087667F">
        <w:rPr>
          <w:sz w:val="24"/>
          <w:szCs w:val="24"/>
          <w:lang w:val="fi-FI"/>
        </w:rPr>
        <w:t xml:space="preserve"> </w:t>
      </w:r>
      <w:r w:rsidRPr="0087667F">
        <w:rPr>
          <w:b/>
          <w:i/>
          <w:sz w:val="24"/>
          <w:szCs w:val="24"/>
          <w:lang w:val="fi-FI"/>
        </w:rPr>
        <w:tab/>
      </w:r>
      <w:proofErr w:type="spellStart"/>
      <w:r w:rsidRPr="0087667F">
        <w:rPr>
          <w:sz w:val="24"/>
          <w:szCs w:val="24"/>
          <w:lang w:val="fi-FI"/>
        </w:rPr>
        <w:t>ABl.</w:t>
      </w:r>
      <w:proofErr w:type="spellEnd"/>
      <w:r w:rsidRPr="0087667F">
        <w:rPr>
          <w:sz w:val="24"/>
          <w:szCs w:val="24"/>
          <w:lang w:val="fi-FI"/>
        </w:rPr>
        <w:t xml:space="preserve"> L</w:t>
      </w:r>
      <w:r w:rsidR="0087667F" w:rsidRPr="0087667F">
        <w:rPr>
          <w:sz w:val="24"/>
          <w:szCs w:val="24"/>
          <w:lang w:val="fi-FI"/>
        </w:rPr>
        <w:t xml:space="preserve">, 2025/1913, 19.9.2025, ELI: </w:t>
      </w:r>
      <w:hyperlink r:id="rId3" w:history="1">
        <w:r w:rsidR="0087667F" w:rsidRPr="0087667F">
          <w:rPr>
            <w:rStyle w:val="Hyperlink"/>
            <w:sz w:val="24"/>
            <w:szCs w:val="24"/>
            <w:lang w:val="fi-FI"/>
          </w:rPr>
          <w:t>http://data.europa.eu/eli/reg/2025/1913/oj</w:t>
        </w:r>
      </w:hyperlink>
      <w:r w:rsidR="0087667F">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7911" w14:textId="77777777" w:rsidR="00064002" w:rsidRPr="00BA72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1BB2" w14:textId="77777777" w:rsidR="00064002" w:rsidRPr="00BA72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396F8" w14:textId="77777777" w:rsidR="00064002" w:rsidRPr="00BA7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4850457">
    <w:abstractNumId w:val="9"/>
  </w:num>
  <w:num w:numId="2" w16cid:durableId="400447476">
    <w:abstractNumId w:val="9"/>
  </w:num>
  <w:num w:numId="3" w16cid:durableId="316350705">
    <w:abstractNumId w:val="7"/>
  </w:num>
  <w:num w:numId="4" w16cid:durableId="720442020">
    <w:abstractNumId w:val="7"/>
  </w:num>
  <w:num w:numId="5" w16cid:durableId="566381510">
    <w:abstractNumId w:val="6"/>
  </w:num>
  <w:num w:numId="6" w16cid:durableId="1011637779">
    <w:abstractNumId w:val="6"/>
  </w:num>
  <w:num w:numId="7" w16cid:durableId="873152038">
    <w:abstractNumId w:val="5"/>
  </w:num>
  <w:num w:numId="8" w16cid:durableId="1973515732">
    <w:abstractNumId w:val="5"/>
  </w:num>
  <w:num w:numId="9" w16cid:durableId="1142432088">
    <w:abstractNumId w:val="4"/>
  </w:num>
  <w:num w:numId="10" w16cid:durableId="1951662656">
    <w:abstractNumId w:val="4"/>
  </w:num>
  <w:num w:numId="11" w16cid:durableId="345786725">
    <w:abstractNumId w:val="8"/>
  </w:num>
  <w:num w:numId="12" w16cid:durableId="1880124383">
    <w:abstractNumId w:val="8"/>
  </w:num>
  <w:num w:numId="13" w16cid:durableId="1675497873">
    <w:abstractNumId w:val="3"/>
  </w:num>
  <w:num w:numId="14" w16cid:durableId="613247121">
    <w:abstractNumId w:val="3"/>
  </w:num>
  <w:num w:numId="15" w16cid:durableId="671765546">
    <w:abstractNumId w:val="2"/>
  </w:num>
  <w:num w:numId="16" w16cid:durableId="1301810362">
    <w:abstractNumId w:val="2"/>
  </w:num>
  <w:num w:numId="17" w16cid:durableId="387072376">
    <w:abstractNumId w:val="1"/>
  </w:num>
  <w:num w:numId="18" w16cid:durableId="283315053">
    <w:abstractNumId w:val="1"/>
  </w:num>
  <w:num w:numId="19" w16cid:durableId="666328436">
    <w:abstractNumId w:val="0"/>
  </w:num>
  <w:num w:numId="20" w16cid:durableId="1903833102">
    <w:abstractNumId w:val="0"/>
  </w:num>
  <w:num w:numId="21" w16cid:durableId="1355577050">
    <w:abstractNumId w:val="9"/>
  </w:num>
  <w:num w:numId="22" w16cid:durableId="1915622344">
    <w:abstractNumId w:val="7"/>
  </w:num>
  <w:num w:numId="23" w16cid:durableId="1989631659">
    <w:abstractNumId w:val="6"/>
  </w:num>
  <w:num w:numId="24" w16cid:durableId="262878646">
    <w:abstractNumId w:val="5"/>
  </w:num>
  <w:num w:numId="25" w16cid:durableId="256523555">
    <w:abstractNumId w:val="4"/>
  </w:num>
  <w:num w:numId="26" w16cid:durableId="826241926">
    <w:abstractNumId w:val="8"/>
  </w:num>
  <w:num w:numId="27" w16cid:durableId="102655009">
    <w:abstractNumId w:val="3"/>
  </w:num>
  <w:num w:numId="28" w16cid:durableId="1035958204">
    <w:abstractNumId w:val="2"/>
  </w:num>
  <w:num w:numId="29" w16cid:durableId="1766264309">
    <w:abstractNumId w:val="1"/>
  </w:num>
  <w:num w:numId="30" w16cid:durableId="1398626158">
    <w:abstractNumId w:val="0"/>
  </w:num>
  <w:num w:numId="31" w16cid:durableId="1730349009">
    <w:abstractNumId w:val="9"/>
  </w:num>
  <w:num w:numId="32" w16cid:durableId="1601063638">
    <w:abstractNumId w:val="7"/>
  </w:num>
  <w:num w:numId="33" w16cid:durableId="1063992497">
    <w:abstractNumId w:val="6"/>
  </w:num>
  <w:num w:numId="34" w16cid:durableId="584076489">
    <w:abstractNumId w:val="5"/>
  </w:num>
  <w:num w:numId="35" w16cid:durableId="615067606">
    <w:abstractNumId w:val="4"/>
  </w:num>
  <w:num w:numId="36" w16cid:durableId="1082411723">
    <w:abstractNumId w:val="8"/>
  </w:num>
  <w:num w:numId="37" w16cid:durableId="1593009410">
    <w:abstractNumId w:val="3"/>
  </w:num>
  <w:num w:numId="38" w16cid:durableId="1956672040">
    <w:abstractNumId w:val="2"/>
  </w:num>
  <w:num w:numId="39" w16cid:durableId="82654987">
    <w:abstractNumId w:val="1"/>
  </w:num>
  <w:num w:numId="40" w16cid:durableId="1028991460">
    <w:abstractNumId w:val="0"/>
  </w:num>
  <w:num w:numId="41" w16cid:durableId="919755470">
    <w:abstractNumId w:val="10"/>
  </w:num>
  <w:num w:numId="42" w16cid:durableId="668488836">
    <w:abstractNumId w:val="10"/>
  </w:num>
  <w:num w:numId="43" w16cid:durableId="506822472">
    <w:abstractNumId w:val="10"/>
  </w:num>
  <w:num w:numId="44" w16cid:durableId="15676453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2/2025"/>
    <w:docVar w:name="dvlangue" w:val="DE"/>
    <w:docVar w:name="dvnumam" w:val="42"/>
    <w:docVar w:name="dvpe" w:val="774.605"/>
    <w:docVar w:name="dvrapporteur" w:val="Berichterstatterin: "/>
    <w:docVar w:name="dvstar" w:val="***I"/>
    <w:docVar w:name="dvtitre" w:val="Legislative Entschließung des Europäischen Parlaments vom XX. XXX 2025 über den Vorschlag für eine Verordnung des Europäischen Parlaments und des Rates zur Änderung der Verordnung (EU) 2021/1057 zur Einrichtung des Europäischen Sozialfonds Plus (ESF+) in Bezug auf spezifische Maßnahmen zur Bewältigung strategischer Herausforderungen(COM(2025)0164 – C10-0064/2025 – 2025/0085(COD))"/>
  </w:docVars>
  <w:rsids>
    <w:rsidRoot w:val="00AD175A"/>
    <w:rsid w:val="00002272"/>
    <w:rsid w:val="00064002"/>
    <w:rsid w:val="000677B9"/>
    <w:rsid w:val="000831BA"/>
    <w:rsid w:val="000A42CC"/>
    <w:rsid w:val="000E7DD9"/>
    <w:rsid w:val="0010095E"/>
    <w:rsid w:val="00125B37"/>
    <w:rsid w:val="00161AA1"/>
    <w:rsid w:val="00187494"/>
    <w:rsid w:val="001F32AE"/>
    <w:rsid w:val="002767FF"/>
    <w:rsid w:val="002B18FE"/>
    <w:rsid w:val="002B5493"/>
    <w:rsid w:val="00343214"/>
    <w:rsid w:val="00361C00"/>
    <w:rsid w:val="00395FA1"/>
    <w:rsid w:val="003D42B1"/>
    <w:rsid w:val="003E15D4"/>
    <w:rsid w:val="00411CCE"/>
    <w:rsid w:val="0041666E"/>
    <w:rsid w:val="00421060"/>
    <w:rsid w:val="00471C19"/>
    <w:rsid w:val="004753CF"/>
    <w:rsid w:val="004867E3"/>
    <w:rsid w:val="00494A28"/>
    <w:rsid w:val="004C0004"/>
    <w:rsid w:val="004C5D52"/>
    <w:rsid w:val="0050519A"/>
    <w:rsid w:val="005072A1"/>
    <w:rsid w:val="00514517"/>
    <w:rsid w:val="00545827"/>
    <w:rsid w:val="00560270"/>
    <w:rsid w:val="005A2602"/>
    <w:rsid w:val="005C2568"/>
    <w:rsid w:val="005F1B17"/>
    <w:rsid w:val="006037C0"/>
    <w:rsid w:val="006158C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67F"/>
    <w:rsid w:val="00881A7B"/>
    <w:rsid w:val="008840E5"/>
    <w:rsid w:val="00887B3E"/>
    <w:rsid w:val="008C2AC6"/>
    <w:rsid w:val="008E1DBE"/>
    <w:rsid w:val="00930C23"/>
    <w:rsid w:val="0093193B"/>
    <w:rsid w:val="009509D8"/>
    <w:rsid w:val="00950B64"/>
    <w:rsid w:val="00981893"/>
    <w:rsid w:val="00A1687D"/>
    <w:rsid w:val="00A32A69"/>
    <w:rsid w:val="00A43E52"/>
    <w:rsid w:val="00A4678D"/>
    <w:rsid w:val="00A778C7"/>
    <w:rsid w:val="00AB441E"/>
    <w:rsid w:val="00AB6293"/>
    <w:rsid w:val="00AD175A"/>
    <w:rsid w:val="00AE0928"/>
    <w:rsid w:val="00AF3B82"/>
    <w:rsid w:val="00B12E95"/>
    <w:rsid w:val="00B22876"/>
    <w:rsid w:val="00B558F0"/>
    <w:rsid w:val="00BA19E0"/>
    <w:rsid w:val="00BA72B3"/>
    <w:rsid w:val="00BD48FE"/>
    <w:rsid w:val="00BD7BD8"/>
    <w:rsid w:val="00BE6ADC"/>
    <w:rsid w:val="00C05BFE"/>
    <w:rsid w:val="00C23CD4"/>
    <w:rsid w:val="00C61C0C"/>
    <w:rsid w:val="00C941CB"/>
    <w:rsid w:val="00C97F54"/>
    <w:rsid w:val="00CB6E0D"/>
    <w:rsid w:val="00CC2357"/>
    <w:rsid w:val="00CF071A"/>
    <w:rsid w:val="00D058B8"/>
    <w:rsid w:val="00D56C11"/>
    <w:rsid w:val="00D834A0"/>
    <w:rsid w:val="00D872DF"/>
    <w:rsid w:val="00D91E21"/>
    <w:rsid w:val="00D92A7C"/>
    <w:rsid w:val="00DA7FCD"/>
    <w:rsid w:val="00E365E1"/>
    <w:rsid w:val="00E820A4"/>
    <w:rsid w:val="00EB006A"/>
    <w:rsid w:val="00EB4772"/>
    <w:rsid w:val="00ED169E"/>
    <w:rsid w:val="00ED4235"/>
    <w:rsid w:val="00F04346"/>
    <w:rsid w:val="00F075DC"/>
    <w:rsid w:val="00F149E9"/>
    <w:rsid w:val="00F23820"/>
    <w:rsid w:val="00F5134D"/>
    <w:rsid w:val="00F74202"/>
    <w:rsid w:val="00F847A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7F923"/>
  <w15:chartTrackingRefBased/>
  <w15:docId w15:val="{D87506AD-3435-4233-9691-F5CDB22F6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2A7C"/>
    <w:rPr>
      <w:b/>
      <w:kern w:val="28"/>
      <w:sz w:val="28"/>
      <w:lang w:val="fr-FR" w:eastAsia="fr-FR"/>
    </w:rPr>
  </w:style>
  <w:style w:type="character" w:customStyle="1" w:styleId="Heading2Char">
    <w:name w:val="Heading 2 Char"/>
    <w:basedOn w:val="DefaultParagraphFont"/>
    <w:link w:val="Heading2"/>
    <w:semiHidden/>
    <w:rsid w:val="00D92A7C"/>
    <w:rPr>
      <w:sz w:val="24"/>
      <w:lang w:val="fr-FR" w:eastAsia="fr-FR"/>
    </w:rPr>
  </w:style>
  <w:style w:type="character" w:customStyle="1" w:styleId="Heading3Char">
    <w:name w:val="Heading 3 Char"/>
    <w:basedOn w:val="DefaultParagraphFont"/>
    <w:link w:val="Heading3"/>
    <w:semiHidden/>
    <w:rsid w:val="00D92A7C"/>
    <w:rPr>
      <w:rFonts w:ascii="Arial" w:hAnsi="Arial"/>
      <w:sz w:val="24"/>
      <w:lang w:val="fr-FR" w:eastAsia="fr-FR"/>
    </w:rPr>
  </w:style>
  <w:style w:type="character" w:customStyle="1" w:styleId="Heading4Char">
    <w:name w:val="Heading 4 Char"/>
    <w:basedOn w:val="DefaultParagraphFont"/>
    <w:link w:val="Heading4"/>
    <w:semiHidden/>
    <w:rsid w:val="00D92A7C"/>
    <w:rPr>
      <w:sz w:val="24"/>
      <w:lang w:val="en-US" w:eastAsia="fr-FR"/>
    </w:rPr>
  </w:style>
  <w:style w:type="character" w:customStyle="1" w:styleId="Heading5Char">
    <w:name w:val="Heading 5 Char"/>
    <w:basedOn w:val="DefaultParagraphFont"/>
    <w:link w:val="Heading5"/>
    <w:semiHidden/>
    <w:rsid w:val="00D92A7C"/>
    <w:rPr>
      <w:sz w:val="24"/>
      <w:lang w:val="en-US" w:eastAsia="fr-FR"/>
    </w:rPr>
  </w:style>
  <w:style w:type="character" w:customStyle="1" w:styleId="Heading6Char">
    <w:name w:val="Heading 6 Char"/>
    <w:basedOn w:val="DefaultParagraphFont"/>
    <w:link w:val="Heading6"/>
    <w:semiHidden/>
    <w:rsid w:val="00D92A7C"/>
    <w:rPr>
      <w:i/>
      <w:sz w:val="22"/>
      <w:lang w:val="de-DE"/>
    </w:rPr>
  </w:style>
  <w:style w:type="character" w:customStyle="1" w:styleId="Heading7Char">
    <w:name w:val="Heading 7 Char"/>
    <w:basedOn w:val="DefaultParagraphFont"/>
    <w:link w:val="Heading7"/>
    <w:semiHidden/>
    <w:rsid w:val="00D92A7C"/>
    <w:rPr>
      <w:rFonts w:ascii="Arial" w:hAnsi="Arial"/>
      <w:sz w:val="24"/>
      <w:lang w:val="de-DE"/>
    </w:rPr>
  </w:style>
  <w:style w:type="character" w:customStyle="1" w:styleId="Heading8Char">
    <w:name w:val="Heading 8 Char"/>
    <w:basedOn w:val="DefaultParagraphFont"/>
    <w:link w:val="Heading8"/>
    <w:semiHidden/>
    <w:rsid w:val="00D92A7C"/>
    <w:rPr>
      <w:rFonts w:ascii="Arial" w:hAnsi="Arial"/>
      <w:i/>
      <w:sz w:val="24"/>
      <w:lang w:val="de-DE"/>
    </w:rPr>
  </w:style>
  <w:style w:type="character" w:customStyle="1" w:styleId="Heading9Char">
    <w:name w:val="Heading 9 Char"/>
    <w:basedOn w:val="DefaultParagraphFont"/>
    <w:link w:val="Heading9"/>
    <w:semiHidden/>
    <w:rsid w:val="00D92A7C"/>
    <w:rPr>
      <w:rFonts w:ascii="Arial" w:hAnsi="Arial"/>
      <w:b/>
      <w:i/>
      <w:sz w:val="18"/>
      <w:lang w:val="de-DE"/>
    </w:rPr>
  </w:style>
  <w:style w:type="paragraph" w:styleId="TOCHeading">
    <w:name w:val="TOC Heading"/>
    <w:basedOn w:val="Normal"/>
    <w:next w:val="Normal"/>
    <w:unhideWhenUsed/>
    <w:qFormat/>
    <w:rsid w:val="00D92A7C"/>
    <w:pPr>
      <w:widowControl/>
      <w:spacing w:after="240"/>
    </w:pPr>
    <w:rPr>
      <w:lang w:val="en-GB"/>
    </w:rPr>
  </w:style>
  <w:style w:type="paragraph" w:customStyle="1" w:styleId="EPFooter2">
    <w:name w:val="EPFooter2"/>
    <w:basedOn w:val="Normal"/>
    <w:next w:val="Normal"/>
    <w:rsid w:val="00D92A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92A7C"/>
    <w:pPr>
      <w:keepNext/>
      <w:spacing w:after="240"/>
      <w:jc w:val="right"/>
    </w:pPr>
    <w:rPr>
      <w:rFonts w:ascii="Arial" w:hAnsi="Arial"/>
      <w:b/>
    </w:rPr>
  </w:style>
  <w:style w:type="paragraph" w:customStyle="1" w:styleId="Normal6a">
    <w:name w:val="Normal6a"/>
    <w:basedOn w:val="Normal"/>
    <w:rsid w:val="00D92A7C"/>
    <w:pPr>
      <w:spacing w:after="120"/>
    </w:pPr>
  </w:style>
  <w:style w:type="paragraph" w:customStyle="1" w:styleId="PageHeading">
    <w:name w:val="PageHeading"/>
    <w:basedOn w:val="Normal"/>
    <w:link w:val="PageHeadingChar"/>
    <w:rsid w:val="00D92A7C"/>
    <w:pPr>
      <w:keepNext/>
      <w:spacing w:after="480"/>
      <w:jc w:val="center"/>
    </w:pPr>
    <w:rPr>
      <w:rFonts w:ascii="Arial" w:hAnsi="Arial" w:cs="Arial"/>
      <w:b/>
    </w:rPr>
  </w:style>
  <w:style w:type="paragraph" w:customStyle="1" w:styleId="NormalBold">
    <w:name w:val="NormalBold"/>
    <w:basedOn w:val="Normal"/>
    <w:link w:val="NormalBoldChar"/>
    <w:rsid w:val="00D92A7C"/>
    <w:rPr>
      <w:b/>
    </w:rPr>
  </w:style>
  <w:style w:type="paragraph" w:customStyle="1" w:styleId="NormalBold12a">
    <w:name w:val="NormalBold12a"/>
    <w:basedOn w:val="Normal"/>
    <w:rsid w:val="00D92A7C"/>
    <w:pPr>
      <w:spacing w:after="240"/>
    </w:pPr>
    <w:rPr>
      <w:b/>
    </w:rPr>
  </w:style>
  <w:style w:type="paragraph" w:customStyle="1" w:styleId="AmJustText">
    <w:name w:val="AmJustText"/>
    <w:basedOn w:val="Normal"/>
    <w:rsid w:val="00D92A7C"/>
    <w:pPr>
      <w:spacing w:after="240"/>
    </w:pPr>
    <w:rPr>
      <w:i/>
    </w:rPr>
  </w:style>
  <w:style w:type="paragraph" w:customStyle="1" w:styleId="NormalHanging12a">
    <w:name w:val="NormalHanging12a"/>
    <w:basedOn w:val="Normal"/>
    <w:rsid w:val="00D92A7C"/>
    <w:pPr>
      <w:spacing w:after="240"/>
      <w:ind w:left="567" w:hanging="567"/>
    </w:pPr>
  </w:style>
  <w:style w:type="paragraph" w:customStyle="1" w:styleId="CoverNormal24a">
    <w:name w:val="CoverNormal24a"/>
    <w:basedOn w:val="Normal"/>
    <w:rsid w:val="00D92A7C"/>
    <w:pPr>
      <w:spacing w:after="480"/>
      <w:ind w:left="1417"/>
    </w:pPr>
  </w:style>
  <w:style w:type="paragraph" w:customStyle="1" w:styleId="CoverNormal">
    <w:name w:val="CoverNormal"/>
    <w:basedOn w:val="Normal"/>
    <w:rsid w:val="00D92A7C"/>
    <w:pPr>
      <w:ind w:left="1418"/>
    </w:pPr>
  </w:style>
  <w:style w:type="paragraph" w:customStyle="1" w:styleId="AmCrossRef">
    <w:name w:val="AmCrossRef"/>
    <w:basedOn w:val="Normal"/>
    <w:rsid w:val="00D92A7C"/>
    <w:pPr>
      <w:spacing w:before="240" w:after="240"/>
      <w:jc w:val="center"/>
    </w:pPr>
    <w:rPr>
      <w:i/>
    </w:rPr>
  </w:style>
  <w:style w:type="paragraph" w:customStyle="1" w:styleId="AmJustTitle">
    <w:name w:val="AmJustTitle"/>
    <w:basedOn w:val="Normal"/>
    <w:next w:val="AmJustText"/>
    <w:rsid w:val="00D92A7C"/>
    <w:pPr>
      <w:keepNext/>
      <w:spacing w:before="240" w:after="240"/>
      <w:jc w:val="center"/>
    </w:pPr>
    <w:rPr>
      <w:i/>
    </w:rPr>
  </w:style>
  <w:style w:type="paragraph" w:customStyle="1" w:styleId="CoverReference">
    <w:name w:val="CoverReference"/>
    <w:basedOn w:val="Normal"/>
    <w:rsid w:val="00D92A7C"/>
    <w:pPr>
      <w:spacing w:before="1080"/>
      <w:jc w:val="right"/>
    </w:pPr>
    <w:rPr>
      <w:rFonts w:ascii="Arial" w:hAnsi="Arial" w:cs="Arial"/>
      <w:b/>
    </w:rPr>
  </w:style>
  <w:style w:type="paragraph" w:customStyle="1" w:styleId="CoverDocType">
    <w:name w:val="CoverDocType"/>
    <w:basedOn w:val="Normal"/>
    <w:rsid w:val="00D92A7C"/>
    <w:pPr>
      <w:ind w:left="1418"/>
    </w:pPr>
    <w:rPr>
      <w:rFonts w:ascii="Arial" w:hAnsi="Arial"/>
      <w:b/>
      <w:sz w:val="48"/>
    </w:rPr>
  </w:style>
  <w:style w:type="paragraph" w:customStyle="1" w:styleId="CoverDocType24a">
    <w:name w:val="CoverDocType24a"/>
    <w:basedOn w:val="Normal"/>
    <w:rsid w:val="00D92A7C"/>
    <w:pPr>
      <w:spacing w:after="480"/>
      <w:ind w:left="1418"/>
    </w:pPr>
    <w:rPr>
      <w:rFonts w:ascii="Arial" w:hAnsi="Arial"/>
      <w:b/>
      <w:sz w:val="48"/>
    </w:rPr>
  </w:style>
  <w:style w:type="paragraph" w:customStyle="1" w:styleId="CoverDate">
    <w:name w:val="CoverDate"/>
    <w:basedOn w:val="Normal"/>
    <w:rsid w:val="00D92A7C"/>
    <w:pPr>
      <w:spacing w:before="240" w:after="1200"/>
    </w:pPr>
  </w:style>
  <w:style w:type="paragraph" w:styleId="Header">
    <w:name w:val="header"/>
    <w:basedOn w:val="Normal"/>
    <w:link w:val="HeaderChar"/>
    <w:rsid w:val="00D92A7C"/>
    <w:pPr>
      <w:tabs>
        <w:tab w:val="center" w:pos="4513"/>
        <w:tab w:val="right" w:pos="9026"/>
      </w:tabs>
    </w:pPr>
  </w:style>
  <w:style w:type="character" w:customStyle="1" w:styleId="HeaderChar">
    <w:name w:val="Header Char"/>
    <w:basedOn w:val="DefaultParagraphFont"/>
    <w:link w:val="Header"/>
    <w:rsid w:val="00D92A7C"/>
    <w:rPr>
      <w:sz w:val="24"/>
      <w:lang w:val="de-DE"/>
    </w:rPr>
  </w:style>
  <w:style w:type="paragraph" w:customStyle="1" w:styleId="AmOrLang">
    <w:name w:val="AmOrLang"/>
    <w:basedOn w:val="Normal"/>
    <w:rsid w:val="00D92A7C"/>
    <w:pPr>
      <w:spacing w:before="240" w:after="240"/>
      <w:jc w:val="right"/>
    </w:pPr>
  </w:style>
  <w:style w:type="paragraph" w:customStyle="1" w:styleId="AmColumnHeading">
    <w:name w:val="AmColumnHeading"/>
    <w:basedOn w:val="Normal"/>
    <w:rsid w:val="00D92A7C"/>
    <w:pPr>
      <w:spacing w:after="240"/>
      <w:jc w:val="center"/>
    </w:pPr>
    <w:rPr>
      <w:i/>
    </w:rPr>
  </w:style>
  <w:style w:type="paragraph" w:customStyle="1" w:styleId="AmNumberTabs">
    <w:name w:val="AmNumberTabs"/>
    <w:basedOn w:val="Normal"/>
    <w:rsid w:val="00D92A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2A7C"/>
    <w:pPr>
      <w:spacing w:before="240"/>
    </w:pPr>
    <w:rPr>
      <w:b/>
    </w:rPr>
  </w:style>
  <w:style w:type="paragraph" w:customStyle="1" w:styleId="EPBody">
    <w:name w:val="EPBody"/>
    <w:basedOn w:val="Normal"/>
    <w:rsid w:val="00D92A7C"/>
    <w:pPr>
      <w:jc w:val="center"/>
    </w:pPr>
    <w:rPr>
      <w:rFonts w:ascii="Arial" w:hAnsi="Arial" w:cs="Arial"/>
      <w:i/>
      <w:sz w:val="22"/>
      <w:szCs w:val="22"/>
    </w:rPr>
  </w:style>
  <w:style w:type="paragraph" w:customStyle="1" w:styleId="EPFooter">
    <w:name w:val="EPFooter"/>
    <w:basedOn w:val="Normal"/>
    <w:rsid w:val="00D92A7C"/>
    <w:pPr>
      <w:tabs>
        <w:tab w:val="center" w:pos="4535"/>
        <w:tab w:val="right" w:pos="9071"/>
      </w:tabs>
      <w:spacing w:before="240" w:after="240"/>
    </w:pPr>
    <w:rPr>
      <w:color w:val="010000"/>
      <w:sz w:val="22"/>
    </w:rPr>
  </w:style>
  <w:style w:type="paragraph" w:customStyle="1" w:styleId="EPComma">
    <w:name w:val="EPComma"/>
    <w:basedOn w:val="Normal"/>
    <w:rsid w:val="00D92A7C"/>
    <w:pPr>
      <w:spacing w:before="480" w:after="240"/>
    </w:pPr>
  </w:style>
  <w:style w:type="paragraph" w:customStyle="1" w:styleId="Lgendesigne">
    <w:name w:val="Légende signe"/>
    <w:basedOn w:val="Normal"/>
    <w:rsid w:val="00D92A7C"/>
    <w:pPr>
      <w:tabs>
        <w:tab w:val="right" w:pos="454"/>
        <w:tab w:val="left" w:pos="737"/>
      </w:tabs>
      <w:ind w:left="737" w:hanging="737"/>
    </w:pPr>
    <w:rPr>
      <w:snapToGrid w:val="0"/>
      <w:sz w:val="18"/>
      <w:lang w:eastAsia="en-US"/>
    </w:rPr>
  </w:style>
  <w:style w:type="paragraph" w:customStyle="1" w:styleId="Lgendetitre">
    <w:name w:val="Légende titre"/>
    <w:basedOn w:val="Normal"/>
    <w:rsid w:val="00D92A7C"/>
    <w:pPr>
      <w:spacing w:before="240" w:after="240"/>
    </w:pPr>
    <w:rPr>
      <w:b/>
      <w:i/>
      <w:snapToGrid w:val="0"/>
      <w:lang w:eastAsia="en-US"/>
    </w:rPr>
  </w:style>
  <w:style w:type="paragraph" w:customStyle="1" w:styleId="Lgendestandard">
    <w:name w:val="Légende standard"/>
    <w:basedOn w:val="Normal"/>
    <w:rsid w:val="00D92A7C"/>
    <w:rPr>
      <w:sz w:val="18"/>
    </w:rPr>
  </w:style>
  <w:style w:type="character" w:customStyle="1" w:styleId="NormalBoldChar">
    <w:name w:val="NormalBold Char"/>
    <w:basedOn w:val="DefaultParagraphFont"/>
    <w:link w:val="NormalBold"/>
    <w:locked/>
    <w:rsid w:val="00D92A7C"/>
    <w:rPr>
      <w:b/>
      <w:sz w:val="24"/>
      <w:lang w:val="de-DE"/>
    </w:rPr>
  </w:style>
  <w:style w:type="character" w:customStyle="1" w:styleId="Normal6Char">
    <w:name w:val="Normal6 Char"/>
    <w:basedOn w:val="DefaultParagraphFont"/>
    <w:link w:val="Normal6"/>
    <w:locked/>
    <w:rsid w:val="00D92A7C"/>
    <w:rPr>
      <w:sz w:val="24"/>
      <w:lang w:val="de-DE"/>
    </w:rPr>
  </w:style>
  <w:style w:type="paragraph" w:customStyle="1" w:styleId="Normal6">
    <w:name w:val="Normal6"/>
    <w:basedOn w:val="Normal"/>
    <w:link w:val="Normal6Char"/>
    <w:rsid w:val="00D92A7C"/>
    <w:pPr>
      <w:spacing w:after="120"/>
    </w:pPr>
  </w:style>
  <w:style w:type="paragraph" w:customStyle="1" w:styleId="ColumnHeading">
    <w:name w:val="ColumnHeading"/>
    <w:basedOn w:val="Normal"/>
    <w:rsid w:val="00D92A7C"/>
    <w:pPr>
      <w:spacing w:after="240"/>
      <w:jc w:val="center"/>
    </w:pPr>
    <w:rPr>
      <w:i/>
    </w:rPr>
  </w:style>
  <w:style w:type="paragraph" w:customStyle="1" w:styleId="Normal12Italic">
    <w:name w:val="Normal12Italic"/>
    <w:basedOn w:val="Normal"/>
    <w:rsid w:val="00D92A7C"/>
    <w:pPr>
      <w:spacing w:after="240"/>
    </w:pPr>
    <w:rPr>
      <w:i/>
      <w:noProof/>
    </w:rPr>
  </w:style>
  <w:style w:type="paragraph" w:customStyle="1" w:styleId="JustificationTitle">
    <w:name w:val="JustificationTitle"/>
    <w:basedOn w:val="Normal"/>
    <w:next w:val="Normal"/>
    <w:rsid w:val="00D92A7C"/>
    <w:pPr>
      <w:keepNext/>
      <w:spacing w:before="240" w:after="240"/>
      <w:jc w:val="center"/>
    </w:pPr>
    <w:rPr>
      <w:i/>
      <w:noProof/>
    </w:rPr>
  </w:style>
  <w:style w:type="paragraph" w:customStyle="1" w:styleId="Normal24a">
    <w:name w:val="Normal24a"/>
    <w:basedOn w:val="Normal"/>
    <w:rsid w:val="00D92A7C"/>
    <w:pPr>
      <w:spacing w:after="480"/>
    </w:pPr>
    <w:rPr>
      <w:szCs w:val="24"/>
    </w:rPr>
  </w:style>
  <w:style w:type="character" w:customStyle="1" w:styleId="PageHeadingChar">
    <w:name w:val="PageHeading Char"/>
    <w:basedOn w:val="DefaultParagraphFont"/>
    <w:link w:val="PageHeading"/>
    <w:rsid w:val="00D92A7C"/>
    <w:rPr>
      <w:rFonts w:ascii="Arial" w:hAnsi="Arial" w:cs="Arial"/>
      <w:b/>
      <w:sz w:val="24"/>
      <w:lang w:val="de-DE"/>
    </w:rPr>
  </w:style>
  <w:style w:type="paragraph" w:customStyle="1" w:styleId="NormalBoldCenter">
    <w:name w:val="NormalBoldCenter"/>
    <w:basedOn w:val="Normal"/>
    <w:rsid w:val="00D92A7C"/>
    <w:pPr>
      <w:jc w:val="center"/>
    </w:pPr>
    <w:rPr>
      <w:b/>
    </w:rPr>
  </w:style>
  <w:style w:type="paragraph" w:customStyle="1" w:styleId="Footprint12b">
    <w:name w:val="Footprint12b"/>
    <w:basedOn w:val="Normal"/>
    <w:rsid w:val="00D92A7C"/>
    <w:pPr>
      <w:spacing w:before="240"/>
    </w:pPr>
    <w:rPr>
      <w:szCs w:val="24"/>
    </w:rPr>
  </w:style>
  <w:style w:type="paragraph" w:customStyle="1" w:styleId="NormalSingle">
    <w:name w:val="NormalSingle"/>
    <w:basedOn w:val="Normal"/>
    <w:qFormat/>
    <w:rsid w:val="00D92A7C"/>
    <w:rPr>
      <w:szCs w:val="24"/>
    </w:rPr>
  </w:style>
  <w:style w:type="character" w:styleId="Hyperlink">
    <w:name w:val="Hyperlink"/>
    <w:basedOn w:val="DefaultParagraphFont"/>
    <w:uiPriority w:val="99"/>
    <w:rsid w:val="00D92A7C"/>
    <w:rPr>
      <w:color w:val="0563C1" w:themeColor="hyperlink"/>
      <w:u w:val="single"/>
    </w:rPr>
  </w:style>
  <w:style w:type="paragraph" w:customStyle="1" w:styleId="Normal12a">
    <w:name w:val="Normal12a"/>
    <w:basedOn w:val="Normal"/>
    <w:rsid w:val="00D92A7C"/>
    <w:pPr>
      <w:spacing w:after="240"/>
    </w:pPr>
  </w:style>
  <w:style w:type="paragraph" w:customStyle="1" w:styleId="RollCallVotes">
    <w:name w:val="RollCallVotes"/>
    <w:basedOn w:val="Normal"/>
    <w:rsid w:val="00D92A7C"/>
    <w:pPr>
      <w:spacing w:before="120" w:after="120"/>
      <w:jc w:val="center"/>
    </w:pPr>
    <w:rPr>
      <w:b/>
      <w:bCs/>
      <w:snapToGrid w:val="0"/>
      <w:sz w:val="16"/>
      <w:lang w:eastAsia="en-US"/>
    </w:rPr>
  </w:style>
  <w:style w:type="paragraph" w:customStyle="1" w:styleId="RollCallTabs">
    <w:name w:val="RollCallTabs"/>
    <w:basedOn w:val="Normal"/>
    <w:qFormat/>
    <w:rsid w:val="00D92A7C"/>
    <w:pPr>
      <w:tabs>
        <w:tab w:val="center" w:pos="284"/>
        <w:tab w:val="left" w:pos="426"/>
      </w:tabs>
    </w:pPr>
    <w:rPr>
      <w:snapToGrid w:val="0"/>
      <w:lang w:eastAsia="en-US"/>
    </w:rPr>
  </w:style>
  <w:style w:type="paragraph" w:customStyle="1" w:styleId="RollCallSymbols14pt">
    <w:name w:val="RollCallSymbols14pt"/>
    <w:basedOn w:val="Normal"/>
    <w:rsid w:val="00D92A7C"/>
    <w:pPr>
      <w:spacing w:before="120" w:after="120"/>
      <w:jc w:val="center"/>
    </w:pPr>
    <w:rPr>
      <w:rFonts w:ascii="Arial" w:hAnsi="Arial"/>
      <w:b/>
      <w:bCs/>
      <w:snapToGrid w:val="0"/>
      <w:sz w:val="28"/>
      <w:lang w:eastAsia="en-US"/>
    </w:rPr>
  </w:style>
  <w:style w:type="paragraph" w:customStyle="1" w:styleId="RollCallTable">
    <w:name w:val="RollCallTable"/>
    <w:basedOn w:val="Normal"/>
    <w:rsid w:val="00D92A7C"/>
    <w:pPr>
      <w:spacing w:before="120" w:after="120"/>
    </w:pPr>
    <w:rPr>
      <w:snapToGrid w:val="0"/>
      <w:sz w:val="16"/>
      <w:lang w:eastAsia="en-US"/>
    </w:rPr>
  </w:style>
  <w:style w:type="paragraph" w:customStyle="1" w:styleId="AmHeadingPA">
    <w:name w:val="AmHeadingPA"/>
    <w:basedOn w:val="Normal"/>
    <w:next w:val="Normal"/>
    <w:rsid w:val="00D92A7C"/>
    <w:pPr>
      <w:spacing w:before="480" w:after="240"/>
      <w:jc w:val="center"/>
    </w:pPr>
    <w:rPr>
      <w:rFonts w:ascii="Arial" w:hAnsi="Arial"/>
      <w:b/>
      <w:caps/>
      <w:snapToGrid w:val="0"/>
      <w:szCs w:val="24"/>
      <w:lang w:eastAsia="en-US"/>
    </w:rPr>
  </w:style>
  <w:style w:type="paragraph" w:customStyle="1" w:styleId="AMNumberTabs0">
    <w:name w:val="AMNumberTabs"/>
    <w:basedOn w:val="Normal"/>
    <w:rsid w:val="00D92A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PageHeadingNotTOC">
    <w:name w:val="PageHeadingNotTOC"/>
    <w:basedOn w:val="Normal"/>
    <w:rsid w:val="00D92A7C"/>
    <w:pPr>
      <w:keepNext/>
      <w:spacing w:after="480"/>
      <w:jc w:val="center"/>
    </w:pPr>
    <w:rPr>
      <w:rFonts w:ascii="Arial" w:hAnsi="Arial" w:cs="Arial"/>
      <w:b/>
    </w:rPr>
  </w:style>
  <w:style w:type="character" w:styleId="Emphasis">
    <w:name w:val="Emphasis"/>
    <w:basedOn w:val="DefaultParagraphFont"/>
    <w:uiPriority w:val="20"/>
    <w:qFormat/>
    <w:rsid w:val="00D92A7C"/>
    <w:rPr>
      <w:i/>
      <w:iCs/>
    </w:rPr>
  </w:style>
  <w:style w:type="paragraph" w:customStyle="1" w:styleId="LetterSubject">
    <w:name w:val="LetterSubject"/>
    <w:basedOn w:val="Normal"/>
    <w:rsid w:val="00D92A7C"/>
    <w:pPr>
      <w:spacing w:before="480"/>
      <w:ind w:left="1134" w:hanging="1134"/>
    </w:pPr>
  </w:style>
  <w:style w:type="paragraph" w:styleId="ListParagraph">
    <w:name w:val="List Paragraph"/>
    <w:basedOn w:val="Normal"/>
    <w:uiPriority w:val="34"/>
    <w:qFormat/>
    <w:rsid w:val="00D92A7C"/>
    <w:pPr>
      <w:widowControl/>
      <w:ind w:left="720"/>
      <w:contextualSpacing/>
      <w:jc w:val="both"/>
    </w:pPr>
    <w:rPr>
      <w:rFonts w:eastAsiaTheme="minorHAnsi"/>
      <w:szCs w:val="24"/>
      <w:lang w:eastAsia="en-US"/>
    </w:rPr>
  </w:style>
  <w:style w:type="paragraph" w:customStyle="1" w:styleId="Normal12">
    <w:name w:val="Normal12"/>
    <w:basedOn w:val="Normal"/>
    <w:link w:val="Normal12Char"/>
    <w:rsid w:val="00D92A7C"/>
    <w:pPr>
      <w:spacing w:after="240"/>
    </w:pPr>
    <w:rPr>
      <w:rFonts w:ascii="Arial" w:hAnsi="Arial" w:cs="Arial"/>
    </w:rPr>
  </w:style>
  <w:style w:type="character" w:customStyle="1" w:styleId="Normal12Char">
    <w:name w:val="Normal12 Char"/>
    <w:basedOn w:val="PageHeadingChar"/>
    <w:link w:val="Normal12"/>
    <w:rsid w:val="00D92A7C"/>
    <w:rPr>
      <w:rFonts w:ascii="Arial" w:hAnsi="Arial" w:cs="Arial"/>
      <w:b w:val="0"/>
      <w:sz w:val="24"/>
      <w:lang w:val="de-DE"/>
    </w:rPr>
  </w:style>
  <w:style w:type="paragraph" w:customStyle="1" w:styleId="LetterSalutation">
    <w:name w:val="LetterSalutation"/>
    <w:basedOn w:val="Normal"/>
    <w:rsid w:val="00D92A7C"/>
    <w:pPr>
      <w:spacing w:before="600" w:after="360"/>
    </w:pPr>
  </w:style>
  <w:style w:type="character" w:styleId="FollowedHyperlink">
    <w:name w:val="FollowedHyperlink"/>
    <w:basedOn w:val="DefaultParagraphFont"/>
    <w:uiPriority w:val="99"/>
    <w:unhideWhenUsed/>
    <w:rsid w:val="00D92A7C"/>
    <w:rPr>
      <w:color w:val="954F72" w:themeColor="followedHyperlink"/>
      <w:u w:val="single"/>
    </w:rPr>
  </w:style>
  <w:style w:type="paragraph" w:styleId="Footer">
    <w:name w:val="footer"/>
    <w:basedOn w:val="Normal"/>
    <w:link w:val="FooterChar"/>
    <w:rsid w:val="00161AA1"/>
    <w:pPr>
      <w:tabs>
        <w:tab w:val="center" w:pos="4513"/>
        <w:tab w:val="right" w:pos="9026"/>
      </w:tabs>
    </w:pPr>
  </w:style>
  <w:style w:type="character" w:customStyle="1" w:styleId="FooterChar">
    <w:name w:val="Footer Char"/>
    <w:basedOn w:val="DefaultParagraphFont"/>
    <w:link w:val="Footer"/>
    <w:rsid w:val="00161AA1"/>
    <w:rPr>
      <w:sz w:val="24"/>
      <w:lang w:val="de-DE"/>
    </w:rPr>
  </w:style>
  <w:style w:type="character" w:styleId="CommentReference">
    <w:name w:val="annotation reference"/>
    <w:basedOn w:val="DefaultParagraphFont"/>
    <w:rsid w:val="006158CC"/>
    <w:rPr>
      <w:sz w:val="16"/>
      <w:szCs w:val="16"/>
    </w:rPr>
  </w:style>
  <w:style w:type="paragraph" w:styleId="CommentText">
    <w:name w:val="annotation text"/>
    <w:basedOn w:val="Normal"/>
    <w:link w:val="CommentTextChar"/>
    <w:rsid w:val="006158CC"/>
    <w:rPr>
      <w:sz w:val="20"/>
    </w:rPr>
  </w:style>
  <w:style w:type="character" w:customStyle="1" w:styleId="CommentTextChar">
    <w:name w:val="Comment Text Char"/>
    <w:basedOn w:val="DefaultParagraphFont"/>
    <w:link w:val="CommentText"/>
    <w:rsid w:val="006158CC"/>
    <w:rPr>
      <w:lang w:val="de-DE"/>
    </w:rPr>
  </w:style>
  <w:style w:type="paragraph" w:styleId="CommentSubject">
    <w:name w:val="annotation subject"/>
    <w:basedOn w:val="CommentText"/>
    <w:next w:val="CommentText"/>
    <w:link w:val="CommentSubjectChar"/>
    <w:rsid w:val="006158CC"/>
    <w:rPr>
      <w:b/>
      <w:bCs/>
    </w:rPr>
  </w:style>
  <w:style w:type="character" w:customStyle="1" w:styleId="CommentSubjectChar">
    <w:name w:val="Comment Subject Char"/>
    <w:basedOn w:val="CommentTextChar"/>
    <w:link w:val="CommentSubject"/>
    <w:rsid w:val="006158CC"/>
    <w:rPr>
      <w:b/>
      <w:bCs/>
      <w:lang w:val="de-DE"/>
    </w:rPr>
  </w:style>
  <w:style w:type="paragraph" w:styleId="BalloonText">
    <w:name w:val="Balloon Text"/>
    <w:basedOn w:val="Normal"/>
    <w:link w:val="BalloonTextChar"/>
    <w:rsid w:val="006158CC"/>
    <w:rPr>
      <w:rFonts w:ascii="Segoe UI" w:hAnsi="Segoe UI" w:cs="Segoe UI"/>
      <w:sz w:val="18"/>
      <w:szCs w:val="18"/>
    </w:rPr>
  </w:style>
  <w:style w:type="character" w:customStyle="1" w:styleId="BalloonTextChar">
    <w:name w:val="Balloon Text Char"/>
    <w:basedOn w:val="DefaultParagraphFont"/>
    <w:link w:val="BalloonText"/>
    <w:rsid w:val="006158CC"/>
    <w:rPr>
      <w:rFonts w:ascii="Segoe UI" w:hAnsi="Segoe UI" w:cs="Segoe UI"/>
      <w:sz w:val="18"/>
      <w:szCs w:val="18"/>
      <w:lang w:val="de-DE"/>
    </w:rPr>
  </w:style>
  <w:style w:type="character" w:styleId="UnresolvedMention">
    <w:name w:val="Unresolved Mention"/>
    <w:basedOn w:val="DefaultParagraphFont"/>
    <w:uiPriority w:val="99"/>
    <w:semiHidden/>
    <w:unhideWhenUsed/>
    <w:rsid w:val="005A2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F4073-3B65-4AEE-8B21-923C964CC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506</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2025-10-20T15:37:00Z</dcterms:created>
  <dcterms:modified xsi:type="dcterms:W3CDTF">2025-10-20T15:37:00Z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P10_TA(2025)0176_</vt:lpwstr>
  </property>
  <property fmtid="{D5CDD505-2E9C-101B-9397-08002B2CF9AE}" pid="4" name="&lt;Type&gt;">
    <vt:lpwstr>RR</vt:lpwstr>
  </property>
</Properties>
</file>