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7280" w14:paraId="5B78B5EB" w14:textId="77777777" w:rsidTr="0010095E">
        <w:trPr>
          <w:trHeight w:hRule="exact" w:val="1418"/>
        </w:trPr>
        <w:tc>
          <w:tcPr>
            <w:tcW w:w="6804" w:type="dxa"/>
            <w:shd w:val="clear" w:color="auto" w:fill="auto"/>
            <w:vAlign w:val="center"/>
          </w:tcPr>
          <w:p w14:paraId="6D0C0AE8" w14:textId="77777777" w:rsidR="00751A4A" w:rsidRPr="00FD7280" w:rsidRDefault="00431BCA" w:rsidP="0010095E">
            <w:pPr>
              <w:pStyle w:val="EPName"/>
            </w:pPr>
            <w:r w:rsidRPr="00FD7280">
              <w:t>Europos Parlamentas</w:t>
            </w:r>
          </w:p>
          <w:p w14:paraId="020B67FC" w14:textId="77777777" w:rsidR="00751A4A" w:rsidRPr="00FD7280" w:rsidRDefault="005F1B17" w:rsidP="005F1B17">
            <w:pPr>
              <w:pStyle w:val="EPTerm"/>
              <w:rPr>
                <w:rStyle w:val="HideTWBExt"/>
                <w:noProof w:val="0"/>
                <w:vanish w:val="0"/>
                <w:color w:val="auto"/>
              </w:rPr>
            </w:pPr>
            <w:r w:rsidRPr="00FD7280">
              <w:t>2024</w:t>
            </w:r>
            <w:r w:rsidR="00817416" w:rsidRPr="00FD7280">
              <w:t>-202</w:t>
            </w:r>
            <w:r w:rsidRPr="00FD7280">
              <w:t>9</w:t>
            </w:r>
          </w:p>
        </w:tc>
        <w:tc>
          <w:tcPr>
            <w:tcW w:w="2268" w:type="dxa"/>
            <w:shd w:val="clear" w:color="auto" w:fill="auto"/>
          </w:tcPr>
          <w:p w14:paraId="0AA0F236" w14:textId="77777777" w:rsidR="00751A4A" w:rsidRPr="00FD7280" w:rsidRDefault="00187494" w:rsidP="0010095E">
            <w:pPr>
              <w:pStyle w:val="EPLogo"/>
            </w:pPr>
            <w:r w:rsidRPr="00FD7280">
              <w:rPr>
                <w:noProof/>
                <w:lang w:eastAsia="ja-JP"/>
              </w:rPr>
              <w:drawing>
                <wp:inline distT="0" distB="0" distL="0" distR="0" wp14:anchorId="5A15E5B3" wp14:editId="1519DA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E7E0F6" w14:textId="77777777" w:rsidR="00D058B8" w:rsidRPr="00FD7280" w:rsidRDefault="00D058B8" w:rsidP="004C5D52">
      <w:pPr>
        <w:pStyle w:val="LineTop"/>
      </w:pPr>
    </w:p>
    <w:p w14:paraId="1AAE1DCD" w14:textId="77777777" w:rsidR="00680577" w:rsidRPr="00FD7280" w:rsidRDefault="00431BCA" w:rsidP="00680577">
      <w:pPr>
        <w:pStyle w:val="EPBodyTA1"/>
      </w:pPr>
      <w:r w:rsidRPr="00FD7280">
        <w:t>PRIIMTI TEKSTAI</w:t>
      </w:r>
    </w:p>
    <w:p w14:paraId="24BA128C" w14:textId="77777777" w:rsidR="00D058B8" w:rsidRPr="00FD7280" w:rsidRDefault="00D058B8" w:rsidP="00D058B8">
      <w:pPr>
        <w:pStyle w:val="LineBottom"/>
      </w:pPr>
    </w:p>
    <w:p w14:paraId="11664CDE" w14:textId="3BF8277F" w:rsidR="00431BCA" w:rsidRPr="00FD7280" w:rsidRDefault="00431BCA" w:rsidP="00431BCA">
      <w:pPr>
        <w:pStyle w:val="ATHeading1"/>
      </w:pPr>
      <w:bookmarkStart w:id="0" w:name="TANumber"/>
      <w:r w:rsidRPr="00FD7280">
        <w:t>P10_TA(2025)0</w:t>
      </w:r>
      <w:r w:rsidR="00B64C51">
        <w:t>176</w:t>
      </w:r>
      <w:bookmarkEnd w:id="0"/>
    </w:p>
    <w:p w14:paraId="1C9FA97B" w14:textId="3BE0B390" w:rsidR="00431BCA" w:rsidRPr="00FD7280" w:rsidRDefault="00DF7B34" w:rsidP="00431BCA">
      <w:pPr>
        <w:pStyle w:val="ATHeading2"/>
      </w:pPr>
      <w:bookmarkStart w:id="1" w:name="title"/>
      <w:r w:rsidRPr="00DF7B34">
        <w:t>„Europos socialinis fondas +“ (ESF+)</w:t>
      </w:r>
      <w:r w:rsidR="00154FC2">
        <w:t>: k</w:t>
      </w:r>
      <w:r w:rsidRPr="00FD7280">
        <w:t>onkreči</w:t>
      </w:r>
      <w:r>
        <w:t>os</w:t>
      </w:r>
      <w:r w:rsidRPr="00FD7280">
        <w:t xml:space="preserve"> priemon</w:t>
      </w:r>
      <w:r>
        <w:t>ės</w:t>
      </w:r>
      <w:r w:rsidRPr="00FD7280">
        <w:t xml:space="preserve"> strateginiams uždaviniams spręsti</w:t>
      </w:r>
      <w:bookmarkEnd w:id="1"/>
    </w:p>
    <w:p w14:paraId="34359C71" w14:textId="77777777" w:rsidR="00431BCA" w:rsidRPr="00FD7280" w:rsidRDefault="00431BCA" w:rsidP="00431BCA">
      <w:pPr>
        <w:rPr>
          <w:i/>
          <w:vanish/>
        </w:rPr>
      </w:pPr>
      <w:r w:rsidRPr="00FD7280">
        <w:rPr>
          <w:i/>
        </w:rPr>
        <w:fldChar w:fldCharType="begin"/>
      </w:r>
      <w:r w:rsidRPr="00FD7280">
        <w:rPr>
          <w:i/>
        </w:rPr>
        <w:instrText xml:space="preserve"> TC"(</w:instrText>
      </w:r>
      <w:bookmarkStart w:id="2" w:name="DocNumber"/>
      <w:r w:rsidRPr="00FD7280">
        <w:rPr>
          <w:i/>
        </w:rPr>
        <w:instrText>A10-0122/2025</w:instrText>
      </w:r>
      <w:bookmarkEnd w:id="2"/>
      <w:r w:rsidRPr="00FD7280">
        <w:rPr>
          <w:i/>
        </w:rPr>
        <w:instrText xml:space="preserve"> - Pranešėja: </w:instrText>
      </w:r>
      <w:proofErr w:type="spellStart"/>
      <w:r w:rsidRPr="00FD7280">
        <w:rPr>
          <w:i/>
        </w:rPr>
        <w:instrText>Marit</w:instrText>
      </w:r>
      <w:proofErr w:type="spellEnd"/>
      <w:r w:rsidRPr="00FD7280">
        <w:rPr>
          <w:i/>
        </w:rPr>
        <w:instrText xml:space="preserve"> </w:instrText>
      </w:r>
      <w:proofErr w:type="spellStart"/>
      <w:r w:rsidRPr="00FD7280">
        <w:rPr>
          <w:i/>
        </w:rPr>
        <w:instrText>Maij</w:instrText>
      </w:r>
      <w:proofErr w:type="spellEnd"/>
      <w:r w:rsidRPr="00FD7280">
        <w:rPr>
          <w:i/>
        </w:rPr>
        <w:instrText xml:space="preserve">)"\l3 \n&gt; \* MERGEFORMAT </w:instrText>
      </w:r>
      <w:r w:rsidRPr="00FD7280">
        <w:rPr>
          <w:i/>
        </w:rPr>
        <w:fldChar w:fldCharType="end"/>
      </w:r>
    </w:p>
    <w:p w14:paraId="07BF5CD7" w14:textId="77777777" w:rsidR="00431BCA" w:rsidRPr="00FD7280" w:rsidRDefault="00431BCA" w:rsidP="00431BCA">
      <w:pPr>
        <w:rPr>
          <w:vanish/>
        </w:rPr>
      </w:pPr>
      <w:bookmarkStart w:id="3" w:name="Commission"/>
      <w:r w:rsidRPr="00FD7280">
        <w:rPr>
          <w:vanish/>
        </w:rPr>
        <w:t>Užimtumo ir socialinių reikalų komitetas</w:t>
      </w:r>
      <w:bookmarkEnd w:id="3"/>
    </w:p>
    <w:p w14:paraId="53596A03" w14:textId="77777777" w:rsidR="00431BCA" w:rsidRPr="00FD7280" w:rsidRDefault="00431BCA" w:rsidP="00431BCA">
      <w:pPr>
        <w:rPr>
          <w:vanish/>
        </w:rPr>
      </w:pPr>
      <w:bookmarkStart w:id="4" w:name="PE"/>
      <w:r w:rsidRPr="00FD7280">
        <w:rPr>
          <w:vanish/>
        </w:rPr>
        <w:t>PE774.605</w:t>
      </w:r>
      <w:bookmarkEnd w:id="4"/>
    </w:p>
    <w:p w14:paraId="2844E0FD" w14:textId="1F972AE9" w:rsidR="00431BCA" w:rsidRPr="00FD7280" w:rsidRDefault="00C22AE4" w:rsidP="00431BCA">
      <w:pPr>
        <w:pStyle w:val="ATHeading3"/>
      </w:pPr>
      <w:bookmarkStart w:id="5" w:name="Sujet"/>
      <w:r>
        <w:t xml:space="preserve">2025 m. rugsėjo </w:t>
      </w:r>
      <w:r w:rsidR="00DF7B34">
        <w:t>10</w:t>
      </w:r>
      <w:r>
        <w:t xml:space="preserve"> d. </w:t>
      </w:r>
      <w:r w:rsidR="00431BCA" w:rsidRPr="00FD7280">
        <w:t>Europos Parlamento teisėkūros rezoliucija dėl pasiūlymo dėl Europos Parlamento ir Tarybos reglamento, kuriuo dėl konkrečių priemonių strateginiams uždaviniams spręsti iš dalies keičiamas Reglamentas (ES) 2021/1057, kuriuo nustatomas „Europos socialinis fondas +“ (ESF+)</w:t>
      </w:r>
      <w:bookmarkEnd w:id="5"/>
      <w:r w:rsidR="00431BCA" w:rsidRPr="00FD7280">
        <w:t xml:space="preserve"> </w:t>
      </w:r>
      <w:bookmarkStart w:id="6" w:name="References"/>
      <w:r w:rsidR="00431BCA" w:rsidRPr="00FD7280">
        <w:t>(COM(2025)0164 – C10-0064</w:t>
      </w:r>
      <w:r w:rsidR="007C4602">
        <w:t>/</w:t>
      </w:r>
      <w:r w:rsidR="00431BCA" w:rsidRPr="00FD7280">
        <w:t>2025 – 2025/0085(COD))</w:t>
      </w:r>
      <w:bookmarkEnd w:id="6"/>
    </w:p>
    <w:p w14:paraId="757812F6" w14:textId="77777777" w:rsidR="00431BCA" w:rsidRPr="00FD7280" w:rsidRDefault="00431BCA" w:rsidP="00431BCA"/>
    <w:p w14:paraId="2BE51E7D" w14:textId="77777777" w:rsidR="007C7C1B" w:rsidRPr="00FD7280" w:rsidRDefault="007C7C1B" w:rsidP="007C7C1B">
      <w:pPr>
        <w:pStyle w:val="NormalBold"/>
      </w:pPr>
      <w:bookmarkStart w:id="7" w:name="TextBodyBegin"/>
      <w:bookmarkEnd w:id="7"/>
      <w:r w:rsidRPr="00FD7280">
        <w:t>(Įprasta teisėkūros procedūra: pirmasis svarstymas)</w:t>
      </w:r>
    </w:p>
    <w:p w14:paraId="0FCF58DC" w14:textId="77777777" w:rsidR="007C7C1B" w:rsidRPr="00FD7280" w:rsidRDefault="007C7C1B" w:rsidP="007C7C1B">
      <w:pPr>
        <w:pStyle w:val="EPComma"/>
      </w:pPr>
      <w:r w:rsidRPr="00FD7280">
        <w:rPr>
          <w:i/>
        </w:rPr>
        <w:t>Europos Parlamentas</w:t>
      </w:r>
      <w:r w:rsidRPr="00FD7280">
        <w:t>,</w:t>
      </w:r>
    </w:p>
    <w:p w14:paraId="2090B349" w14:textId="77777777" w:rsidR="007C7C1B" w:rsidRPr="00FD7280" w:rsidRDefault="007C7C1B" w:rsidP="007C7C1B">
      <w:pPr>
        <w:pStyle w:val="NormalHanging12a"/>
      </w:pPr>
      <w:r w:rsidRPr="00FD7280">
        <w:t>–</w:t>
      </w:r>
      <w:r w:rsidRPr="00FD7280">
        <w:tab/>
        <w:t>atsižvelgdamas į Komisijos pasiūlymą Europos Parlamentui ir Tarybai (COM(2025)0164),</w:t>
      </w:r>
    </w:p>
    <w:p w14:paraId="6A3AB64F" w14:textId="42D283C5" w:rsidR="007C7C1B" w:rsidRPr="00FD7280" w:rsidRDefault="007C7C1B" w:rsidP="007C7C1B">
      <w:pPr>
        <w:pStyle w:val="NormalHanging12a"/>
      </w:pPr>
      <w:r w:rsidRPr="00FD7280">
        <w:t>–</w:t>
      </w:r>
      <w:r w:rsidRPr="00FD7280">
        <w:tab/>
        <w:t>atsižvelgdamas į Sutarties dėl Europos Sąjungos veikimo 294 straipsnio 2 dalį</w:t>
      </w:r>
      <w:r w:rsidR="00AE3E79">
        <w:t xml:space="preserve"> ir į </w:t>
      </w:r>
      <w:r w:rsidRPr="00FD7280">
        <w:t>164, 175, 177 ir 322 straipsnius, pagal kuriuos Komisija pateikė pasiūlymą Parlamentui (C10</w:t>
      </w:r>
      <w:r w:rsidRPr="00FD7280">
        <w:noBreakHyphen/>
        <w:t>0064</w:t>
      </w:r>
      <w:r w:rsidR="007C4602">
        <w:t>/</w:t>
      </w:r>
      <w:r w:rsidRPr="00FD7280">
        <w:t>2025),</w:t>
      </w:r>
    </w:p>
    <w:p w14:paraId="6970D6C7" w14:textId="77777777" w:rsidR="007C7C1B" w:rsidRDefault="007C7C1B" w:rsidP="007C7C1B">
      <w:pPr>
        <w:pStyle w:val="NormalHanging12a"/>
      </w:pPr>
      <w:r w:rsidRPr="00FD7280">
        <w:t>–</w:t>
      </w:r>
      <w:r w:rsidRPr="00FD7280">
        <w:tab/>
        <w:t>atsižvelgdamas į Sutarties dėl Europos Sąjungos veikimo 294 straipsnio 3 dalį,</w:t>
      </w:r>
    </w:p>
    <w:p w14:paraId="28EC8795" w14:textId="77777777" w:rsidR="007C7C1B" w:rsidRDefault="007C7C1B" w:rsidP="007C7C1B">
      <w:pPr>
        <w:pStyle w:val="NormalHanging12a"/>
      </w:pPr>
      <w:r w:rsidRPr="00FD7280">
        <w:t>–</w:t>
      </w:r>
      <w:r w:rsidRPr="00FD7280">
        <w:tab/>
        <w:t>atsižvelgdamas į Biudžeto komiteto atliktą biudžetinį vertinimą,</w:t>
      </w:r>
    </w:p>
    <w:p w14:paraId="46858C9A" w14:textId="28E55CDE" w:rsidR="003968BE" w:rsidRDefault="003968BE" w:rsidP="003968BE">
      <w:pPr>
        <w:pStyle w:val="NormalHanging12a"/>
      </w:pPr>
      <w:r w:rsidRPr="008561EC">
        <w:t>–</w:t>
      </w:r>
      <w:r w:rsidRPr="008561EC">
        <w:tab/>
        <w:t xml:space="preserve">atsižvelgdamas į 2025 m. balandžio </w:t>
      </w:r>
      <w:r>
        <w:t>29</w:t>
      </w:r>
      <w:r w:rsidRPr="008561EC">
        <w:t> d. Europos ekonomikos ir socialinių reikalų komiteto nuomonę</w:t>
      </w:r>
      <w:r w:rsidRPr="008561EC">
        <w:rPr>
          <w:rStyle w:val="FootnoteReference"/>
        </w:rPr>
        <w:footnoteReference w:id="1"/>
      </w:r>
      <w:r w:rsidRPr="008561EC">
        <w:t>,</w:t>
      </w:r>
    </w:p>
    <w:p w14:paraId="71B1BCD7" w14:textId="40B0B637" w:rsidR="003968BE" w:rsidRDefault="003968BE" w:rsidP="003968BE">
      <w:pPr>
        <w:pStyle w:val="NormalHanging12a"/>
      </w:pPr>
      <w:r w:rsidRPr="008561EC">
        <w:t>–</w:t>
      </w:r>
      <w:r w:rsidRPr="008561EC">
        <w:tab/>
        <w:t xml:space="preserve">atsižvelgdamas į 2025 m. </w:t>
      </w:r>
      <w:r>
        <w:t>gegužės 15</w:t>
      </w:r>
      <w:r w:rsidRPr="008561EC">
        <w:t xml:space="preserve"> d. </w:t>
      </w:r>
      <w:r>
        <w:t>Regionų</w:t>
      </w:r>
      <w:r w:rsidRPr="008561EC">
        <w:t xml:space="preserve"> komiteto nuomonę</w:t>
      </w:r>
      <w:r w:rsidRPr="008561EC">
        <w:rPr>
          <w:rStyle w:val="FootnoteReference"/>
        </w:rPr>
        <w:footnoteReference w:id="2"/>
      </w:r>
      <w:r w:rsidRPr="008561EC">
        <w:t>,</w:t>
      </w:r>
    </w:p>
    <w:p w14:paraId="09F2BD55" w14:textId="0AF65C95" w:rsidR="003968BE" w:rsidRPr="00FD7280" w:rsidRDefault="003968BE" w:rsidP="00AE3E79">
      <w:pPr>
        <w:pStyle w:val="NormalHanging12a"/>
      </w:pPr>
      <w:r w:rsidRPr="008561EC">
        <w:t>–</w:t>
      </w:r>
      <w:r w:rsidRPr="008561EC">
        <w:tab/>
      </w:r>
      <w:r w:rsidRPr="00AB3023">
        <w:t xml:space="preserve">atsižvelgdamas į preliminarų susitarimą, kurį atsakingas komitetas patvirtino pagal Darbo tvarkos taisyklių 75 straipsnio 4 dalį, ir į 2025 m. </w:t>
      </w:r>
      <w:r>
        <w:t>liepos</w:t>
      </w:r>
      <w:r w:rsidRPr="00AB3023">
        <w:t xml:space="preserve"> 2</w:t>
      </w:r>
      <w:r>
        <w:t>3</w:t>
      </w:r>
      <w:r w:rsidRPr="00AB3023">
        <w:t xml:space="preserve"> d. laišku Tarybos atstovo prisiimtą įsipareigojimą pritarti Parlamento pozicijai pagal Sutarties dėl Europos Sąjungos veikimo 294 straipsnio 4 dalį,</w:t>
      </w:r>
    </w:p>
    <w:p w14:paraId="151A1934" w14:textId="77777777" w:rsidR="007C7C1B" w:rsidRPr="00FD7280" w:rsidRDefault="007C7C1B" w:rsidP="007C7C1B">
      <w:pPr>
        <w:pStyle w:val="NormalHanging12a"/>
      </w:pPr>
      <w:r w:rsidRPr="00FD7280">
        <w:lastRenderedPageBreak/>
        <w:t>–</w:t>
      </w:r>
      <w:r w:rsidRPr="00FD7280">
        <w:tab/>
        <w:t>atsižvelgdamas į Darbo tvarkos taisyklių 60 ir 58 straipsnius,</w:t>
      </w:r>
    </w:p>
    <w:p w14:paraId="25458A9A" w14:textId="77777777" w:rsidR="007C7C1B" w:rsidRPr="00FD7280" w:rsidRDefault="007C7C1B" w:rsidP="007C7C1B">
      <w:pPr>
        <w:pStyle w:val="NormalHanging12a"/>
      </w:pPr>
      <w:r w:rsidRPr="00FD7280">
        <w:t>–</w:t>
      </w:r>
      <w:r w:rsidRPr="00FD7280">
        <w:tab/>
        <w:t>atsižvelgdamas į Saugumo ir gynybos komiteto nuomonę,</w:t>
      </w:r>
    </w:p>
    <w:p w14:paraId="77E2FDF3" w14:textId="77777777" w:rsidR="007C7C1B" w:rsidRPr="00FD7280" w:rsidRDefault="007C7C1B" w:rsidP="007C7C1B">
      <w:pPr>
        <w:pStyle w:val="NormalHanging12a"/>
      </w:pPr>
      <w:r w:rsidRPr="00FD7280">
        <w:t>–</w:t>
      </w:r>
      <w:r w:rsidRPr="00FD7280">
        <w:tab/>
        <w:t>atsižvelgdamas į Regioninės plėtros komiteto laišką,</w:t>
      </w:r>
    </w:p>
    <w:p w14:paraId="5A354278" w14:textId="77777777" w:rsidR="007C7C1B" w:rsidRPr="00FD7280" w:rsidRDefault="007C7C1B" w:rsidP="007C7C1B">
      <w:pPr>
        <w:pStyle w:val="NormalHanging12a"/>
      </w:pPr>
      <w:r w:rsidRPr="00FD7280">
        <w:t>–</w:t>
      </w:r>
      <w:r w:rsidRPr="00FD7280">
        <w:tab/>
        <w:t>atsižvelgdamas į Užimtumo ir socialinių reikalų komiteto pranešimą (A10-0122/2025),</w:t>
      </w:r>
    </w:p>
    <w:p w14:paraId="4843E4B6" w14:textId="77777777" w:rsidR="007C7C1B" w:rsidRDefault="007C7C1B" w:rsidP="007C7C1B">
      <w:pPr>
        <w:pStyle w:val="NormalHanging12a"/>
      </w:pPr>
      <w:r w:rsidRPr="00FD7280">
        <w:t>1.</w:t>
      </w:r>
      <w:r w:rsidRPr="00FD7280">
        <w:tab/>
        <w:t>priima per pirmąjį svarstymą toliau pateiktą poziciją;</w:t>
      </w:r>
    </w:p>
    <w:p w14:paraId="5BB8D928" w14:textId="7A7857C8" w:rsidR="003B2A29" w:rsidRPr="008479C6" w:rsidRDefault="003B2A29" w:rsidP="007C7C1B">
      <w:pPr>
        <w:pStyle w:val="NormalHanging12a"/>
        <w:rPr>
          <w:bCs/>
          <w:iCs/>
        </w:rPr>
      </w:pPr>
      <w:r w:rsidRPr="0016663E">
        <w:rPr>
          <w:bCs/>
          <w:iCs/>
        </w:rPr>
        <w:t xml:space="preserve">2. </w:t>
      </w:r>
      <w:r w:rsidRPr="0016663E">
        <w:rPr>
          <w:bCs/>
          <w:iCs/>
        </w:rPr>
        <w:tab/>
        <w:t xml:space="preserve">atsižvelgia į Komisijos pareiškimą, pridėtą prie šios rezoliucijos; jis bus paskelbtas </w:t>
      </w:r>
      <w:r w:rsidRPr="0016663E">
        <w:rPr>
          <w:bCs/>
          <w:i/>
        </w:rPr>
        <w:t>Europos Sąjungos oficialiojo leidinio</w:t>
      </w:r>
      <w:r w:rsidRPr="0016663E">
        <w:rPr>
          <w:bCs/>
          <w:iCs/>
        </w:rPr>
        <w:t xml:space="preserve"> C serijoje;</w:t>
      </w:r>
    </w:p>
    <w:p w14:paraId="6FAA0244" w14:textId="284A8849" w:rsidR="007C7C1B" w:rsidRPr="00FD7280" w:rsidRDefault="003B2A29" w:rsidP="007C7C1B">
      <w:pPr>
        <w:pStyle w:val="NormalHanging12a"/>
      </w:pPr>
      <w:r>
        <w:t>3</w:t>
      </w:r>
      <w:r w:rsidR="007C7C1B" w:rsidRPr="00FD7280">
        <w:t>.</w:t>
      </w:r>
      <w:r w:rsidR="007C7C1B" w:rsidRPr="00FD7280">
        <w:tab/>
        <w:t>ragina Komisiją dar kartą perduoti klausimą svarstyti Parlamentui, jei ji savo pasiūlymą pakeičia nauju tekstu, jį keičia iš esmės arba ketina jį keisti iš esmės;</w:t>
      </w:r>
    </w:p>
    <w:p w14:paraId="161A6927" w14:textId="4E5B2F49" w:rsidR="003B2A29" w:rsidRDefault="003B2A29" w:rsidP="007C7C1B">
      <w:pPr>
        <w:pStyle w:val="NormalHanging12a"/>
        <w:sectPr w:rsidR="003B2A29" w:rsidSect="00FD7280">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7C7C1B" w:rsidRPr="00FD7280">
        <w:t>.</w:t>
      </w:r>
      <w:r w:rsidR="007C7C1B" w:rsidRPr="00FD7280">
        <w:tab/>
        <w:t>paveda Pirmininkei perduoti Parlamento poziciją Tarybai, Komisijai ir nacionaliniams parlamentams.</w:t>
      </w:r>
    </w:p>
    <w:p w14:paraId="74B58971" w14:textId="089F899C" w:rsidR="003B2A29" w:rsidRPr="00503C02" w:rsidRDefault="003B2A29" w:rsidP="003B2A29">
      <w:pPr>
        <w:widowControl/>
        <w:spacing w:after="240"/>
        <w:rPr>
          <w:b/>
          <w:bCs/>
        </w:rPr>
      </w:pPr>
      <w:r w:rsidRPr="00503C02">
        <w:rPr>
          <w:b/>
          <w:bCs/>
        </w:rPr>
        <w:lastRenderedPageBreak/>
        <w:t>P10_TC1-COD(2025)00</w:t>
      </w:r>
      <w:r>
        <w:rPr>
          <w:b/>
          <w:bCs/>
        </w:rPr>
        <w:t>85</w:t>
      </w:r>
    </w:p>
    <w:p w14:paraId="66F119A5" w14:textId="25282947" w:rsidR="003B2A29" w:rsidRPr="003B2A29" w:rsidRDefault="003B2A29" w:rsidP="003B2A29">
      <w:pPr>
        <w:spacing w:after="240"/>
        <w:rPr>
          <w:b/>
          <w:noProof/>
        </w:rPr>
      </w:pPr>
      <w:r w:rsidRPr="003B2A29">
        <w:rPr>
          <w:b/>
        </w:rPr>
        <w:t xml:space="preserve">Europos Parlamento pozicija, priimta 2025 m. rugsėjo 10 d. per pirmąjį svarstymą, siekiant priimti Europos Parlamento ir Tarybos reglamentą (ES) 2025/..., </w:t>
      </w:r>
      <w:r w:rsidR="00F95313" w:rsidRPr="00F95313">
        <w:rPr>
          <w:b/>
        </w:rPr>
        <w:t>kuriuo iš dalies keičiamas Reglamentas (ES) 2021/1057, kuriuo nustatomas „Europos socialinis fondas +“ (ESF+), kiek tai susiję su konkrečiomis priemonėmis strateginiams uždaviniams spręsti</w:t>
      </w:r>
    </w:p>
    <w:p w14:paraId="22E6A798" w14:textId="53B8E70A" w:rsidR="00F95313" w:rsidRPr="00F95313" w:rsidRDefault="00F95313" w:rsidP="00F95313">
      <w:pPr>
        <w:spacing w:after="240"/>
        <w:rPr>
          <w:i/>
        </w:rPr>
      </w:pPr>
      <w:r w:rsidRPr="00AC73F6">
        <w:rPr>
          <w:i/>
        </w:rPr>
        <w:t xml:space="preserve">(Kadangi Parlamentas ir Taryba pasiekė susitarimą, Parlamento pozicija atitinka galutinį teisės aktą, </w:t>
      </w:r>
      <w:r w:rsidRPr="00F95313">
        <w:rPr>
          <w:i/>
        </w:rPr>
        <w:t>Reglamentą</w:t>
      </w:r>
      <w:r w:rsidRPr="00F95313">
        <w:rPr>
          <w:i/>
        </w:rPr>
        <w:t xml:space="preserve"> (ES) 20</w:t>
      </w:r>
      <w:r>
        <w:rPr>
          <w:i/>
        </w:rPr>
        <w:t>25</w:t>
      </w:r>
      <w:r w:rsidRPr="00F95313">
        <w:rPr>
          <w:i/>
        </w:rPr>
        <w:t>/1</w:t>
      </w:r>
      <w:r>
        <w:rPr>
          <w:i/>
        </w:rPr>
        <w:t>913</w:t>
      </w:r>
      <w:r w:rsidRPr="00B163C4">
        <w:rPr>
          <w:i/>
        </w:rPr>
        <w:t>.)</w:t>
      </w:r>
    </w:p>
    <w:p w14:paraId="120F92B6" w14:textId="77777777" w:rsidR="003B2A29" w:rsidRPr="00846591" w:rsidRDefault="003B2A29" w:rsidP="003B2A29">
      <w:pPr>
        <w:pStyle w:val="Institutionquisigne"/>
      </w:pPr>
    </w:p>
    <w:p w14:paraId="7A7C059D" w14:textId="77777777" w:rsidR="003B2A29" w:rsidRPr="009E2B1A" w:rsidRDefault="003B2A29" w:rsidP="003B2A29">
      <w:pPr>
        <w:pStyle w:val="NormalCenter12a"/>
      </w:pPr>
    </w:p>
    <w:p w14:paraId="5CB2AD66" w14:textId="77777777" w:rsidR="003B2A29" w:rsidRDefault="003B2A29" w:rsidP="003B2A29">
      <w:pPr>
        <w:sectPr w:rsidR="003B2A29" w:rsidSect="00FD728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6DE02E" w14:textId="5543477E" w:rsidR="003B2A29" w:rsidRPr="0016663E" w:rsidRDefault="008479C6" w:rsidP="0016663E">
      <w:pPr>
        <w:spacing w:before="120" w:after="120" w:line="360" w:lineRule="auto"/>
        <w:jc w:val="right"/>
      </w:pPr>
      <w:r w:rsidRPr="0016663E">
        <w:lastRenderedPageBreak/>
        <w:t>TEISĖKŪROS REZOLIUCIJOS PRIEDAS</w:t>
      </w:r>
    </w:p>
    <w:p w14:paraId="5E8E3455" w14:textId="68292F2A" w:rsidR="003B2A29" w:rsidRPr="00F50BAF" w:rsidRDefault="003B2A29" w:rsidP="0016663E">
      <w:pPr>
        <w:spacing w:before="120" w:after="120" w:line="360" w:lineRule="auto"/>
        <w:jc w:val="center"/>
        <w:rPr>
          <w:b/>
          <w:bCs/>
          <w:szCs w:val="24"/>
          <w:lang w:eastAsia="en-US"/>
        </w:rPr>
      </w:pPr>
      <w:r w:rsidRPr="00F50BAF">
        <w:rPr>
          <w:rFonts w:eastAsia="Aptos"/>
          <w:b/>
          <w:szCs w:val="24"/>
          <w:lang w:eastAsia="en-US"/>
        </w:rPr>
        <w:t>Komisijos pareiškimas dėl teisinės valstybės principo laikymosi, skelbiamas Reglamento (ES) 2025/</w:t>
      </w:r>
      <w:r w:rsidR="00F95313">
        <w:rPr>
          <w:rFonts w:eastAsia="Aptos"/>
          <w:b/>
          <w:szCs w:val="24"/>
          <w:lang w:eastAsia="en-US"/>
        </w:rPr>
        <w:t>1913</w:t>
      </w:r>
      <w:r w:rsidRPr="00F50BAF">
        <w:rPr>
          <w:b/>
          <w:bCs/>
          <w:szCs w:val="24"/>
          <w:vertAlign w:val="superscript"/>
          <w:lang w:val="en-IE"/>
        </w:rPr>
        <w:footnoteReference w:id="3"/>
      </w:r>
      <w:r w:rsidRPr="00F50BAF">
        <w:rPr>
          <w:rFonts w:eastAsia="Aptos"/>
          <w:b/>
          <w:szCs w:val="24"/>
          <w:lang w:eastAsia="en-US"/>
        </w:rPr>
        <w:t xml:space="preserve"> priėmimo proga</w:t>
      </w:r>
    </w:p>
    <w:p w14:paraId="4B11171C" w14:textId="2F447193" w:rsidR="003B2A29" w:rsidRPr="001A3E70" w:rsidRDefault="003B2A29" w:rsidP="0016663E">
      <w:pPr>
        <w:widowControl/>
        <w:spacing w:before="120" w:after="120" w:line="360" w:lineRule="auto"/>
      </w:pPr>
      <w:r w:rsidRPr="00F50BAF">
        <w:rPr>
          <w:rFonts w:eastAsia="Aptos"/>
          <w:szCs w:val="24"/>
          <w:lang w:eastAsia="en-US"/>
        </w:rPr>
        <w:t>Komisija pabrėžia, kad Europos Sąjungai yra itin svarbus teisinės valstybės principo laikymasis ir pagarba pagrindinėms teisėms. Komisija supranta teisėkūros institucijų ketinimą Komisijos pasiūlymo pakeitimais užtikrinti Sąjungos biudžeto apsaugą. Komisija tebėra įsipareigojusi užtikrinti, kad įgyvendinant fondų paramą būtų laikomasi teisinės valstybės principo, ir įvertins visus prašymus iš dalies pakeisti programą pagal Bendrųjų nuostatų reglamentą (BNR), Reglamentą dėl bendro Sąjungos biudžeto apsaugos sąlygų režimo ir Laikotarpio vidurio peržiūros reglamento nuostatas.</w:t>
      </w:r>
    </w:p>
    <w:p w14:paraId="40D607BB" w14:textId="77777777" w:rsidR="003B2A29" w:rsidRPr="00FD7280" w:rsidRDefault="003B2A29" w:rsidP="003B2A29"/>
    <w:sectPr w:rsidR="003B2A29" w:rsidRPr="00FD7280" w:rsidSect="00FD728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14C98" w14:textId="77777777" w:rsidR="00431BCA" w:rsidRPr="00FD7280" w:rsidRDefault="00431BCA">
      <w:r w:rsidRPr="00FD7280">
        <w:separator/>
      </w:r>
    </w:p>
  </w:endnote>
  <w:endnote w:type="continuationSeparator" w:id="0">
    <w:p w14:paraId="23CFCF55" w14:textId="77777777" w:rsidR="00431BCA" w:rsidRPr="00FD7280" w:rsidRDefault="00431BCA">
      <w:r w:rsidRPr="00FD72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BB0AA" w14:textId="77777777" w:rsidR="00431BCA" w:rsidRPr="00FD7280" w:rsidRDefault="00431BCA">
      <w:r w:rsidRPr="00FD7280">
        <w:separator/>
      </w:r>
    </w:p>
  </w:footnote>
  <w:footnote w:type="continuationSeparator" w:id="0">
    <w:p w14:paraId="2DB444D0" w14:textId="77777777" w:rsidR="00431BCA" w:rsidRPr="00FD7280" w:rsidRDefault="00431BCA">
      <w:r w:rsidRPr="00FD7280">
        <w:continuationSeparator/>
      </w:r>
    </w:p>
  </w:footnote>
  <w:footnote w:id="1">
    <w:p w14:paraId="17402423" w14:textId="3FA7DD36" w:rsidR="003968BE" w:rsidRPr="0016663E" w:rsidRDefault="003968BE" w:rsidP="003968BE">
      <w:pPr>
        <w:pStyle w:val="FootnoteText"/>
        <w:ind w:left="567" w:hanging="567"/>
        <w:rPr>
          <w:sz w:val="24"/>
          <w:szCs w:val="24"/>
          <w:lang w:val="lt-LT"/>
        </w:rPr>
      </w:pPr>
      <w:r w:rsidRPr="0016663E">
        <w:rPr>
          <w:rStyle w:val="FootnoteReference"/>
          <w:sz w:val="24"/>
          <w:szCs w:val="24"/>
          <w:lang w:val="lt-LT"/>
        </w:rPr>
        <w:footnoteRef/>
      </w:r>
      <w:r w:rsidRPr="0016663E">
        <w:rPr>
          <w:sz w:val="24"/>
          <w:szCs w:val="24"/>
          <w:lang w:val="lt-LT"/>
        </w:rPr>
        <w:t xml:space="preserve"> </w:t>
      </w:r>
      <w:r w:rsidRPr="0016663E">
        <w:rPr>
          <w:sz w:val="24"/>
          <w:szCs w:val="24"/>
          <w:lang w:val="lt-LT"/>
        </w:rPr>
        <w:tab/>
        <w:t>OL C, C/2025/3197, 2025 7 2, ELI: </w:t>
      </w:r>
      <w:hyperlink r:id="rId1" w:history="1">
        <w:r w:rsidRPr="0016663E">
          <w:rPr>
            <w:rStyle w:val="Hyperlink"/>
            <w:sz w:val="24"/>
            <w:szCs w:val="24"/>
            <w:lang w:val="lt-LT"/>
          </w:rPr>
          <w:t>http://data.europa.eu/eli/C/2025/3197/oj</w:t>
        </w:r>
      </w:hyperlink>
      <w:r w:rsidRPr="0016663E">
        <w:rPr>
          <w:sz w:val="24"/>
          <w:szCs w:val="24"/>
          <w:lang w:val="lt-LT"/>
        </w:rPr>
        <w:t>.</w:t>
      </w:r>
    </w:p>
  </w:footnote>
  <w:footnote w:id="2">
    <w:p w14:paraId="4AA67180" w14:textId="7116A10B" w:rsidR="003968BE" w:rsidRPr="0016663E" w:rsidRDefault="003968BE" w:rsidP="003968BE">
      <w:pPr>
        <w:pStyle w:val="FootnoteText"/>
        <w:ind w:left="567" w:hanging="567"/>
        <w:rPr>
          <w:sz w:val="24"/>
          <w:szCs w:val="24"/>
          <w:lang w:val="lt-LT"/>
        </w:rPr>
      </w:pPr>
      <w:r w:rsidRPr="0016663E">
        <w:rPr>
          <w:rStyle w:val="FootnoteReference"/>
          <w:sz w:val="24"/>
          <w:szCs w:val="24"/>
          <w:lang w:val="lt-LT"/>
        </w:rPr>
        <w:footnoteRef/>
      </w:r>
      <w:r w:rsidRPr="0016663E">
        <w:rPr>
          <w:sz w:val="24"/>
          <w:szCs w:val="24"/>
          <w:lang w:val="lt-LT"/>
        </w:rPr>
        <w:t xml:space="preserve"> </w:t>
      </w:r>
      <w:r w:rsidRPr="0016663E">
        <w:rPr>
          <w:sz w:val="24"/>
          <w:szCs w:val="24"/>
          <w:lang w:val="lt-LT"/>
        </w:rPr>
        <w:tab/>
        <w:t>OL C, C/2025/3474, 2025 </w:t>
      </w:r>
      <w:r w:rsidR="0043066E">
        <w:rPr>
          <w:sz w:val="24"/>
          <w:szCs w:val="24"/>
          <w:lang w:val="lt-LT"/>
        </w:rPr>
        <w:t>7</w:t>
      </w:r>
      <w:r w:rsidRPr="0016663E">
        <w:rPr>
          <w:sz w:val="24"/>
          <w:szCs w:val="24"/>
          <w:lang w:val="lt-LT"/>
        </w:rPr>
        <w:t> 1</w:t>
      </w:r>
      <w:r w:rsidR="0043066E">
        <w:rPr>
          <w:sz w:val="24"/>
          <w:szCs w:val="24"/>
          <w:lang w:val="lt-LT"/>
        </w:rPr>
        <w:t>6</w:t>
      </w:r>
      <w:r w:rsidRPr="0016663E">
        <w:rPr>
          <w:sz w:val="24"/>
          <w:szCs w:val="24"/>
          <w:lang w:val="lt-LT"/>
        </w:rPr>
        <w:t>, ELI: </w:t>
      </w:r>
      <w:hyperlink r:id="rId2" w:history="1">
        <w:r w:rsidRPr="0016663E">
          <w:rPr>
            <w:rStyle w:val="Hyperlink"/>
            <w:sz w:val="24"/>
            <w:szCs w:val="24"/>
            <w:lang w:val="lt-LT"/>
          </w:rPr>
          <w:t>http://data.europa.eu/eli/C/2025/3474/oj</w:t>
        </w:r>
      </w:hyperlink>
      <w:r w:rsidRPr="0016663E">
        <w:rPr>
          <w:sz w:val="24"/>
          <w:szCs w:val="24"/>
          <w:lang w:val="lt-LT"/>
        </w:rPr>
        <w:t>.</w:t>
      </w:r>
    </w:p>
  </w:footnote>
  <w:footnote w:id="3">
    <w:p w14:paraId="45F67430" w14:textId="21BA1720" w:rsidR="003B2A29" w:rsidRPr="0016663E" w:rsidRDefault="003B2A29" w:rsidP="003B2A29">
      <w:pPr>
        <w:pStyle w:val="FootnoteText"/>
        <w:ind w:left="567" w:hanging="567"/>
        <w:rPr>
          <w:sz w:val="24"/>
          <w:szCs w:val="24"/>
          <w:lang w:val="lt-LT"/>
        </w:rPr>
      </w:pPr>
      <w:r w:rsidRPr="0016663E">
        <w:rPr>
          <w:rStyle w:val="FootnoteReference"/>
          <w:sz w:val="24"/>
          <w:szCs w:val="24"/>
          <w:lang w:val="lt-LT"/>
        </w:rPr>
        <w:footnoteRef/>
      </w:r>
      <w:r w:rsidRPr="0016663E">
        <w:rPr>
          <w:sz w:val="24"/>
          <w:szCs w:val="24"/>
          <w:lang w:val="lt-LT"/>
        </w:rPr>
        <w:t xml:space="preserve"> </w:t>
      </w:r>
      <w:r w:rsidRPr="0016663E">
        <w:rPr>
          <w:sz w:val="24"/>
          <w:szCs w:val="24"/>
          <w:lang w:val="lt-LT"/>
        </w:rPr>
        <w:tab/>
        <w:t xml:space="preserve">OL </w:t>
      </w:r>
      <w:r w:rsidRPr="0016663E">
        <w:rPr>
          <w:sz w:val="24"/>
          <w:szCs w:val="24"/>
          <w:lang w:val="lt-LT"/>
        </w:rPr>
        <w:t>L</w:t>
      </w:r>
      <w:r w:rsidR="004644CD">
        <w:rPr>
          <w:sz w:val="24"/>
          <w:szCs w:val="24"/>
          <w:lang w:val="lt-LT"/>
        </w:rPr>
        <w:t>,</w:t>
      </w:r>
      <w:r w:rsidRPr="0016663E">
        <w:rPr>
          <w:sz w:val="24"/>
          <w:szCs w:val="24"/>
          <w:lang w:val="lt-LT"/>
        </w:rPr>
        <w:t xml:space="preserve"> </w:t>
      </w:r>
      <w:r w:rsidR="00F95313" w:rsidRPr="00F95313">
        <w:rPr>
          <w:sz w:val="24"/>
          <w:szCs w:val="24"/>
          <w:lang w:val="lt-LT"/>
        </w:rPr>
        <w:t>2025/1913, 2025</w:t>
      </w:r>
      <w:r w:rsidR="00F95313">
        <w:rPr>
          <w:sz w:val="24"/>
          <w:szCs w:val="24"/>
          <w:lang w:val="lt-LT"/>
        </w:rPr>
        <w:t xml:space="preserve"> 9 19</w:t>
      </w:r>
      <w:r w:rsidR="00F95313" w:rsidRPr="00F95313">
        <w:rPr>
          <w:sz w:val="24"/>
          <w:szCs w:val="24"/>
          <w:lang w:val="lt-LT"/>
        </w:rPr>
        <w:t xml:space="preserve">, ELI: </w:t>
      </w:r>
      <w:hyperlink r:id="rId3" w:history="1">
        <w:r w:rsidR="00F95313" w:rsidRPr="00F95313">
          <w:rPr>
            <w:rStyle w:val="Hyperlink"/>
            <w:sz w:val="24"/>
            <w:szCs w:val="24"/>
            <w:lang w:val="lt-LT"/>
          </w:rPr>
          <w:t>http://data.europa.eu/eli/reg/2025/1913/oj</w:t>
        </w:r>
      </w:hyperlink>
      <w:r w:rsidRPr="0016663E">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5073138">
    <w:abstractNumId w:val="9"/>
  </w:num>
  <w:num w:numId="2" w16cid:durableId="1060135585">
    <w:abstractNumId w:val="9"/>
  </w:num>
  <w:num w:numId="3" w16cid:durableId="1618559229">
    <w:abstractNumId w:val="7"/>
  </w:num>
  <w:num w:numId="4" w16cid:durableId="1885823472">
    <w:abstractNumId w:val="7"/>
  </w:num>
  <w:num w:numId="5" w16cid:durableId="961417827">
    <w:abstractNumId w:val="6"/>
  </w:num>
  <w:num w:numId="6" w16cid:durableId="676926119">
    <w:abstractNumId w:val="6"/>
  </w:num>
  <w:num w:numId="7" w16cid:durableId="1882741740">
    <w:abstractNumId w:val="5"/>
  </w:num>
  <w:num w:numId="8" w16cid:durableId="94447383">
    <w:abstractNumId w:val="5"/>
  </w:num>
  <w:num w:numId="9" w16cid:durableId="1216284197">
    <w:abstractNumId w:val="4"/>
  </w:num>
  <w:num w:numId="10" w16cid:durableId="1336762545">
    <w:abstractNumId w:val="4"/>
  </w:num>
  <w:num w:numId="11" w16cid:durableId="1502313209">
    <w:abstractNumId w:val="8"/>
  </w:num>
  <w:num w:numId="12" w16cid:durableId="1564364044">
    <w:abstractNumId w:val="8"/>
  </w:num>
  <w:num w:numId="13" w16cid:durableId="2023700863">
    <w:abstractNumId w:val="3"/>
  </w:num>
  <w:num w:numId="14" w16cid:durableId="617875653">
    <w:abstractNumId w:val="3"/>
  </w:num>
  <w:num w:numId="15" w16cid:durableId="1634864690">
    <w:abstractNumId w:val="2"/>
  </w:num>
  <w:num w:numId="16" w16cid:durableId="65035497">
    <w:abstractNumId w:val="2"/>
  </w:num>
  <w:num w:numId="17" w16cid:durableId="1882013595">
    <w:abstractNumId w:val="1"/>
  </w:num>
  <w:num w:numId="18" w16cid:durableId="400325254">
    <w:abstractNumId w:val="1"/>
  </w:num>
  <w:num w:numId="19" w16cid:durableId="2125730961">
    <w:abstractNumId w:val="0"/>
  </w:num>
  <w:num w:numId="20" w16cid:durableId="911432779">
    <w:abstractNumId w:val="0"/>
  </w:num>
  <w:num w:numId="21" w16cid:durableId="1058935822">
    <w:abstractNumId w:val="9"/>
  </w:num>
  <w:num w:numId="22" w16cid:durableId="991300936">
    <w:abstractNumId w:val="7"/>
  </w:num>
  <w:num w:numId="23" w16cid:durableId="1795324923">
    <w:abstractNumId w:val="6"/>
  </w:num>
  <w:num w:numId="24" w16cid:durableId="1376925557">
    <w:abstractNumId w:val="5"/>
  </w:num>
  <w:num w:numId="25" w16cid:durableId="720321660">
    <w:abstractNumId w:val="4"/>
  </w:num>
  <w:num w:numId="26" w16cid:durableId="74981821">
    <w:abstractNumId w:val="8"/>
  </w:num>
  <w:num w:numId="27" w16cid:durableId="1866089632">
    <w:abstractNumId w:val="3"/>
  </w:num>
  <w:num w:numId="28" w16cid:durableId="1798833470">
    <w:abstractNumId w:val="2"/>
  </w:num>
  <w:num w:numId="29" w16cid:durableId="2054651459">
    <w:abstractNumId w:val="1"/>
  </w:num>
  <w:num w:numId="30" w16cid:durableId="1482578256">
    <w:abstractNumId w:val="0"/>
  </w:num>
  <w:num w:numId="31" w16cid:durableId="391780782">
    <w:abstractNumId w:val="9"/>
  </w:num>
  <w:num w:numId="32" w16cid:durableId="1688100151">
    <w:abstractNumId w:val="7"/>
  </w:num>
  <w:num w:numId="33" w16cid:durableId="20014438">
    <w:abstractNumId w:val="6"/>
  </w:num>
  <w:num w:numId="34" w16cid:durableId="1746994317">
    <w:abstractNumId w:val="5"/>
  </w:num>
  <w:num w:numId="35" w16cid:durableId="1533028834">
    <w:abstractNumId w:val="4"/>
  </w:num>
  <w:num w:numId="36" w16cid:durableId="847063633">
    <w:abstractNumId w:val="8"/>
  </w:num>
  <w:num w:numId="37" w16cid:durableId="815538096">
    <w:abstractNumId w:val="3"/>
  </w:num>
  <w:num w:numId="38" w16cid:durableId="1257206310">
    <w:abstractNumId w:val="2"/>
  </w:num>
  <w:num w:numId="39" w16cid:durableId="1149707640">
    <w:abstractNumId w:val="1"/>
  </w:num>
  <w:num w:numId="40" w16cid:durableId="783959364">
    <w:abstractNumId w:val="0"/>
  </w:num>
  <w:num w:numId="41" w16cid:durableId="595138175">
    <w:abstractNumId w:val="10"/>
  </w:num>
  <w:num w:numId="42" w16cid:durableId="1764716056">
    <w:abstractNumId w:val="10"/>
  </w:num>
  <w:num w:numId="43" w16cid:durableId="1077746345">
    <w:abstractNumId w:val="10"/>
  </w:num>
  <w:num w:numId="44" w16cid:durableId="5854993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5"/>
    <w:docVar w:name="dvlangue" w:val="LT"/>
    <w:docVar w:name="dvnumam" w:val="0"/>
    <w:docVar w:name="dvpe" w:val="774.605"/>
    <w:docVar w:name="dvrapporteur" w:val="Pranešėja: "/>
    <w:docVar w:name="dvstar" w:val="***I"/>
    <w:docVar w:name="dvtitre" w:val="Europos Parlamento teisėkūros rezoliucija dėl pasiūlymo dėl Europos Parlamento ir Tarybos reglamento, kuriuo dėl konkrečių priemonių strateginiams uždaviniams spręsti iš dalies keičiamas Reglamentas (ES) 2021/1057, kuriuo nustatomas „Europos socialinis fondas +“ (ESF+)(COM(2025)0164 – C10-0064-2025 – 2025/0085(COD))"/>
  </w:docVars>
  <w:rsids>
    <w:rsidRoot w:val="00431BCA"/>
    <w:rsid w:val="00002272"/>
    <w:rsid w:val="00064002"/>
    <w:rsid w:val="000677B9"/>
    <w:rsid w:val="000831BA"/>
    <w:rsid w:val="000A42CC"/>
    <w:rsid w:val="000E7DD9"/>
    <w:rsid w:val="0010095E"/>
    <w:rsid w:val="00125B37"/>
    <w:rsid w:val="00154FC2"/>
    <w:rsid w:val="0016663E"/>
    <w:rsid w:val="00187494"/>
    <w:rsid w:val="001F32AE"/>
    <w:rsid w:val="00233447"/>
    <w:rsid w:val="002767FF"/>
    <w:rsid w:val="002B18FE"/>
    <w:rsid w:val="002B5493"/>
    <w:rsid w:val="00343214"/>
    <w:rsid w:val="00361C00"/>
    <w:rsid w:val="00395FA1"/>
    <w:rsid w:val="003968BE"/>
    <w:rsid w:val="003B2A29"/>
    <w:rsid w:val="003D7A73"/>
    <w:rsid w:val="003E15D4"/>
    <w:rsid w:val="00411CCE"/>
    <w:rsid w:val="0041666E"/>
    <w:rsid w:val="00421060"/>
    <w:rsid w:val="0043066E"/>
    <w:rsid w:val="00431BCA"/>
    <w:rsid w:val="004644CD"/>
    <w:rsid w:val="00471C19"/>
    <w:rsid w:val="004867E3"/>
    <w:rsid w:val="00494A28"/>
    <w:rsid w:val="004C0004"/>
    <w:rsid w:val="004C5D52"/>
    <w:rsid w:val="004F11D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4602"/>
    <w:rsid w:val="007C7C1B"/>
    <w:rsid w:val="007D1690"/>
    <w:rsid w:val="007E22AD"/>
    <w:rsid w:val="00817416"/>
    <w:rsid w:val="00842779"/>
    <w:rsid w:val="008479C6"/>
    <w:rsid w:val="00865F67"/>
    <w:rsid w:val="00881A7B"/>
    <w:rsid w:val="008840E5"/>
    <w:rsid w:val="00887B3E"/>
    <w:rsid w:val="008C2AC6"/>
    <w:rsid w:val="008D2397"/>
    <w:rsid w:val="00930C23"/>
    <w:rsid w:val="0093193B"/>
    <w:rsid w:val="009509D8"/>
    <w:rsid w:val="00950B64"/>
    <w:rsid w:val="00981893"/>
    <w:rsid w:val="00A11ADB"/>
    <w:rsid w:val="00A1687D"/>
    <w:rsid w:val="00A43E52"/>
    <w:rsid w:val="00A4678D"/>
    <w:rsid w:val="00A778C7"/>
    <w:rsid w:val="00AB441E"/>
    <w:rsid w:val="00AB6293"/>
    <w:rsid w:val="00AE0928"/>
    <w:rsid w:val="00AE3E79"/>
    <w:rsid w:val="00AF3B82"/>
    <w:rsid w:val="00B12E95"/>
    <w:rsid w:val="00B22876"/>
    <w:rsid w:val="00B558F0"/>
    <w:rsid w:val="00B64C51"/>
    <w:rsid w:val="00BD48FE"/>
    <w:rsid w:val="00BD7BD8"/>
    <w:rsid w:val="00BE6ADC"/>
    <w:rsid w:val="00C05BFE"/>
    <w:rsid w:val="00C22AE4"/>
    <w:rsid w:val="00C23CD4"/>
    <w:rsid w:val="00C61C0C"/>
    <w:rsid w:val="00C717DC"/>
    <w:rsid w:val="00C941CB"/>
    <w:rsid w:val="00CC2357"/>
    <w:rsid w:val="00CF071A"/>
    <w:rsid w:val="00D058B8"/>
    <w:rsid w:val="00D56C11"/>
    <w:rsid w:val="00D834A0"/>
    <w:rsid w:val="00D872DF"/>
    <w:rsid w:val="00D91E21"/>
    <w:rsid w:val="00DA7FCD"/>
    <w:rsid w:val="00DD7B2F"/>
    <w:rsid w:val="00DF7B34"/>
    <w:rsid w:val="00E365E1"/>
    <w:rsid w:val="00E820A4"/>
    <w:rsid w:val="00E87FD2"/>
    <w:rsid w:val="00E925A2"/>
    <w:rsid w:val="00EB006A"/>
    <w:rsid w:val="00EB4772"/>
    <w:rsid w:val="00ED169E"/>
    <w:rsid w:val="00ED4235"/>
    <w:rsid w:val="00EE2742"/>
    <w:rsid w:val="00F04346"/>
    <w:rsid w:val="00F075DC"/>
    <w:rsid w:val="00F149E9"/>
    <w:rsid w:val="00F5134D"/>
    <w:rsid w:val="00F71A33"/>
    <w:rsid w:val="00F74202"/>
    <w:rsid w:val="00F87713"/>
    <w:rsid w:val="00F95313"/>
    <w:rsid w:val="00FB4360"/>
    <w:rsid w:val="00FD0C70"/>
    <w:rsid w:val="00FD72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F9CBA"/>
  <w15:chartTrackingRefBased/>
  <w15:docId w15:val="{441A890D-BEE6-4677-94C5-F660A18E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C7C1B"/>
    <w:pPr>
      <w:spacing w:after="120"/>
    </w:pPr>
  </w:style>
  <w:style w:type="paragraph" w:customStyle="1" w:styleId="NormalBold">
    <w:name w:val="NormalBold"/>
    <w:basedOn w:val="Normal"/>
    <w:link w:val="NormalBoldChar"/>
    <w:rsid w:val="007C7C1B"/>
    <w:rPr>
      <w:b/>
    </w:rPr>
  </w:style>
  <w:style w:type="paragraph" w:customStyle="1" w:styleId="NormalHanging12a">
    <w:name w:val="NormalHanging12a"/>
    <w:basedOn w:val="Normal"/>
    <w:rsid w:val="007C7C1B"/>
    <w:pPr>
      <w:spacing w:after="240"/>
      <w:ind w:left="567" w:hanging="567"/>
    </w:pPr>
  </w:style>
  <w:style w:type="paragraph" w:customStyle="1" w:styleId="AmColumnHeading">
    <w:name w:val="AmColumnHeading"/>
    <w:basedOn w:val="Normal"/>
    <w:rsid w:val="007C7C1B"/>
    <w:pPr>
      <w:spacing w:after="240"/>
      <w:jc w:val="center"/>
    </w:pPr>
    <w:rPr>
      <w:i/>
    </w:rPr>
  </w:style>
  <w:style w:type="paragraph" w:customStyle="1" w:styleId="AmNumberTabs">
    <w:name w:val="AmNumberTabs"/>
    <w:basedOn w:val="Normal"/>
    <w:rsid w:val="007C7C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C7C1B"/>
    <w:pPr>
      <w:spacing w:before="240"/>
    </w:pPr>
    <w:rPr>
      <w:b/>
    </w:rPr>
  </w:style>
  <w:style w:type="paragraph" w:customStyle="1" w:styleId="EPComma">
    <w:name w:val="EPComma"/>
    <w:basedOn w:val="Normal"/>
    <w:rsid w:val="007C7C1B"/>
    <w:pPr>
      <w:spacing w:before="480" w:after="240"/>
    </w:pPr>
  </w:style>
  <w:style w:type="character" w:customStyle="1" w:styleId="NormalBoldChar">
    <w:name w:val="NormalBold Char"/>
    <w:basedOn w:val="DefaultParagraphFont"/>
    <w:link w:val="NormalBold"/>
    <w:locked/>
    <w:rsid w:val="007C7C1B"/>
    <w:rPr>
      <w:b/>
      <w:sz w:val="24"/>
      <w:lang w:val="lt-LT"/>
    </w:rPr>
  </w:style>
  <w:style w:type="character" w:customStyle="1" w:styleId="Normal6Char">
    <w:name w:val="Normal6 Char"/>
    <w:basedOn w:val="DefaultParagraphFont"/>
    <w:link w:val="Normal6"/>
    <w:locked/>
    <w:rsid w:val="007C7C1B"/>
    <w:rPr>
      <w:sz w:val="24"/>
      <w:lang w:val="lt-LT"/>
    </w:rPr>
  </w:style>
  <w:style w:type="paragraph" w:customStyle="1" w:styleId="Normal6">
    <w:name w:val="Normal6"/>
    <w:basedOn w:val="Normal"/>
    <w:link w:val="Normal6Char"/>
    <w:rsid w:val="007C7C1B"/>
    <w:pPr>
      <w:spacing w:after="120"/>
    </w:pPr>
  </w:style>
  <w:style w:type="paragraph" w:customStyle="1" w:styleId="ColumnHeading">
    <w:name w:val="ColumnHeading"/>
    <w:basedOn w:val="Normal"/>
    <w:rsid w:val="007C7C1B"/>
    <w:pPr>
      <w:spacing w:after="240"/>
      <w:jc w:val="center"/>
    </w:pPr>
    <w:rPr>
      <w:i/>
    </w:rPr>
  </w:style>
  <w:style w:type="paragraph" w:customStyle="1" w:styleId="Normal12Italic">
    <w:name w:val="Normal12Italic"/>
    <w:basedOn w:val="Normal"/>
    <w:rsid w:val="007C7C1B"/>
    <w:pPr>
      <w:spacing w:after="240"/>
    </w:pPr>
    <w:rPr>
      <w:i/>
      <w:noProof/>
    </w:rPr>
  </w:style>
  <w:style w:type="paragraph" w:customStyle="1" w:styleId="JustificationTitle">
    <w:name w:val="JustificationTitle"/>
    <w:basedOn w:val="Normal"/>
    <w:next w:val="Normal"/>
    <w:rsid w:val="007C7C1B"/>
    <w:pPr>
      <w:keepNext/>
      <w:spacing w:before="240" w:after="240"/>
      <w:jc w:val="center"/>
    </w:pPr>
    <w:rPr>
      <w:i/>
      <w:noProof/>
    </w:rPr>
  </w:style>
  <w:style w:type="paragraph" w:styleId="Revision">
    <w:name w:val="Revision"/>
    <w:hidden/>
    <w:uiPriority w:val="99"/>
    <w:semiHidden/>
    <w:rsid w:val="00C22AE4"/>
    <w:rPr>
      <w:sz w:val="24"/>
      <w:lang w:val="lt-LT"/>
    </w:rPr>
  </w:style>
  <w:style w:type="character" w:styleId="Hyperlink">
    <w:name w:val="Hyperlink"/>
    <w:basedOn w:val="DefaultParagraphFont"/>
    <w:uiPriority w:val="99"/>
    <w:rsid w:val="00C22AE4"/>
    <w:rPr>
      <w:color w:val="0563C1" w:themeColor="hyperlink"/>
      <w:u w:val="single"/>
    </w:rPr>
  </w:style>
  <w:style w:type="character" w:styleId="UnresolvedMention">
    <w:name w:val="Unresolved Mention"/>
    <w:basedOn w:val="DefaultParagraphFont"/>
    <w:uiPriority w:val="99"/>
    <w:semiHidden/>
    <w:unhideWhenUsed/>
    <w:rsid w:val="00C22AE4"/>
    <w:rPr>
      <w:color w:val="605E5C"/>
      <w:shd w:val="clear" w:color="auto" w:fill="E1DFDD"/>
    </w:rPr>
  </w:style>
  <w:style w:type="character" w:styleId="CommentReference">
    <w:name w:val="annotation reference"/>
    <w:basedOn w:val="DefaultParagraphFont"/>
    <w:rsid w:val="00DF7B34"/>
    <w:rPr>
      <w:sz w:val="16"/>
      <w:szCs w:val="16"/>
    </w:rPr>
  </w:style>
  <w:style w:type="paragraph" w:styleId="CommentText">
    <w:name w:val="annotation text"/>
    <w:basedOn w:val="Normal"/>
    <w:link w:val="CommentTextChar"/>
    <w:rsid w:val="00DF7B34"/>
    <w:rPr>
      <w:sz w:val="20"/>
    </w:rPr>
  </w:style>
  <w:style w:type="character" w:customStyle="1" w:styleId="CommentTextChar">
    <w:name w:val="Comment Text Char"/>
    <w:basedOn w:val="DefaultParagraphFont"/>
    <w:link w:val="CommentText"/>
    <w:rsid w:val="00DF7B34"/>
    <w:rPr>
      <w:lang w:val="lt-LT"/>
    </w:rPr>
  </w:style>
  <w:style w:type="paragraph" w:styleId="CommentSubject">
    <w:name w:val="annotation subject"/>
    <w:basedOn w:val="CommentText"/>
    <w:next w:val="CommentText"/>
    <w:link w:val="CommentSubjectChar"/>
    <w:rsid w:val="00DF7B34"/>
    <w:rPr>
      <w:b/>
      <w:bCs/>
    </w:rPr>
  </w:style>
  <w:style w:type="character" w:customStyle="1" w:styleId="CommentSubjectChar">
    <w:name w:val="Comment Subject Char"/>
    <w:basedOn w:val="CommentTextChar"/>
    <w:link w:val="CommentSubject"/>
    <w:rsid w:val="00DF7B34"/>
    <w:rPr>
      <w:b/>
      <w:bCs/>
      <w:lang w:val="lt-LT"/>
    </w:rPr>
  </w:style>
  <w:style w:type="paragraph" w:customStyle="1" w:styleId="NormalCenter12a">
    <w:name w:val="NormalCenter12a"/>
    <w:basedOn w:val="Normal"/>
    <w:rsid w:val="003B2A29"/>
    <w:pPr>
      <w:spacing w:after="240"/>
      <w:jc w:val="center"/>
    </w:pPr>
  </w:style>
  <w:style w:type="paragraph" w:customStyle="1" w:styleId="Text1">
    <w:name w:val="Text 1"/>
    <w:basedOn w:val="Normal"/>
    <w:rsid w:val="003B2A29"/>
    <w:pPr>
      <w:widowControl/>
      <w:spacing w:before="120" w:after="120"/>
      <w:ind w:left="850"/>
      <w:jc w:val="both"/>
    </w:pPr>
    <w:rPr>
      <w:rFonts w:eastAsiaTheme="minorHAnsi"/>
      <w:szCs w:val="22"/>
      <w:lang w:eastAsia="en-US"/>
    </w:rPr>
  </w:style>
  <w:style w:type="paragraph" w:customStyle="1" w:styleId="Point0">
    <w:name w:val="Point 0"/>
    <w:basedOn w:val="Normal"/>
    <w:rsid w:val="003B2A29"/>
    <w:pPr>
      <w:widowControl/>
      <w:spacing w:before="120" w:after="120"/>
      <w:ind w:left="850" w:hanging="850"/>
      <w:jc w:val="both"/>
    </w:pPr>
    <w:rPr>
      <w:rFonts w:eastAsiaTheme="minorHAnsi"/>
      <w:szCs w:val="22"/>
      <w:lang w:eastAsia="en-US"/>
    </w:rPr>
  </w:style>
  <w:style w:type="paragraph" w:customStyle="1" w:styleId="Point1">
    <w:name w:val="Point 1"/>
    <w:basedOn w:val="Normal"/>
    <w:rsid w:val="003B2A2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B2A29"/>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3B2A29"/>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3B2A2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B2A2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B2A2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B2A2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B2A29"/>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B2A29"/>
    <w:pPr>
      <w:widowControl/>
      <w:tabs>
        <w:tab w:val="left" w:pos="4252"/>
      </w:tabs>
    </w:pPr>
    <w:rPr>
      <w:rFonts w:eastAsiaTheme="minorHAnsi"/>
      <w:i/>
      <w:szCs w:val="22"/>
      <w:lang w:eastAsia="en-US"/>
    </w:rPr>
  </w:style>
  <w:style w:type="paragraph" w:customStyle="1" w:styleId="Statut">
    <w:name w:val="Statut"/>
    <w:basedOn w:val="Normal"/>
    <w:next w:val="Typedudocument"/>
    <w:rsid w:val="003B2A29"/>
    <w:pPr>
      <w:widowControl/>
      <w:spacing w:before="360"/>
      <w:jc w:val="center"/>
    </w:pPr>
    <w:rPr>
      <w:rFonts w:eastAsiaTheme="minorHAnsi"/>
      <w:szCs w:val="22"/>
      <w:lang w:eastAsia="en-US"/>
    </w:rPr>
  </w:style>
  <w:style w:type="paragraph" w:customStyle="1" w:styleId="Titrearticle">
    <w:name w:val="Titre article"/>
    <w:basedOn w:val="Normal"/>
    <w:next w:val="Normal"/>
    <w:rsid w:val="003B2A29"/>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3B2A2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B2A29"/>
    <w:pPr>
      <w:widowControl/>
      <w:spacing w:before="360"/>
      <w:jc w:val="center"/>
    </w:pPr>
    <w:rPr>
      <w:rFonts w:eastAsiaTheme="minorHAnsi"/>
      <w:b/>
      <w:szCs w:val="22"/>
      <w:lang w:eastAsia="en-US"/>
    </w:rPr>
  </w:style>
  <w:style w:type="paragraph" w:customStyle="1" w:styleId="Lignefinal">
    <w:name w:val="Ligne final"/>
    <w:basedOn w:val="Normal"/>
    <w:next w:val="Normal"/>
    <w:rsid w:val="003B2A29"/>
    <w:pPr>
      <w:widowControl/>
      <w:pBdr>
        <w:bottom w:val="single" w:sz="4" w:space="0" w:color="000000"/>
      </w:pBdr>
      <w:spacing w:before="360" w:after="120" w:line="360" w:lineRule="auto"/>
      <w:ind w:left="3400" w:right="3400"/>
      <w:jc w:val="center"/>
    </w:pPr>
    <w:rPr>
      <w:rFonts w:eastAsiaTheme="minorHAns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3/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421</Words>
  <Characters>3135</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2025-10-21T08:37:00Z</dcterms:created>
  <dcterms:modified xsi:type="dcterms:W3CDTF">2025-10-21T08:37:00Z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P10_TA(2025)0176_</vt:lpwstr>
  </property>
  <property fmtid="{D5CDD505-2E9C-101B-9397-08002B2CF9AE}" pid="4" name="&lt;Type&gt;">
    <vt:lpwstr>RR</vt:lpwstr>
  </property>
</Properties>
</file>