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23D0" w14:paraId="1336D8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A48C47" w14:textId="73340D05" w:rsidR="00751A4A" w:rsidRPr="00E023D0" w:rsidRDefault="00481EEB" w:rsidP="0010095E">
            <w:pPr>
              <w:pStyle w:val="EPName"/>
            </w:pPr>
            <w:r w:rsidRPr="00E023D0">
              <w:t>Europski parlament</w:t>
            </w:r>
          </w:p>
          <w:p w14:paraId="7DA63F67" w14:textId="77777777" w:rsidR="00751A4A" w:rsidRPr="00E023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23D0">
              <w:t>2024</w:t>
            </w:r>
            <w:r w:rsidR="00817416" w:rsidRPr="00E023D0">
              <w:t>-202</w:t>
            </w:r>
            <w:r w:rsidRPr="00E023D0">
              <w:t>9</w:t>
            </w:r>
          </w:p>
        </w:tc>
        <w:tc>
          <w:tcPr>
            <w:tcW w:w="2268" w:type="dxa"/>
            <w:shd w:val="clear" w:color="auto" w:fill="auto"/>
          </w:tcPr>
          <w:p w14:paraId="6DDB5ACA" w14:textId="77777777" w:rsidR="00751A4A" w:rsidRPr="00E023D0" w:rsidRDefault="00187494" w:rsidP="0010095E">
            <w:pPr>
              <w:pStyle w:val="EPLogo"/>
            </w:pPr>
            <w:r w:rsidRPr="00E023D0">
              <w:rPr>
                <w:noProof/>
                <w:lang w:eastAsia="ja-JP"/>
              </w:rPr>
              <w:drawing>
                <wp:inline distT="0" distB="0" distL="0" distR="0" wp14:anchorId="077F118D" wp14:editId="30D1149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193D0A" w14:textId="77777777" w:rsidR="00D058B8" w:rsidRPr="00E023D0" w:rsidRDefault="00D058B8" w:rsidP="004C5D52">
      <w:pPr>
        <w:pStyle w:val="LineTop"/>
      </w:pPr>
    </w:p>
    <w:p w14:paraId="75477D00" w14:textId="0B856347" w:rsidR="00680577" w:rsidRPr="00E023D0" w:rsidRDefault="00481EEB" w:rsidP="00680577">
      <w:pPr>
        <w:pStyle w:val="EPBodyTA1"/>
      </w:pPr>
      <w:r w:rsidRPr="00E023D0">
        <w:t>USVOJENI TEKSTOVI</w:t>
      </w:r>
    </w:p>
    <w:p w14:paraId="52935712" w14:textId="77777777" w:rsidR="00D058B8" w:rsidRPr="00E023D0" w:rsidRDefault="00D058B8" w:rsidP="00D058B8">
      <w:pPr>
        <w:pStyle w:val="LineBottom"/>
      </w:pPr>
    </w:p>
    <w:p w14:paraId="61EEE9A9" w14:textId="132DCD5A" w:rsidR="00481EEB" w:rsidRPr="00E023D0" w:rsidRDefault="00481EEB" w:rsidP="00481EEB">
      <w:pPr>
        <w:pStyle w:val="ATHeading1"/>
      </w:pPr>
      <w:bookmarkStart w:id="0" w:name="TANumber"/>
      <w:r w:rsidRPr="00E023D0">
        <w:t>P10_TA(2025)0</w:t>
      </w:r>
      <w:r w:rsidR="00814D18">
        <w:t>177</w:t>
      </w:r>
      <w:bookmarkEnd w:id="0"/>
    </w:p>
    <w:p w14:paraId="5A65AE99" w14:textId="44B13CC4" w:rsidR="00481EEB" w:rsidRPr="00E023D0" w:rsidRDefault="00862CB4" w:rsidP="00481EEB">
      <w:pPr>
        <w:pStyle w:val="ATHeading2"/>
      </w:pPr>
      <w:bookmarkStart w:id="1" w:name="title"/>
      <w:r>
        <w:t xml:space="preserve">Izmjene </w:t>
      </w:r>
      <w:r w:rsidRPr="00862CB4">
        <w:t>Europsko</w:t>
      </w:r>
      <w:r>
        <w:t>g</w:t>
      </w:r>
      <w:r w:rsidRPr="00862CB4">
        <w:t xml:space="preserve"> fond</w:t>
      </w:r>
      <w:r>
        <w:t>a</w:t>
      </w:r>
      <w:r w:rsidRPr="00862CB4">
        <w:t xml:space="preserve"> za regionalni razvoj</w:t>
      </w:r>
      <w:r>
        <w:t>,</w:t>
      </w:r>
      <w:r w:rsidRPr="00862CB4">
        <w:t xml:space="preserve"> Kohezijsko</w:t>
      </w:r>
      <w:r>
        <w:t>g</w:t>
      </w:r>
      <w:r w:rsidRPr="00862CB4">
        <w:t xml:space="preserve"> fond</w:t>
      </w:r>
      <w:r>
        <w:t xml:space="preserve">a i </w:t>
      </w:r>
      <w:r w:rsidRPr="00862CB4">
        <w:t>Fonda za pravednu tranziciju</w:t>
      </w:r>
      <w:bookmarkEnd w:id="1"/>
      <w:r>
        <w:t xml:space="preserve"> </w:t>
      </w:r>
      <w:r w:rsidRPr="00862CB4">
        <w:t>u pogledu posebnih mjera za svladavanje strateških izazova u kontekstu preispitivanja u sredini programskog razdoblja</w:t>
      </w:r>
    </w:p>
    <w:p w14:paraId="45C65603" w14:textId="77777777" w:rsidR="00481EEB" w:rsidRPr="00E023D0" w:rsidRDefault="00481EEB" w:rsidP="00481EEB">
      <w:pPr>
        <w:rPr>
          <w:i/>
          <w:vanish/>
        </w:rPr>
      </w:pPr>
      <w:r w:rsidRPr="00E023D0">
        <w:rPr>
          <w:i/>
        </w:rPr>
        <w:fldChar w:fldCharType="begin"/>
      </w:r>
      <w:r w:rsidRPr="00E023D0">
        <w:rPr>
          <w:i/>
        </w:rPr>
        <w:instrText xml:space="preserve"> TC"(</w:instrText>
      </w:r>
      <w:bookmarkStart w:id="2" w:name="DocNumber"/>
      <w:r w:rsidRPr="00E023D0">
        <w:rPr>
          <w:i/>
        </w:rPr>
        <w:instrText>A10-0129/2025</w:instrText>
      </w:r>
      <w:bookmarkEnd w:id="2"/>
      <w:r w:rsidRPr="00E023D0">
        <w:rPr>
          <w:i/>
        </w:rPr>
        <w:instrText xml:space="preserve"> - Izvjestitelj: </w:instrText>
      </w:r>
      <w:proofErr w:type="spellStart"/>
      <w:r w:rsidRPr="00E023D0">
        <w:rPr>
          <w:i/>
        </w:rPr>
        <w:instrText>Dragoş</w:instrText>
      </w:r>
      <w:proofErr w:type="spellEnd"/>
      <w:r w:rsidRPr="00E023D0">
        <w:rPr>
          <w:i/>
        </w:rPr>
        <w:instrText xml:space="preserve"> </w:instrText>
      </w:r>
      <w:proofErr w:type="spellStart"/>
      <w:r w:rsidRPr="00E023D0">
        <w:rPr>
          <w:i/>
        </w:rPr>
        <w:instrText>Benea</w:instrText>
      </w:r>
      <w:proofErr w:type="spellEnd"/>
      <w:r w:rsidRPr="00E023D0">
        <w:rPr>
          <w:i/>
        </w:rPr>
        <w:instrText xml:space="preserve">)"\l3 \n&gt; \* MERGEFORMAT </w:instrText>
      </w:r>
      <w:r w:rsidRPr="00E023D0">
        <w:rPr>
          <w:i/>
        </w:rPr>
        <w:fldChar w:fldCharType="end"/>
      </w:r>
    </w:p>
    <w:p w14:paraId="43C32B78" w14:textId="77777777" w:rsidR="00481EEB" w:rsidRPr="00E023D0" w:rsidRDefault="00481EEB" w:rsidP="00481EEB">
      <w:pPr>
        <w:rPr>
          <w:vanish/>
        </w:rPr>
      </w:pPr>
      <w:bookmarkStart w:id="3" w:name="Commission"/>
      <w:r w:rsidRPr="00E023D0">
        <w:rPr>
          <w:vanish/>
        </w:rPr>
        <w:t>Odbor za regionalni razvoj</w:t>
      </w:r>
      <w:bookmarkEnd w:id="3"/>
    </w:p>
    <w:p w14:paraId="51DB6092" w14:textId="77777777" w:rsidR="00481EEB" w:rsidRPr="00E023D0" w:rsidRDefault="00481EEB" w:rsidP="00481EEB">
      <w:pPr>
        <w:rPr>
          <w:vanish/>
        </w:rPr>
      </w:pPr>
      <w:bookmarkStart w:id="4" w:name="PE"/>
      <w:r w:rsidRPr="00E023D0">
        <w:rPr>
          <w:vanish/>
        </w:rPr>
        <w:t>PE774.518</w:t>
      </w:r>
      <w:bookmarkEnd w:id="4"/>
    </w:p>
    <w:p w14:paraId="132C2014" w14:textId="23013B2E" w:rsidR="00481EEB" w:rsidRPr="00E023D0" w:rsidRDefault="00481EEB" w:rsidP="00481EEB">
      <w:pPr>
        <w:pStyle w:val="ATHeading3"/>
      </w:pPr>
      <w:bookmarkStart w:id="5" w:name="Sujet"/>
      <w:r w:rsidRPr="00E023D0">
        <w:t xml:space="preserve">Zakonodavna rezolucija Europskog parlamenta od </w:t>
      </w:r>
      <w:r w:rsidR="00862CB4">
        <w:t>10. rujna</w:t>
      </w:r>
      <w:r w:rsidRPr="00E023D0">
        <w:t xml:space="preserve"> 2025. o Prijedlogu uredbe Europskog parlamenta i Vijeća o izmjeni uredaba (EU) 2021/1058 i (EU) 2021/1056 u pogledu posebnih mjera za svladavanje strateških izazova u kontekstu preispitivanja u sredini programskog razdoblja</w:t>
      </w:r>
      <w:bookmarkEnd w:id="5"/>
      <w:r w:rsidRPr="00E023D0">
        <w:t xml:space="preserve"> </w:t>
      </w:r>
      <w:bookmarkStart w:id="6" w:name="References"/>
      <w:r w:rsidRPr="00E023D0">
        <w:t>(COM(2025)0123 – C10-0063/2025 – 2025/0084(COD))</w:t>
      </w:r>
      <w:bookmarkEnd w:id="6"/>
    </w:p>
    <w:p w14:paraId="4449434F" w14:textId="77777777" w:rsidR="00481EEB" w:rsidRPr="00E023D0" w:rsidRDefault="00481EEB" w:rsidP="00481EEB"/>
    <w:p w14:paraId="7A7967B1" w14:textId="77777777" w:rsidR="00360652" w:rsidRPr="00E023D0" w:rsidRDefault="00360652" w:rsidP="00360652">
      <w:pPr>
        <w:pStyle w:val="NormalBold"/>
      </w:pPr>
      <w:bookmarkStart w:id="7" w:name="TextBodyBegin"/>
      <w:bookmarkEnd w:id="7"/>
      <w:r w:rsidRPr="00E023D0">
        <w:t>(Redovni zakonodavni postupak: prvo čitanje)</w:t>
      </w:r>
    </w:p>
    <w:p w14:paraId="1E8BE3A5" w14:textId="77777777" w:rsidR="00360652" w:rsidRPr="00E023D0" w:rsidRDefault="00360652" w:rsidP="00360652">
      <w:pPr>
        <w:pStyle w:val="EPComma"/>
      </w:pPr>
      <w:r w:rsidRPr="00E023D0">
        <w:rPr>
          <w:i/>
        </w:rPr>
        <w:t>Europski parlament</w:t>
      </w:r>
      <w:r w:rsidRPr="00E023D0">
        <w:t>,</w:t>
      </w:r>
    </w:p>
    <w:p w14:paraId="77A8EB9B" w14:textId="77777777" w:rsidR="00360652" w:rsidRPr="00E023D0" w:rsidRDefault="00360652" w:rsidP="00360652">
      <w:pPr>
        <w:pStyle w:val="NormalHanging12a"/>
      </w:pPr>
      <w:r w:rsidRPr="00E023D0">
        <w:t>–</w:t>
      </w:r>
      <w:r w:rsidRPr="00E023D0">
        <w:tab/>
        <w:t>uzimajući u obzir Prijedlog Komisije upućen Europskom parlamentu i Vijeću (COM(2025)0123),</w:t>
      </w:r>
    </w:p>
    <w:p w14:paraId="2663A221" w14:textId="77777777" w:rsidR="00360652" w:rsidRPr="00E023D0" w:rsidRDefault="00360652" w:rsidP="00360652">
      <w:pPr>
        <w:pStyle w:val="NormalHanging12a"/>
      </w:pPr>
      <w:r w:rsidRPr="00E023D0">
        <w:t>–</w:t>
      </w:r>
      <w:r w:rsidRPr="00E023D0">
        <w:tab/>
        <w:t>uzimajući u obzir članak 294. stavak 2. i članke 175., 177., 178. i 322. Ugovora o funkcioniranju Europske unije, u skladu s kojima je Komisija podnijela Prijedlog Parlamentu (C10</w:t>
      </w:r>
      <w:r w:rsidRPr="00E023D0">
        <w:noBreakHyphen/>
        <w:t>0063/2025),</w:t>
      </w:r>
    </w:p>
    <w:p w14:paraId="574F998A" w14:textId="77777777" w:rsidR="00360652" w:rsidRPr="00E023D0" w:rsidRDefault="00360652" w:rsidP="00360652">
      <w:pPr>
        <w:pStyle w:val="NormalHanging12a"/>
      </w:pPr>
      <w:r w:rsidRPr="00E023D0">
        <w:t>–</w:t>
      </w:r>
      <w:r w:rsidRPr="00E023D0">
        <w:tab/>
        <w:t>uzimajući u obzir članak 294. stavak 3. Ugovora o funkcioniranju Europske unije,</w:t>
      </w:r>
    </w:p>
    <w:p w14:paraId="23C21CE6" w14:textId="77777777" w:rsidR="00360652" w:rsidRPr="00E023D0" w:rsidRDefault="00360652" w:rsidP="00360652">
      <w:pPr>
        <w:pStyle w:val="NormalHanging12a"/>
      </w:pPr>
      <w:r w:rsidRPr="00E023D0">
        <w:t>–</w:t>
      </w:r>
      <w:r w:rsidRPr="00E023D0">
        <w:tab/>
        <w:t>uzimajući u obzir proračunsku procjenu koju je donio Odbor za proračune,</w:t>
      </w:r>
    </w:p>
    <w:p w14:paraId="68DB6E42" w14:textId="693178F7" w:rsidR="00360652" w:rsidRPr="00E023D0" w:rsidRDefault="00360652" w:rsidP="00360652">
      <w:pPr>
        <w:pStyle w:val="NormalHanging12a"/>
      </w:pPr>
      <w:r w:rsidRPr="00E023D0">
        <w:t>–</w:t>
      </w:r>
      <w:r w:rsidRPr="00E023D0">
        <w:tab/>
        <w:t>uzimajući u obzir mišljenje Europskog</w:t>
      </w:r>
      <w:r w:rsidR="00A27E35">
        <w:t>a</w:t>
      </w:r>
      <w:r w:rsidRPr="00E023D0">
        <w:t xml:space="preserve"> gospodarskog i socijalnog odbora od 29. travnja 2025.</w:t>
      </w:r>
      <w:r w:rsidRPr="00E023D0">
        <w:rPr>
          <w:rStyle w:val="FootnoteReference"/>
        </w:rPr>
        <w:footnoteReference w:id="1"/>
      </w:r>
      <w:r w:rsidRPr="00E023D0">
        <w:t>,</w:t>
      </w:r>
    </w:p>
    <w:p w14:paraId="4521B77D" w14:textId="77777777" w:rsidR="00360652" w:rsidRDefault="00360652" w:rsidP="00360652">
      <w:pPr>
        <w:pStyle w:val="NormalHanging12a"/>
      </w:pPr>
      <w:r w:rsidRPr="00E023D0">
        <w:t>–</w:t>
      </w:r>
      <w:r w:rsidRPr="00E023D0">
        <w:tab/>
        <w:t>uzimajući u obzir mišljenje Odbora regija od 15. svibnja 2025.</w:t>
      </w:r>
      <w:r w:rsidRPr="00E023D0">
        <w:rPr>
          <w:rStyle w:val="FootnoteReference"/>
        </w:rPr>
        <w:footnoteReference w:id="2"/>
      </w:r>
      <w:r w:rsidRPr="00E023D0">
        <w:t>,</w:t>
      </w:r>
    </w:p>
    <w:p w14:paraId="1440E783" w14:textId="11A45CA9" w:rsidR="004F0FC7" w:rsidRPr="00E023D0" w:rsidRDefault="004F0FC7" w:rsidP="00360652">
      <w:pPr>
        <w:pStyle w:val="NormalHanging12a"/>
      </w:pPr>
      <w:r w:rsidRPr="00D90AEB">
        <w:t>–</w:t>
      </w:r>
      <w:r w:rsidRPr="00D90AEB">
        <w:tab/>
      </w:r>
      <w:r w:rsidRPr="00B87296">
        <w:t xml:space="preserve">uzimajući u obzir privremeni sporazum koji je odobrio nadležni odbor u skladu s člankom 74. stavkom 4. Poslovnika te činjenicu da se predstavnik Vijeća pismom od </w:t>
      </w:r>
      <w:r>
        <w:t>23</w:t>
      </w:r>
      <w:r w:rsidRPr="00B87296">
        <w:t xml:space="preserve">. </w:t>
      </w:r>
      <w:r>
        <w:t>srp</w:t>
      </w:r>
      <w:r w:rsidRPr="00B87296">
        <w:t>nja 202</w:t>
      </w:r>
      <w:r>
        <w:t>5</w:t>
      </w:r>
      <w:r w:rsidRPr="00B87296">
        <w:t xml:space="preserve">. obvezao prihvatiti stajalište Europskog parlamenta u skladu s člankom </w:t>
      </w:r>
      <w:r w:rsidRPr="00B87296">
        <w:lastRenderedPageBreak/>
        <w:t>294. stavkom 4. Ugovora o funkcioniranju Europske unije</w:t>
      </w:r>
      <w:r>
        <w:t>,</w:t>
      </w:r>
    </w:p>
    <w:p w14:paraId="39890443" w14:textId="77777777" w:rsidR="00360652" w:rsidRPr="00E023D0" w:rsidRDefault="00360652" w:rsidP="00360652">
      <w:pPr>
        <w:pStyle w:val="NormalHanging12a"/>
      </w:pPr>
      <w:r w:rsidRPr="00E023D0">
        <w:t>–</w:t>
      </w:r>
      <w:r w:rsidRPr="00E023D0">
        <w:tab/>
        <w:t>uzimajući u obzir članke 60. i 58. Poslovnika,</w:t>
      </w:r>
    </w:p>
    <w:p w14:paraId="58754D9D" w14:textId="77777777" w:rsidR="00360652" w:rsidRPr="00E023D0" w:rsidRDefault="00360652" w:rsidP="00360652">
      <w:pPr>
        <w:pStyle w:val="NormalHanging12a"/>
      </w:pPr>
      <w:r w:rsidRPr="00E023D0">
        <w:t>–</w:t>
      </w:r>
      <w:r w:rsidRPr="00E023D0">
        <w:tab/>
        <w:t>uzimajući u obzir mišljenje Odbora za sigurnost i obranu,</w:t>
      </w:r>
    </w:p>
    <w:p w14:paraId="272F609F" w14:textId="77777777" w:rsidR="00360652" w:rsidRPr="00E023D0" w:rsidRDefault="00360652" w:rsidP="00360652">
      <w:pPr>
        <w:pStyle w:val="NormalHanging12a"/>
      </w:pPr>
      <w:r w:rsidRPr="00E023D0">
        <w:t>–</w:t>
      </w:r>
      <w:r w:rsidRPr="00E023D0">
        <w:tab/>
        <w:t>uzimajući u obzir pisma Odbora za okoliš, klimu i sigurnost hrane i Odbora za promet i turizam,</w:t>
      </w:r>
    </w:p>
    <w:p w14:paraId="5F9A6C68" w14:textId="77777777" w:rsidR="00360652" w:rsidRPr="00E023D0" w:rsidRDefault="00360652" w:rsidP="00360652">
      <w:pPr>
        <w:pStyle w:val="NormalHanging12a"/>
      </w:pPr>
      <w:r w:rsidRPr="00E023D0">
        <w:t>–</w:t>
      </w:r>
      <w:r w:rsidRPr="00E023D0">
        <w:tab/>
        <w:t>uzimajući u obzir izvješće Odbora za regionalni razvoj (A10</w:t>
      </w:r>
      <w:r w:rsidRPr="00E023D0">
        <w:noBreakHyphen/>
        <w:t>0129/2025),</w:t>
      </w:r>
    </w:p>
    <w:p w14:paraId="423DB7E9" w14:textId="4C582D81" w:rsidR="00360652" w:rsidRDefault="00360652" w:rsidP="00360652">
      <w:pPr>
        <w:pStyle w:val="NormalHanging12a"/>
      </w:pPr>
      <w:r w:rsidRPr="00E023D0">
        <w:t>1.</w:t>
      </w:r>
      <w:r w:rsidRPr="00E023D0">
        <w:tab/>
        <w:t xml:space="preserve">usvaja </w:t>
      </w:r>
      <w:r w:rsidR="00A27E35">
        <w:t>niže navedeno</w:t>
      </w:r>
      <w:r w:rsidR="00A27E35" w:rsidRPr="00E023D0">
        <w:t xml:space="preserve"> </w:t>
      </w:r>
      <w:r w:rsidRPr="00E023D0">
        <w:t>stajalište u prvom čitanju;</w:t>
      </w:r>
    </w:p>
    <w:p w14:paraId="0B2CCAFA" w14:textId="7D174CA9" w:rsidR="008D7828" w:rsidRPr="00E023D0" w:rsidRDefault="008D7828" w:rsidP="00360652">
      <w:pPr>
        <w:pStyle w:val="NormalHanging12a"/>
      </w:pPr>
      <w:r>
        <w:t>2.</w:t>
      </w:r>
      <w:r>
        <w:tab/>
      </w:r>
      <w:r w:rsidR="00D867D1" w:rsidRPr="00D867D1">
        <w:t xml:space="preserve">prima na znanje izjavu Komisije priloženu ovoj Rezoluciji, koja će se objaviti u seriji C </w:t>
      </w:r>
      <w:r w:rsidR="00D867D1" w:rsidRPr="00712C5F">
        <w:rPr>
          <w:i/>
          <w:iCs/>
        </w:rPr>
        <w:t>Službenog lista Europske unije</w:t>
      </w:r>
      <w:r w:rsidR="00D867D1" w:rsidRPr="00D867D1">
        <w:t>;</w:t>
      </w:r>
    </w:p>
    <w:p w14:paraId="54C52F39" w14:textId="6DD681EE" w:rsidR="00360652" w:rsidRPr="00E023D0" w:rsidRDefault="008D7828" w:rsidP="00360652">
      <w:pPr>
        <w:pStyle w:val="NormalHanging12a"/>
      </w:pPr>
      <w:r>
        <w:t>3</w:t>
      </w:r>
      <w:r w:rsidR="00360652" w:rsidRPr="00E023D0">
        <w:t>.</w:t>
      </w:r>
      <w:r w:rsidR="00360652" w:rsidRPr="00E023D0">
        <w:tab/>
        <w:t>poziva Komisiju da predmet ponovno uputi Parlamentu ako zamijeni, bitno izmijeni ili namjerava bitno izmijeniti svoj Prijedlog;</w:t>
      </w:r>
    </w:p>
    <w:p w14:paraId="2BB185C9" w14:textId="59438005" w:rsidR="00360652" w:rsidRPr="00E023D0" w:rsidRDefault="008D7828" w:rsidP="00360652">
      <w:pPr>
        <w:pStyle w:val="NormalHanging12a"/>
      </w:pPr>
      <w:r>
        <w:t>4</w:t>
      </w:r>
      <w:r w:rsidR="00360652" w:rsidRPr="00E023D0">
        <w:t>.</w:t>
      </w:r>
      <w:r w:rsidR="00360652" w:rsidRPr="00E023D0">
        <w:tab/>
        <w:t>nalaže svojoj predsjednici da stajalište Parlamenta proslijedi Vijeću, Komisiji i nacionalnim parlamentima.</w:t>
      </w:r>
    </w:p>
    <w:p w14:paraId="6E9B942F" w14:textId="77777777" w:rsidR="00814D18" w:rsidRDefault="00814D18" w:rsidP="008D7828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814D18" w:rsidSect="00E023D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D76DDBE" w14:textId="02AEB954" w:rsidR="008D7828" w:rsidRPr="005072F8" w:rsidRDefault="008D7828" w:rsidP="008D782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072F8">
        <w:rPr>
          <w:b/>
          <w:bCs/>
          <w:color w:val="000000"/>
        </w:rPr>
        <w:lastRenderedPageBreak/>
        <w:t>P10_TC1-COD(2025)0084</w:t>
      </w:r>
    </w:p>
    <w:p w14:paraId="0DF96AE2" w14:textId="4606CBE7" w:rsidR="004F0FC7" w:rsidRPr="004F0FC7" w:rsidRDefault="004F0FC7" w:rsidP="00706ECB">
      <w:pPr>
        <w:pStyle w:val="AmHeadingConsam"/>
        <w:spacing w:before="240"/>
        <w:jc w:val="left"/>
        <w:rPr>
          <w:rFonts w:eastAsia="Calibri"/>
          <w:b/>
          <w:szCs w:val="24"/>
          <w:lang w:eastAsia="en-US"/>
        </w:rPr>
      </w:pPr>
      <w:r w:rsidRPr="00B87296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>
        <w:rPr>
          <w:rFonts w:eastAsia="Calibri"/>
          <w:b/>
          <w:szCs w:val="24"/>
          <w:lang w:eastAsia="en-US"/>
        </w:rPr>
        <w:t>10</w:t>
      </w:r>
      <w:r w:rsidRPr="00B87296">
        <w:rPr>
          <w:rFonts w:eastAsia="Calibri"/>
          <w:b/>
          <w:szCs w:val="24"/>
          <w:lang w:eastAsia="en-US"/>
        </w:rPr>
        <w:t xml:space="preserve">. </w:t>
      </w:r>
      <w:r>
        <w:rPr>
          <w:rFonts w:eastAsia="Calibri"/>
          <w:b/>
          <w:szCs w:val="24"/>
          <w:lang w:eastAsia="en-US"/>
        </w:rPr>
        <w:t xml:space="preserve">rujna </w:t>
      </w:r>
      <w:r w:rsidRPr="00B87296">
        <w:rPr>
          <w:rFonts w:eastAsia="Calibri"/>
          <w:b/>
          <w:szCs w:val="24"/>
          <w:lang w:eastAsia="en-US"/>
        </w:rPr>
        <w:t>202</w:t>
      </w:r>
      <w:r>
        <w:rPr>
          <w:rFonts w:eastAsia="Calibri"/>
          <w:b/>
          <w:szCs w:val="24"/>
          <w:lang w:eastAsia="en-US"/>
        </w:rPr>
        <w:t>5</w:t>
      </w:r>
      <w:r w:rsidRPr="00B87296">
        <w:rPr>
          <w:rFonts w:eastAsia="Calibri"/>
          <w:b/>
          <w:szCs w:val="24"/>
          <w:lang w:eastAsia="en-US"/>
        </w:rPr>
        <w:t xml:space="preserve">. radi donošenja </w:t>
      </w:r>
      <w:r>
        <w:rPr>
          <w:rFonts w:eastAsia="Calibri"/>
          <w:b/>
          <w:szCs w:val="24"/>
          <w:lang w:eastAsia="en-US"/>
        </w:rPr>
        <w:t>Uredbe</w:t>
      </w:r>
      <w:r w:rsidRPr="00B87296">
        <w:rPr>
          <w:rFonts w:eastAsia="Calibri"/>
          <w:b/>
          <w:szCs w:val="24"/>
          <w:lang w:eastAsia="en-US"/>
        </w:rPr>
        <w:t xml:space="preserve"> (EU) 202</w:t>
      </w:r>
      <w:r>
        <w:rPr>
          <w:rFonts w:eastAsia="Calibri"/>
          <w:b/>
          <w:szCs w:val="24"/>
          <w:lang w:eastAsia="en-US"/>
        </w:rPr>
        <w:t>5</w:t>
      </w:r>
      <w:r w:rsidRPr="00B87296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4F0FC7">
        <w:rPr>
          <w:rFonts w:eastAsia="Calibri"/>
          <w:b/>
          <w:szCs w:val="24"/>
          <w:lang w:eastAsia="en-US"/>
        </w:rPr>
        <w:t>o izmjeni uredaba (EU) 2021/1058 i (EU) 2021/1056 u pogledu posebnih mjera za svladavanje strateških izazova u kontekstu preispitivanja u sredini programskog razdoblja</w:t>
      </w:r>
    </w:p>
    <w:p w14:paraId="44C56DA6" w14:textId="70C897BC" w:rsidR="004F0FC7" w:rsidRPr="004F0FC7" w:rsidRDefault="00F34E5C" w:rsidP="00F34E5C">
      <w:pPr>
        <w:widowControl/>
        <w:tabs>
          <w:tab w:val="left" w:pos="4253"/>
        </w:tabs>
        <w:rPr>
          <w:rFonts w:eastAsia="Calibri"/>
          <w:i/>
          <w:szCs w:val="24"/>
          <w:lang w:eastAsia="en-US"/>
        </w:rPr>
      </w:pPr>
      <w:r w:rsidRPr="003C35D6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="00DD6313">
        <w:rPr>
          <w:rFonts w:eastAsia="Calibri"/>
          <w:i/>
          <w:szCs w:val="24"/>
          <w:lang w:eastAsia="en-US"/>
        </w:rPr>
        <w:t xml:space="preserve">(EU) </w:t>
      </w:r>
      <w:r w:rsidRPr="00F34E5C">
        <w:rPr>
          <w:rFonts w:eastAsia="Calibri"/>
          <w:i/>
          <w:szCs w:val="24"/>
          <w:lang w:eastAsia="en-US"/>
        </w:rPr>
        <w:t>2025/1914</w:t>
      </w:r>
      <w:r>
        <w:rPr>
          <w:rFonts w:eastAsia="Calibri"/>
          <w:i/>
          <w:szCs w:val="24"/>
          <w:lang w:eastAsia="en-US"/>
        </w:rPr>
        <w:t>.)</w:t>
      </w:r>
    </w:p>
    <w:p w14:paraId="650C6041" w14:textId="2874DAB7" w:rsidR="00F34E5C" w:rsidRDefault="00F34E5C" w:rsidP="004F0FC7">
      <w:pPr>
        <w:widowControl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br w:type="page"/>
      </w:r>
    </w:p>
    <w:p w14:paraId="72EFE2A3" w14:textId="3F4C533A" w:rsidR="009577FF" w:rsidRDefault="009577FF" w:rsidP="00706ECB">
      <w:pPr>
        <w:spacing w:before="120" w:after="240"/>
        <w:jc w:val="right"/>
      </w:pPr>
      <w:r>
        <w:lastRenderedPageBreak/>
        <w:t>PRILOG ZAKONODAVNOJ REZOLUCIJI</w:t>
      </w:r>
    </w:p>
    <w:p w14:paraId="0EF27F55" w14:textId="5C5EC26E" w:rsidR="004F0FC7" w:rsidRPr="004F0FC7" w:rsidRDefault="004F0FC7" w:rsidP="00706ECB">
      <w:pPr>
        <w:spacing w:before="240" w:after="240"/>
        <w:jc w:val="center"/>
        <w:rPr>
          <w:b/>
          <w:bCs/>
          <w:szCs w:val="24"/>
          <w:lang w:eastAsia="en-US"/>
        </w:rPr>
      </w:pPr>
      <w:r w:rsidRPr="004F0FC7">
        <w:t>„</w:t>
      </w:r>
      <w:r w:rsidRPr="004F0FC7">
        <w:rPr>
          <w:rFonts w:eastAsia="Aptos"/>
          <w:b/>
          <w:szCs w:val="24"/>
          <w:lang w:eastAsia="en-US"/>
        </w:rPr>
        <w:t>Izjava Komisije o poštovanju vladavine prava prilikom donošenja Uredbe (EU) 2025/</w:t>
      </w:r>
      <w:r w:rsidR="00F34E5C">
        <w:rPr>
          <w:rFonts w:eastAsia="Aptos"/>
          <w:b/>
          <w:szCs w:val="24"/>
          <w:lang w:eastAsia="en-US"/>
        </w:rPr>
        <w:t>1914</w:t>
      </w:r>
      <w:r w:rsidRPr="004F0FC7">
        <w:rPr>
          <w:rFonts w:eastAsia="Aptos"/>
          <w:b/>
          <w:szCs w:val="24"/>
          <w:vertAlign w:val="superscript"/>
          <w:lang w:eastAsia="en-US"/>
        </w:rPr>
        <w:footnoteReference w:id="3"/>
      </w:r>
    </w:p>
    <w:p w14:paraId="4179A0B4" w14:textId="0AFB7A3B" w:rsidR="004F0FC7" w:rsidRPr="004F0FC7" w:rsidRDefault="004F0FC7" w:rsidP="00706ECB">
      <w:pPr>
        <w:widowControl/>
        <w:spacing w:before="120" w:after="120" w:line="360" w:lineRule="auto"/>
      </w:pPr>
      <w:r w:rsidRPr="004F0FC7">
        <w:rPr>
          <w:rFonts w:eastAsia="Aptos"/>
          <w:szCs w:val="24"/>
          <w:lang w:eastAsia="en-US"/>
        </w:rPr>
        <w:t xml:space="preserve">Komisija naglašava da je poštovanje vladavine prava i temeljnih prava od iznimne važnosti za Europsku uniju. Komisija razumije namjeru </w:t>
      </w:r>
      <w:proofErr w:type="spellStart"/>
      <w:r w:rsidRPr="004F0FC7">
        <w:rPr>
          <w:rFonts w:eastAsia="Aptos"/>
          <w:szCs w:val="24"/>
          <w:lang w:eastAsia="en-US"/>
        </w:rPr>
        <w:t>suzakonodavaca</w:t>
      </w:r>
      <w:proofErr w:type="spellEnd"/>
      <w:r w:rsidRPr="004F0FC7">
        <w:rPr>
          <w:rFonts w:eastAsia="Aptos"/>
          <w:szCs w:val="24"/>
          <w:lang w:eastAsia="en-US"/>
        </w:rPr>
        <w:t xml:space="preserve"> da osiguraju zaštitu proračuna Unije svojim izmjenama prijedloga Komisije. Komisija je i dalje predana osiguravanju poštovanja vladavine prava u izvršavanju sredstava te će ocijeniti sve zahtjeve za izmjene programa u skladu s Uredbom o zajedničkim odredbama, Uredbom o uvjetovanosti u pogledu vladavine prava i odredbama Uredbe o preispitivanju u sredini programskog razdoblja.</w:t>
      </w:r>
      <w:r w:rsidRPr="004F0FC7">
        <w:t>”</w:t>
      </w:r>
    </w:p>
    <w:p w14:paraId="26D58D7C" w14:textId="77777777" w:rsidR="004F0FC7" w:rsidRPr="004F0FC7" w:rsidRDefault="004F0FC7" w:rsidP="004F0FC7">
      <w:pPr>
        <w:spacing w:after="240"/>
        <w:jc w:val="center"/>
      </w:pPr>
    </w:p>
    <w:p w14:paraId="4EF0E266" w14:textId="0BEB4C7C" w:rsidR="00E365E1" w:rsidRPr="00E023D0" w:rsidRDefault="00E365E1" w:rsidP="00706ECB">
      <w:pPr>
        <w:spacing w:before="240" w:after="240"/>
        <w:jc w:val="right"/>
      </w:pPr>
    </w:p>
    <w:sectPr w:rsidR="00E365E1" w:rsidRPr="00E023D0" w:rsidSect="00E023D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9C9CC" w14:textId="77777777" w:rsidR="00481EEB" w:rsidRPr="00E023D0" w:rsidRDefault="00481EEB">
      <w:r w:rsidRPr="00E023D0">
        <w:separator/>
      </w:r>
    </w:p>
  </w:endnote>
  <w:endnote w:type="continuationSeparator" w:id="0">
    <w:p w14:paraId="1728C6C8" w14:textId="77777777" w:rsidR="00481EEB" w:rsidRPr="00E023D0" w:rsidRDefault="00481EEB">
      <w:r w:rsidRPr="00E023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6B859" w14:textId="77777777" w:rsidR="00064002" w:rsidRPr="00E023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CB20B" w14:textId="77777777" w:rsidR="00064002" w:rsidRPr="00E023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4E0CE" w14:textId="77777777" w:rsidR="00064002" w:rsidRPr="00E023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D45DD" w14:textId="77777777" w:rsidR="00481EEB" w:rsidRPr="00E023D0" w:rsidRDefault="00481EEB">
      <w:r w:rsidRPr="00E023D0">
        <w:separator/>
      </w:r>
    </w:p>
  </w:footnote>
  <w:footnote w:type="continuationSeparator" w:id="0">
    <w:p w14:paraId="70D9B7D2" w14:textId="77777777" w:rsidR="00481EEB" w:rsidRPr="00E023D0" w:rsidRDefault="00481EEB">
      <w:r w:rsidRPr="00E023D0">
        <w:continuationSeparator/>
      </w:r>
    </w:p>
  </w:footnote>
  <w:footnote w:id="1">
    <w:p w14:paraId="6CFEEDF8" w14:textId="3932701A" w:rsidR="00360652" w:rsidRPr="00E023D0" w:rsidRDefault="00360652" w:rsidP="00E023D0">
      <w:pPr>
        <w:pStyle w:val="FootnoteText"/>
        <w:ind w:left="567" w:hanging="567"/>
        <w:rPr>
          <w:sz w:val="24"/>
          <w:lang w:val="hr-HR"/>
        </w:rPr>
      </w:pPr>
      <w:r w:rsidRPr="00E023D0">
        <w:rPr>
          <w:rStyle w:val="FootnoteReference"/>
          <w:sz w:val="24"/>
          <w:lang w:val="hr-HR"/>
        </w:rPr>
        <w:footnoteRef/>
      </w:r>
      <w:r w:rsidR="00E023D0" w:rsidRPr="00E023D0">
        <w:rPr>
          <w:sz w:val="24"/>
          <w:lang w:val="hr-HR"/>
        </w:rPr>
        <w:t xml:space="preserve"> </w:t>
      </w:r>
      <w:r w:rsidR="00E023D0" w:rsidRPr="00E023D0">
        <w:rPr>
          <w:sz w:val="24"/>
          <w:lang w:val="hr-HR"/>
        </w:rPr>
        <w:tab/>
      </w:r>
      <w:r w:rsidRPr="00E023D0">
        <w:rPr>
          <w:sz w:val="24"/>
          <w:lang w:val="hr-HR"/>
        </w:rPr>
        <w:t xml:space="preserve">SL </w:t>
      </w:r>
      <w:r w:rsidR="004F0FC7" w:rsidRPr="007A5407">
        <w:rPr>
          <w:sz w:val="24"/>
          <w:szCs w:val="24"/>
          <w:lang w:val="fi-FI"/>
        </w:rPr>
        <w:t>C, C/2025/3197, 2.7.2025</w:t>
      </w:r>
      <w:r w:rsidR="004F0FC7">
        <w:rPr>
          <w:sz w:val="24"/>
          <w:szCs w:val="24"/>
          <w:lang w:val="fi-FI"/>
        </w:rPr>
        <w:t>.</w:t>
      </w:r>
      <w:r w:rsidR="004F0FC7" w:rsidRPr="007A5407">
        <w:rPr>
          <w:sz w:val="24"/>
          <w:szCs w:val="24"/>
          <w:lang w:val="fi-FI"/>
        </w:rPr>
        <w:t xml:space="preserve">, ELI: </w:t>
      </w:r>
      <w:hyperlink r:id="rId1" w:tooltip="Gives access to this document through its ELI URI." w:history="1">
        <w:r w:rsidR="004F0FC7" w:rsidRPr="007A5407">
          <w:rPr>
            <w:rStyle w:val="Hyperlink"/>
            <w:sz w:val="24"/>
            <w:szCs w:val="24"/>
            <w:lang w:val="fi-FI"/>
          </w:rPr>
          <w:t>http://data.europa.eu/eli/C/2025/3197/oj</w:t>
        </w:r>
      </w:hyperlink>
      <w:r w:rsidR="004F0FC7">
        <w:rPr>
          <w:sz w:val="24"/>
          <w:szCs w:val="24"/>
          <w:lang w:val="fi-FI"/>
        </w:rPr>
        <w:t>.</w:t>
      </w:r>
    </w:p>
  </w:footnote>
  <w:footnote w:id="2">
    <w:p w14:paraId="0B3B65F3" w14:textId="3941D19E" w:rsidR="00360652" w:rsidRPr="00E023D0" w:rsidRDefault="00360652" w:rsidP="00E023D0">
      <w:pPr>
        <w:pStyle w:val="FootnoteText"/>
        <w:ind w:left="567" w:hanging="567"/>
        <w:rPr>
          <w:sz w:val="24"/>
          <w:lang w:val="hr-HR"/>
        </w:rPr>
      </w:pPr>
      <w:r w:rsidRPr="00E023D0">
        <w:rPr>
          <w:rStyle w:val="FootnoteReference"/>
          <w:sz w:val="24"/>
          <w:lang w:val="hr-HR"/>
        </w:rPr>
        <w:footnoteRef/>
      </w:r>
      <w:r w:rsidR="00E023D0" w:rsidRPr="00E023D0">
        <w:rPr>
          <w:sz w:val="24"/>
          <w:lang w:val="hr-HR"/>
        </w:rPr>
        <w:t xml:space="preserve"> </w:t>
      </w:r>
      <w:r w:rsidR="00E023D0" w:rsidRPr="00E023D0">
        <w:rPr>
          <w:sz w:val="24"/>
          <w:lang w:val="hr-HR"/>
        </w:rPr>
        <w:tab/>
      </w:r>
      <w:r w:rsidRPr="00E023D0">
        <w:rPr>
          <w:sz w:val="24"/>
          <w:lang w:val="hr-HR"/>
        </w:rPr>
        <w:t xml:space="preserve">SL </w:t>
      </w:r>
      <w:r w:rsidR="004F0FC7" w:rsidRPr="007A5407">
        <w:rPr>
          <w:sz w:val="24"/>
          <w:szCs w:val="24"/>
          <w:lang w:val="fi-FI"/>
        </w:rPr>
        <w:t>C, C/2025/3474, 16.7.2025</w:t>
      </w:r>
      <w:r w:rsidR="004F0FC7">
        <w:rPr>
          <w:sz w:val="24"/>
          <w:szCs w:val="24"/>
          <w:lang w:val="fi-FI"/>
        </w:rPr>
        <w:t>.</w:t>
      </w:r>
      <w:r w:rsidR="004F0FC7" w:rsidRPr="007A5407">
        <w:rPr>
          <w:sz w:val="24"/>
          <w:szCs w:val="24"/>
          <w:lang w:val="fi-FI"/>
        </w:rPr>
        <w:t xml:space="preserve">, ELI: </w:t>
      </w:r>
      <w:r w:rsidR="00DD6313">
        <w:fldChar w:fldCharType="begin"/>
      </w:r>
      <w:r w:rsidR="00DD6313" w:rsidRPr="00DD6313">
        <w:rPr>
          <w:lang w:val="fi-FI"/>
        </w:rPr>
        <w:instrText>HYPERLINK "http://data.europa.eu/eli/C/2025/3474/oj"</w:instrText>
      </w:r>
      <w:r w:rsidR="00DD6313">
        <w:fldChar w:fldCharType="separate"/>
      </w:r>
      <w:r w:rsidR="004F0FC7" w:rsidRPr="005E7263">
        <w:rPr>
          <w:rStyle w:val="Hyperlink"/>
          <w:sz w:val="24"/>
          <w:szCs w:val="24"/>
          <w:lang w:val="fi-FI"/>
        </w:rPr>
        <w:t>http://data.europa.eu/eli/C/2025/3474/oj</w:t>
      </w:r>
      <w:r w:rsidR="00DD6313">
        <w:rPr>
          <w:rStyle w:val="Hyperlink"/>
          <w:sz w:val="24"/>
          <w:szCs w:val="24"/>
          <w:lang w:val="fi-FI"/>
        </w:rPr>
        <w:fldChar w:fldCharType="end"/>
      </w:r>
      <w:r w:rsidR="004F0FC7">
        <w:rPr>
          <w:szCs w:val="24"/>
          <w:lang w:val="fi-FI"/>
        </w:rPr>
        <w:t>.</w:t>
      </w:r>
    </w:p>
  </w:footnote>
  <w:footnote w:id="3">
    <w:p w14:paraId="7216E178" w14:textId="6006B694" w:rsidR="004F0FC7" w:rsidRPr="00F34E5C" w:rsidRDefault="004F0FC7" w:rsidP="004F0FC7">
      <w:pPr>
        <w:pStyle w:val="FootnoteText"/>
        <w:rPr>
          <w:lang w:val="fi-FI"/>
        </w:rPr>
      </w:pPr>
      <w:r w:rsidRPr="0019488A">
        <w:rPr>
          <w:rStyle w:val="FootnoteReference"/>
        </w:rPr>
        <w:footnoteRef/>
      </w:r>
      <w:r w:rsidRPr="00F34E5C">
        <w:rPr>
          <w:lang w:val="fi-FI"/>
        </w:rPr>
        <w:t xml:space="preserve"> </w:t>
      </w:r>
      <w:r w:rsidRPr="00F34E5C">
        <w:rPr>
          <w:lang w:val="fi-FI"/>
        </w:rPr>
        <w:tab/>
      </w:r>
      <w:r w:rsidRPr="00F34E5C">
        <w:rPr>
          <w:sz w:val="24"/>
          <w:szCs w:val="24"/>
          <w:lang w:val="fi-FI"/>
        </w:rPr>
        <w:t xml:space="preserve">SL </w:t>
      </w:r>
      <w:r w:rsidR="00F34E5C" w:rsidRPr="00F34E5C">
        <w:rPr>
          <w:sz w:val="24"/>
          <w:szCs w:val="24"/>
          <w:lang w:val="fi-FI"/>
        </w:rPr>
        <w:t>L, 2025/1914, 19.9.2025</w:t>
      </w:r>
      <w:r w:rsidR="00F34E5C">
        <w:rPr>
          <w:sz w:val="24"/>
          <w:szCs w:val="24"/>
          <w:lang w:val="fi-FI"/>
        </w:rPr>
        <w:t>.</w:t>
      </w:r>
      <w:r w:rsidR="00F34E5C" w:rsidRPr="00F34E5C">
        <w:rPr>
          <w:sz w:val="24"/>
          <w:szCs w:val="24"/>
          <w:lang w:val="fi-FI"/>
        </w:rPr>
        <w:t xml:space="preserve">, ELI: </w:t>
      </w:r>
      <w:r w:rsidR="00DD6313">
        <w:fldChar w:fldCharType="begin"/>
      </w:r>
      <w:r w:rsidR="00DD6313" w:rsidRPr="00DD6313">
        <w:rPr>
          <w:lang w:val="fi-FI"/>
        </w:rPr>
        <w:instrText>HYPERLINK "http://data.europa.eu/eli/reg/2025/1914/oj"</w:instrText>
      </w:r>
      <w:r w:rsidR="00DD6313">
        <w:fldChar w:fldCharType="separate"/>
      </w:r>
      <w:r w:rsidR="00F34E5C" w:rsidRPr="00F34E5C">
        <w:rPr>
          <w:rStyle w:val="Hyperlink"/>
          <w:sz w:val="24"/>
          <w:szCs w:val="24"/>
          <w:lang w:val="fi-FI"/>
        </w:rPr>
        <w:t>http://data.europa.eu/eli/reg/2025/1914/oj</w:t>
      </w:r>
      <w:r w:rsidR="00DD6313">
        <w:rPr>
          <w:rStyle w:val="Hyperlink"/>
          <w:sz w:val="24"/>
          <w:szCs w:val="24"/>
          <w:lang w:val="fi-FI"/>
        </w:rPr>
        <w:fldChar w:fldCharType="end"/>
      </w:r>
      <w:r w:rsidR="00F34E5C" w:rsidRPr="00F34E5C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1ECA2" w14:textId="77777777" w:rsidR="00064002" w:rsidRPr="00E023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01665" w14:textId="77777777" w:rsidR="00064002" w:rsidRPr="00E023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5D400" w14:textId="77777777" w:rsidR="00064002" w:rsidRPr="00E023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6393675">
    <w:abstractNumId w:val="9"/>
  </w:num>
  <w:num w:numId="2" w16cid:durableId="1402756330">
    <w:abstractNumId w:val="9"/>
  </w:num>
  <w:num w:numId="3" w16cid:durableId="621545348">
    <w:abstractNumId w:val="7"/>
  </w:num>
  <w:num w:numId="4" w16cid:durableId="881865012">
    <w:abstractNumId w:val="7"/>
  </w:num>
  <w:num w:numId="5" w16cid:durableId="1999573687">
    <w:abstractNumId w:val="6"/>
  </w:num>
  <w:num w:numId="6" w16cid:durableId="2107923527">
    <w:abstractNumId w:val="6"/>
  </w:num>
  <w:num w:numId="7" w16cid:durableId="2004353536">
    <w:abstractNumId w:val="5"/>
  </w:num>
  <w:num w:numId="8" w16cid:durableId="1296136222">
    <w:abstractNumId w:val="5"/>
  </w:num>
  <w:num w:numId="9" w16cid:durableId="1834680401">
    <w:abstractNumId w:val="4"/>
  </w:num>
  <w:num w:numId="10" w16cid:durableId="2117871796">
    <w:abstractNumId w:val="4"/>
  </w:num>
  <w:num w:numId="11" w16cid:durableId="1755009482">
    <w:abstractNumId w:val="8"/>
  </w:num>
  <w:num w:numId="12" w16cid:durableId="637227095">
    <w:abstractNumId w:val="8"/>
  </w:num>
  <w:num w:numId="13" w16cid:durableId="1395271260">
    <w:abstractNumId w:val="3"/>
  </w:num>
  <w:num w:numId="14" w16cid:durableId="1109277132">
    <w:abstractNumId w:val="3"/>
  </w:num>
  <w:num w:numId="15" w16cid:durableId="226839437">
    <w:abstractNumId w:val="2"/>
  </w:num>
  <w:num w:numId="16" w16cid:durableId="1452165430">
    <w:abstractNumId w:val="2"/>
  </w:num>
  <w:num w:numId="17" w16cid:durableId="43137858">
    <w:abstractNumId w:val="1"/>
  </w:num>
  <w:num w:numId="18" w16cid:durableId="816141478">
    <w:abstractNumId w:val="1"/>
  </w:num>
  <w:num w:numId="19" w16cid:durableId="549343904">
    <w:abstractNumId w:val="0"/>
  </w:num>
  <w:num w:numId="20" w16cid:durableId="1030031770">
    <w:abstractNumId w:val="0"/>
  </w:num>
  <w:num w:numId="21" w16cid:durableId="1148595044">
    <w:abstractNumId w:val="9"/>
  </w:num>
  <w:num w:numId="22" w16cid:durableId="294143422">
    <w:abstractNumId w:val="7"/>
  </w:num>
  <w:num w:numId="23" w16cid:durableId="1131092310">
    <w:abstractNumId w:val="6"/>
  </w:num>
  <w:num w:numId="24" w16cid:durableId="1507941372">
    <w:abstractNumId w:val="5"/>
  </w:num>
  <w:num w:numId="25" w16cid:durableId="642737170">
    <w:abstractNumId w:val="4"/>
  </w:num>
  <w:num w:numId="26" w16cid:durableId="1330790684">
    <w:abstractNumId w:val="8"/>
  </w:num>
  <w:num w:numId="27" w16cid:durableId="865404517">
    <w:abstractNumId w:val="3"/>
  </w:num>
  <w:num w:numId="28" w16cid:durableId="436601608">
    <w:abstractNumId w:val="2"/>
  </w:num>
  <w:num w:numId="29" w16cid:durableId="1073041348">
    <w:abstractNumId w:val="1"/>
  </w:num>
  <w:num w:numId="30" w16cid:durableId="1181817201">
    <w:abstractNumId w:val="0"/>
  </w:num>
  <w:num w:numId="31" w16cid:durableId="648755447">
    <w:abstractNumId w:val="9"/>
  </w:num>
  <w:num w:numId="32" w16cid:durableId="1722365289">
    <w:abstractNumId w:val="7"/>
  </w:num>
  <w:num w:numId="33" w16cid:durableId="1812285238">
    <w:abstractNumId w:val="6"/>
  </w:num>
  <w:num w:numId="34" w16cid:durableId="1831017979">
    <w:abstractNumId w:val="5"/>
  </w:num>
  <w:num w:numId="35" w16cid:durableId="1027021063">
    <w:abstractNumId w:val="4"/>
  </w:num>
  <w:num w:numId="36" w16cid:durableId="885986662">
    <w:abstractNumId w:val="8"/>
  </w:num>
  <w:num w:numId="37" w16cid:durableId="428355387">
    <w:abstractNumId w:val="3"/>
  </w:num>
  <w:num w:numId="38" w16cid:durableId="1881892015">
    <w:abstractNumId w:val="2"/>
  </w:num>
  <w:num w:numId="39" w16cid:durableId="298806613">
    <w:abstractNumId w:val="1"/>
  </w:num>
  <w:num w:numId="40" w16cid:durableId="1307470353">
    <w:abstractNumId w:val="0"/>
  </w:num>
  <w:num w:numId="41" w16cid:durableId="1305543367">
    <w:abstractNumId w:val="10"/>
  </w:num>
  <w:num w:numId="42" w16cid:durableId="473180287">
    <w:abstractNumId w:val="10"/>
  </w:num>
  <w:num w:numId="43" w16cid:durableId="875503955">
    <w:abstractNumId w:val="10"/>
  </w:num>
  <w:num w:numId="44" w16cid:durableId="1385432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9/2025"/>
    <w:docVar w:name="dvlangue" w:val="HR"/>
    <w:docVar w:name="dvnumam" w:val="0"/>
    <w:docVar w:name="dvpe" w:val="774.518"/>
    <w:docVar w:name="dvrapporteur" w:val="Izvjestitelj: "/>
    <w:docVar w:name="dvstar" w:val="***I"/>
    <w:docVar w:name="dvtitre" w:val="Zakonodavna rezolucija Europskog parlamenta od .... 2025. o Prijedlogu uredbe Europskog parlamenta i Vijeća o izmjeni uredaba (EU) 2021/1058 i (EU) 2021/1056 u pogledu posebnih mjera za svladavanje strateških izazova u kontekstu preispitivanja u sredini programskog razdoblja(COM(2025)0123 – C10-0063/2025 – 2025/0084(COD))"/>
  </w:docVars>
  <w:rsids>
    <w:rsidRoot w:val="00481EE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3871"/>
    <w:rsid w:val="001F32AE"/>
    <w:rsid w:val="0020554D"/>
    <w:rsid w:val="002767FF"/>
    <w:rsid w:val="002B18FE"/>
    <w:rsid w:val="002B5493"/>
    <w:rsid w:val="00343214"/>
    <w:rsid w:val="00360652"/>
    <w:rsid w:val="00361C00"/>
    <w:rsid w:val="00395FA1"/>
    <w:rsid w:val="003E15D4"/>
    <w:rsid w:val="00411CCE"/>
    <w:rsid w:val="0041666E"/>
    <w:rsid w:val="00421060"/>
    <w:rsid w:val="00471C19"/>
    <w:rsid w:val="00481EEB"/>
    <w:rsid w:val="004867E3"/>
    <w:rsid w:val="00490272"/>
    <w:rsid w:val="00494A28"/>
    <w:rsid w:val="004C0004"/>
    <w:rsid w:val="004C5D52"/>
    <w:rsid w:val="004F0FC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56C8"/>
    <w:rsid w:val="006F74FA"/>
    <w:rsid w:val="00706ECB"/>
    <w:rsid w:val="00712C5F"/>
    <w:rsid w:val="00731ADD"/>
    <w:rsid w:val="00734777"/>
    <w:rsid w:val="00747932"/>
    <w:rsid w:val="00751A4A"/>
    <w:rsid w:val="00756632"/>
    <w:rsid w:val="00762C74"/>
    <w:rsid w:val="00781DC6"/>
    <w:rsid w:val="00786EC0"/>
    <w:rsid w:val="007D1690"/>
    <w:rsid w:val="007E22AD"/>
    <w:rsid w:val="00814D18"/>
    <w:rsid w:val="00817416"/>
    <w:rsid w:val="00842779"/>
    <w:rsid w:val="00862CB4"/>
    <w:rsid w:val="00865F67"/>
    <w:rsid w:val="00881A7B"/>
    <w:rsid w:val="008840E5"/>
    <w:rsid w:val="00887B3E"/>
    <w:rsid w:val="008C2AC6"/>
    <w:rsid w:val="008D7828"/>
    <w:rsid w:val="00930C23"/>
    <w:rsid w:val="0093193B"/>
    <w:rsid w:val="009509D8"/>
    <w:rsid w:val="00950B64"/>
    <w:rsid w:val="009542C4"/>
    <w:rsid w:val="009577FF"/>
    <w:rsid w:val="00981893"/>
    <w:rsid w:val="009B2DAE"/>
    <w:rsid w:val="009F04D8"/>
    <w:rsid w:val="00A03BE3"/>
    <w:rsid w:val="00A1687D"/>
    <w:rsid w:val="00A27E3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64C9"/>
    <w:rsid w:val="00C941CB"/>
    <w:rsid w:val="00CA31A6"/>
    <w:rsid w:val="00CC2357"/>
    <w:rsid w:val="00CF071A"/>
    <w:rsid w:val="00D058B8"/>
    <w:rsid w:val="00D56C11"/>
    <w:rsid w:val="00D834A0"/>
    <w:rsid w:val="00D867D1"/>
    <w:rsid w:val="00D872DF"/>
    <w:rsid w:val="00D91E21"/>
    <w:rsid w:val="00DA7FCD"/>
    <w:rsid w:val="00DD6313"/>
    <w:rsid w:val="00DE4AAD"/>
    <w:rsid w:val="00E023D0"/>
    <w:rsid w:val="00E1204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E5C"/>
    <w:rsid w:val="00F43FE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149405"/>
  <w15:chartTrackingRefBased/>
  <w15:docId w15:val="{35285E2F-8ECC-4B25-8C2E-ECED1F9A5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6065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6065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6065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6065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6065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60652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360652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360652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360652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36065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6065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6065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60652"/>
    <w:pPr>
      <w:spacing w:after="120"/>
    </w:pPr>
  </w:style>
  <w:style w:type="paragraph" w:customStyle="1" w:styleId="PageHeading">
    <w:name w:val="PageHeading"/>
    <w:basedOn w:val="Normal"/>
    <w:rsid w:val="0036065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60652"/>
    <w:rPr>
      <w:b/>
    </w:rPr>
  </w:style>
  <w:style w:type="character" w:customStyle="1" w:styleId="NormalBoldChar">
    <w:name w:val="NormalBold Char"/>
    <w:basedOn w:val="DefaultParagraphFont"/>
    <w:link w:val="NormalBold"/>
    <w:rsid w:val="00360652"/>
    <w:rPr>
      <w:b/>
      <w:sz w:val="24"/>
      <w:lang w:val="hr-HR"/>
    </w:rPr>
  </w:style>
  <w:style w:type="paragraph" w:customStyle="1" w:styleId="NormalBold12a">
    <w:name w:val="NormalBold12a"/>
    <w:basedOn w:val="Normal"/>
    <w:rsid w:val="00360652"/>
    <w:pPr>
      <w:spacing w:after="240"/>
    </w:pPr>
    <w:rPr>
      <w:b/>
    </w:rPr>
  </w:style>
  <w:style w:type="paragraph" w:customStyle="1" w:styleId="AmJustText">
    <w:name w:val="AmJustText"/>
    <w:basedOn w:val="Normal"/>
    <w:rsid w:val="0036065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6065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60652"/>
    <w:pPr>
      <w:spacing w:after="480"/>
      <w:ind w:left="1417"/>
    </w:pPr>
  </w:style>
  <w:style w:type="paragraph" w:customStyle="1" w:styleId="CoverNormal">
    <w:name w:val="CoverNormal"/>
    <w:basedOn w:val="Normal"/>
    <w:rsid w:val="00360652"/>
    <w:pPr>
      <w:ind w:left="1418"/>
    </w:pPr>
  </w:style>
  <w:style w:type="paragraph" w:customStyle="1" w:styleId="AmCrossRef">
    <w:name w:val="AmCrossRef"/>
    <w:basedOn w:val="Normal"/>
    <w:rsid w:val="0036065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6065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6065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6065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6065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60652"/>
    <w:pPr>
      <w:spacing w:before="240" w:after="1200"/>
    </w:pPr>
  </w:style>
  <w:style w:type="paragraph" w:styleId="Header">
    <w:name w:val="header"/>
    <w:basedOn w:val="Normal"/>
    <w:link w:val="HeaderChar"/>
    <w:rsid w:val="003606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60652"/>
    <w:rPr>
      <w:sz w:val="24"/>
      <w:lang w:val="hr-HR"/>
    </w:rPr>
  </w:style>
  <w:style w:type="paragraph" w:customStyle="1" w:styleId="AmOrLang">
    <w:name w:val="AmOrLang"/>
    <w:basedOn w:val="Normal"/>
    <w:rsid w:val="0036065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6065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606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60652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360652"/>
    <w:rPr>
      <w:b/>
      <w:sz w:val="24"/>
      <w:lang w:val="hr-HR"/>
    </w:rPr>
  </w:style>
  <w:style w:type="paragraph" w:customStyle="1" w:styleId="EPBody">
    <w:name w:val="EPBody"/>
    <w:basedOn w:val="Normal"/>
    <w:rsid w:val="0036065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6065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60652"/>
    <w:pPr>
      <w:spacing w:before="480" w:after="240"/>
    </w:pPr>
  </w:style>
  <w:style w:type="paragraph" w:customStyle="1" w:styleId="Lgendesigne">
    <w:name w:val="Légende signe"/>
    <w:basedOn w:val="Normal"/>
    <w:rsid w:val="00360652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360652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360652"/>
    <w:rPr>
      <w:sz w:val="18"/>
      <w:lang w:val="en-GB"/>
    </w:rPr>
  </w:style>
  <w:style w:type="paragraph" w:styleId="BalloonText">
    <w:name w:val="Balloon Text"/>
    <w:basedOn w:val="Normal"/>
    <w:link w:val="BalloonTextChar"/>
    <w:unhideWhenUsed/>
    <w:rsid w:val="00360652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360652"/>
    <w:rPr>
      <w:rFonts w:ascii="Segoe UI" w:hAnsi="Segoe UI" w:cs="Segoe UI"/>
      <w:sz w:val="18"/>
      <w:szCs w:val="18"/>
    </w:rPr>
  </w:style>
  <w:style w:type="paragraph" w:customStyle="1" w:styleId="Normal6">
    <w:name w:val="Normal6"/>
    <w:basedOn w:val="Normal"/>
    <w:link w:val="Normal6Char"/>
    <w:rsid w:val="00360652"/>
    <w:pPr>
      <w:spacing w:after="120"/>
    </w:pPr>
    <w:rPr>
      <w:lang w:val="fr-FR"/>
    </w:rPr>
  </w:style>
  <w:style w:type="character" w:customStyle="1" w:styleId="Normal6Char">
    <w:name w:val="Normal6 Char"/>
    <w:basedOn w:val="DefaultParagraphFont"/>
    <w:link w:val="Normal6"/>
    <w:rsid w:val="00360652"/>
    <w:rPr>
      <w:sz w:val="24"/>
      <w:lang w:val="fr-FR"/>
    </w:rPr>
  </w:style>
  <w:style w:type="paragraph" w:customStyle="1" w:styleId="ColumnHeading">
    <w:name w:val="ColumnHeading"/>
    <w:basedOn w:val="Normal"/>
    <w:rsid w:val="00360652"/>
    <w:pPr>
      <w:spacing w:after="240"/>
      <w:jc w:val="center"/>
    </w:pPr>
    <w:rPr>
      <w:i/>
      <w:lang w:val="fr-FR"/>
    </w:rPr>
  </w:style>
  <w:style w:type="paragraph" w:customStyle="1" w:styleId="CrossRef">
    <w:name w:val="CrossRef"/>
    <w:basedOn w:val="Normal"/>
    <w:rsid w:val="00360652"/>
    <w:pPr>
      <w:spacing w:before="240"/>
      <w:jc w:val="center"/>
    </w:pPr>
    <w:rPr>
      <w:i/>
      <w:lang w:val="fr-FR"/>
    </w:rPr>
  </w:style>
  <w:style w:type="paragraph" w:customStyle="1" w:styleId="Normal12Italic">
    <w:name w:val="Normal12Italic"/>
    <w:basedOn w:val="Normal"/>
    <w:rsid w:val="00360652"/>
    <w:pPr>
      <w:spacing w:after="240"/>
    </w:pPr>
    <w:rPr>
      <w:i/>
      <w:noProof/>
      <w:lang w:val="fr-FR"/>
    </w:rPr>
  </w:style>
  <w:style w:type="paragraph" w:customStyle="1" w:styleId="JustificationTitle">
    <w:name w:val="JustificationTitle"/>
    <w:basedOn w:val="Normal"/>
    <w:next w:val="Normal"/>
    <w:rsid w:val="00360652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Text1">
    <w:name w:val="Text 1"/>
    <w:basedOn w:val="Normal"/>
    <w:rsid w:val="00360652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AmHeadingPA">
    <w:name w:val="AmHeadingPA"/>
    <w:basedOn w:val="Normal"/>
    <w:next w:val="Normal"/>
    <w:rsid w:val="00360652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character" w:styleId="Hyperlink">
    <w:name w:val="Hyperlink"/>
    <w:basedOn w:val="DefaultParagraphFont"/>
    <w:uiPriority w:val="99"/>
    <w:rsid w:val="00360652"/>
    <w:rPr>
      <w:color w:val="0563C1" w:themeColor="hyperlink"/>
      <w:u w:val="single"/>
    </w:rPr>
  </w:style>
  <w:style w:type="paragraph" w:customStyle="1" w:styleId="Normal12a">
    <w:name w:val="Normal12a"/>
    <w:basedOn w:val="Normal"/>
    <w:uiPriority w:val="99"/>
    <w:rsid w:val="00360652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360652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360652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360652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360652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AMNumberTabs0">
    <w:name w:val="AMNumberTabs"/>
    <w:basedOn w:val="Normal"/>
    <w:rsid w:val="003606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Olang">
    <w:name w:val="Olang"/>
    <w:basedOn w:val="Normal"/>
    <w:rsid w:val="00360652"/>
    <w:pPr>
      <w:spacing w:before="240" w:after="240"/>
      <w:jc w:val="right"/>
    </w:pPr>
    <w:rPr>
      <w:noProof/>
      <w:szCs w:val="24"/>
      <w:lang w:val="fr-FR"/>
    </w:rPr>
  </w:style>
  <w:style w:type="paragraph" w:customStyle="1" w:styleId="Normal24a">
    <w:name w:val="Normal24a"/>
    <w:basedOn w:val="Normal"/>
    <w:rsid w:val="00360652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360652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360652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360652"/>
    <w:rPr>
      <w:szCs w:val="24"/>
      <w:lang w:val="en-GB"/>
    </w:rPr>
  </w:style>
  <w:style w:type="paragraph" w:customStyle="1" w:styleId="PageHeadingNotTOC">
    <w:name w:val="PageHeadingNotTOC"/>
    <w:basedOn w:val="Normal"/>
    <w:rsid w:val="00360652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LetterSalutation">
    <w:name w:val="LetterSalutation"/>
    <w:basedOn w:val="Normal"/>
    <w:rsid w:val="00360652"/>
    <w:pPr>
      <w:spacing w:before="600" w:after="360"/>
    </w:pPr>
    <w:rPr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360652"/>
    <w:rPr>
      <w:noProof/>
      <w:sz w:val="24"/>
    </w:rPr>
  </w:style>
  <w:style w:type="paragraph" w:customStyle="1" w:styleId="Normal12">
    <w:name w:val="Normal12"/>
    <w:basedOn w:val="Normal"/>
    <w:link w:val="Normal12Char"/>
    <w:rsid w:val="00360652"/>
    <w:pPr>
      <w:spacing w:after="240"/>
    </w:pPr>
    <w:rPr>
      <w:noProof/>
      <w:lang w:val="en-GB"/>
    </w:rPr>
  </w:style>
  <w:style w:type="paragraph" w:customStyle="1" w:styleId="LetterSubject">
    <w:name w:val="LetterSubject"/>
    <w:basedOn w:val="Normal"/>
    <w:rsid w:val="00360652"/>
    <w:pPr>
      <w:spacing w:before="480"/>
      <w:ind w:left="1134" w:hanging="1134"/>
    </w:pPr>
    <w:rPr>
      <w:lang w:val="en-GB"/>
    </w:rPr>
  </w:style>
  <w:style w:type="paragraph" w:customStyle="1" w:styleId="EntPE">
    <w:name w:val="EntPE"/>
    <w:basedOn w:val="Normal12"/>
    <w:rsid w:val="00360652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3606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0652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360652"/>
  </w:style>
  <w:style w:type="paragraph" w:styleId="CommentSubject">
    <w:name w:val="annotation subject"/>
    <w:basedOn w:val="CommentText"/>
    <w:next w:val="CommentText"/>
    <w:link w:val="CommentSubjectChar"/>
    <w:unhideWhenUsed/>
    <w:rsid w:val="003606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60652"/>
    <w:rPr>
      <w:b/>
      <w:bCs/>
    </w:rPr>
  </w:style>
  <w:style w:type="paragraph" w:customStyle="1" w:styleId="text2">
    <w:name w:val="text2"/>
    <w:basedOn w:val="Normal"/>
    <w:rsid w:val="00360652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li">
    <w:name w:val="li"/>
    <w:basedOn w:val="Normal"/>
    <w:rsid w:val="00360652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text10">
    <w:name w:val="text1"/>
    <w:basedOn w:val="Normal"/>
    <w:rsid w:val="00360652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360652"/>
    <w:pPr>
      <w:autoSpaceDE w:val="0"/>
      <w:autoSpaceDN w:val="0"/>
      <w:spacing w:before="120"/>
    </w:pPr>
    <w:rPr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60652"/>
    <w:rPr>
      <w:sz w:val="24"/>
      <w:szCs w:val="24"/>
      <w:lang w:val="en-US" w:eastAsia="en-US"/>
    </w:rPr>
  </w:style>
  <w:style w:type="paragraph" w:customStyle="1" w:styleId="Text20">
    <w:name w:val="Text 2"/>
    <w:basedOn w:val="Normal"/>
    <w:rsid w:val="00360652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360652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360652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0">
    <w:name w:val="point0"/>
    <w:basedOn w:val="Normal"/>
    <w:rsid w:val="00360652"/>
    <w:pPr>
      <w:widowControl/>
      <w:spacing w:before="120" w:after="120"/>
      <w:ind w:left="850" w:hanging="850"/>
      <w:jc w:val="both"/>
    </w:pPr>
    <w:rPr>
      <w:rFonts w:eastAsiaTheme="minorHAnsi"/>
      <w:szCs w:val="24"/>
      <w:lang w:val="en-GB"/>
    </w:rPr>
  </w:style>
  <w:style w:type="paragraph" w:customStyle="1" w:styleId="point10">
    <w:name w:val="point1"/>
    <w:basedOn w:val="Normal"/>
    <w:rsid w:val="00360652"/>
    <w:pPr>
      <w:widowControl/>
      <w:spacing w:before="120" w:after="120"/>
      <w:ind w:left="1417" w:hanging="567"/>
      <w:jc w:val="both"/>
    </w:pPr>
    <w:rPr>
      <w:rFonts w:eastAsiaTheme="minorHAnsi"/>
      <w:szCs w:val="24"/>
      <w:lang w:val="en-GB"/>
    </w:rPr>
  </w:style>
  <w:style w:type="paragraph" w:customStyle="1" w:styleId="Point00">
    <w:name w:val="Point 0"/>
    <w:basedOn w:val="Normal"/>
    <w:rsid w:val="00360652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TableParagraph">
    <w:name w:val="Table Paragraph"/>
    <w:basedOn w:val="Normal"/>
    <w:uiPriority w:val="1"/>
    <w:qFormat/>
    <w:rsid w:val="00360652"/>
    <w:pPr>
      <w:autoSpaceDE w:val="0"/>
      <w:autoSpaceDN w:val="0"/>
    </w:pPr>
    <w:rPr>
      <w:sz w:val="22"/>
      <w:szCs w:val="22"/>
      <w:lang w:val="en-US" w:eastAsia="en-US"/>
    </w:rPr>
  </w:style>
  <w:style w:type="table" w:customStyle="1" w:styleId="TableNormal1">
    <w:name w:val="Table Normal1"/>
    <w:uiPriority w:val="2"/>
    <w:semiHidden/>
    <w:qFormat/>
    <w:rsid w:val="0036065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etterSignature66b">
    <w:name w:val="LetterSignature66b"/>
    <w:basedOn w:val="Normal"/>
    <w:next w:val="Normal"/>
    <w:rsid w:val="00360652"/>
    <w:pPr>
      <w:spacing w:before="1320"/>
    </w:pPr>
    <w:rPr>
      <w:lang w:val="en-GB"/>
    </w:rPr>
  </w:style>
  <w:style w:type="paragraph" w:styleId="NormalWeb">
    <w:name w:val="Normal (Web)"/>
    <w:basedOn w:val="Normal"/>
    <w:uiPriority w:val="99"/>
    <w:unhideWhenUsed/>
    <w:rsid w:val="00360652"/>
    <w:pPr>
      <w:widowControl/>
      <w:spacing w:before="100" w:beforeAutospacing="1" w:after="100" w:afterAutospacing="1"/>
    </w:pPr>
    <w:rPr>
      <w:szCs w:val="24"/>
      <w:lang w:val="es-ES" w:eastAsia="es-ES"/>
    </w:rPr>
  </w:style>
  <w:style w:type="character" w:customStyle="1" w:styleId="FooterChar1">
    <w:name w:val="Footer Char1"/>
    <w:basedOn w:val="DefaultParagraphFont"/>
    <w:rsid w:val="00360652"/>
    <w:rPr>
      <w:sz w:val="24"/>
      <w:lang w:val="hr-HR"/>
    </w:rPr>
  </w:style>
  <w:style w:type="paragraph" w:styleId="Footer">
    <w:name w:val="footer"/>
    <w:basedOn w:val="Normal"/>
    <w:link w:val="FooterChar"/>
    <w:rsid w:val="003606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60652"/>
    <w:rPr>
      <w:sz w:val="24"/>
      <w:lang w:val="hr-HR"/>
    </w:rPr>
  </w:style>
  <w:style w:type="paragraph" w:styleId="Revision">
    <w:name w:val="Revision"/>
    <w:hidden/>
    <w:uiPriority w:val="99"/>
    <w:semiHidden/>
    <w:rsid w:val="00A27E35"/>
    <w:rPr>
      <w:sz w:val="24"/>
      <w:lang w:val="hr-HR"/>
    </w:rPr>
  </w:style>
  <w:style w:type="paragraph" w:customStyle="1" w:styleId="AmHeadingConsam">
    <w:name w:val="AmHeadingConsam"/>
    <w:basedOn w:val="Normal"/>
    <w:next w:val="Normal"/>
    <w:rsid w:val="004F0FC7"/>
    <w:pPr>
      <w:spacing w:before="720" w:after="240"/>
      <w:jc w:val="center"/>
    </w:pPr>
  </w:style>
  <w:style w:type="character" w:customStyle="1" w:styleId="Hyperlink1">
    <w:name w:val="Hyperlink1"/>
    <w:basedOn w:val="DefaultParagraphFont"/>
    <w:uiPriority w:val="99"/>
    <w:unhideWhenUsed/>
    <w:rsid w:val="004F0FC7"/>
    <w:rPr>
      <w:color w:val="0563C1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4F0FC7"/>
    <w:rPr>
      <w:rFonts w:ascii="Calibri" w:eastAsia="Calibri" w:hAnsi="Calibri"/>
      <w:sz w:val="22"/>
      <w:szCs w:val="22"/>
      <w:lang w:val="hr-H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4F0FC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465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2025-10-21T13:10:00Z</dcterms:created>
  <dcterms:modified xsi:type="dcterms:W3CDTF">2025-10-21T13:10:00Z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P10_TA(2025)0177_</vt:lpwstr>
  </property>
  <property fmtid="{D5CDD505-2E9C-101B-9397-08002B2CF9AE}" pid="4" name="&lt;Type&gt;">
    <vt:lpwstr>RR</vt:lpwstr>
  </property>
</Properties>
</file>