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4EFC" w14:paraId="2030524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0F5908" w14:textId="77777777" w:rsidR="00751A4A" w:rsidRPr="00724EFC" w:rsidRDefault="00FC051E" w:rsidP="0010095E">
            <w:pPr>
              <w:pStyle w:val="EPName"/>
            </w:pPr>
            <w:r w:rsidRPr="00724EFC">
              <w:t>Európsky parlament</w:t>
            </w:r>
          </w:p>
          <w:p w14:paraId="53D76BB6" w14:textId="77777777" w:rsidR="00751A4A" w:rsidRPr="00724EF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4EFC">
              <w:t>2024</w:t>
            </w:r>
            <w:r w:rsidR="00817416" w:rsidRPr="00724EFC">
              <w:t>-202</w:t>
            </w:r>
            <w:r w:rsidRPr="00724EFC">
              <w:t>9</w:t>
            </w:r>
          </w:p>
        </w:tc>
        <w:tc>
          <w:tcPr>
            <w:tcW w:w="2268" w:type="dxa"/>
            <w:shd w:val="clear" w:color="auto" w:fill="auto"/>
          </w:tcPr>
          <w:p w14:paraId="0A4BFCDD" w14:textId="77777777" w:rsidR="00751A4A" w:rsidRPr="00724EFC" w:rsidRDefault="00187494" w:rsidP="0010095E">
            <w:pPr>
              <w:pStyle w:val="EPLogo"/>
            </w:pPr>
            <w:r w:rsidRPr="00724EFC">
              <w:rPr>
                <w:noProof/>
                <w:lang w:val="en-GB"/>
              </w:rPr>
              <w:drawing>
                <wp:inline distT="0" distB="0" distL="0" distR="0" wp14:anchorId="5318FCB7" wp14:editId="00A3D46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D2074C" w14:textId="77777777" w:rsidR="00D058B8" w:rsidRPr="00724EFC" w:rsidRDefault="00D058B8" w:rsidP="004C5D52">
      <w:pPr>
        <w:pStyle w:val="LineTop"/>
      </w:pPr>
    </w:p>
    <w:p w14:paraId="2C6ED8B6" w14:textId="77777777" w:rsidR="00680577" w:rsidRPr="00724EFC" w:rsidRDefault="00FC051E" w:rsidP="00680577">
      <w:pPr>
        <w:pStyle w:val="EPBodyTA1"/>
      </w:pPr>
      <w:r w:rsidRPr="00724EFC">
        <w:t>PRIJATÉ TEXTY</w:t>
      </w:r>
    </w:p>
    <w:p w14:paraId="337C7963" w14:textId="77777777" w:rsidR="00D058B8" w:rsidRPr="00724EFC" w:rsidRDefault="00D058B8" w:rsidP="00D058B8">
      <w:pPr>
        <w:pStyle w:val="LineBottom"/>
      </w:pPr>
    </w:p>
    <w:p w14:paraId="49499871" w14:textId="7D96D6AC" w:rsidR="00FC051E" w:rsidRPr="00724EFC" w:rsidRDefault="00FC051E" w:rsidP="00FC051E">
      <w:pPr>
        <w:pStyle w:val="ATHeading1"/>
      </w:pPr>
      <w:bookmarkStart w:id="0" w:name="TANumber"/>
      <w:r w:rsidRPr="00724EFC">
        <w:t>P10_TA(2025)0</w:t>
      </w:r>
      <w:r w:rsidR="00724EFC" w:rsidRPr="00724EFC">
        <w:t>177</w:t>
      </w:r>
      <w:bookmarkEnd w:id="0"/>
    </w:p>
    <w:p w14:paraId="2769F9D9" w14:textId="463BD24F" w:rsidR="00FC051E" w:rsidRPr="00724EFC" w:rsidRDefault="003C365A" w:rsidP="003C365A">
      <w:pPr>
        <w:pStyle w:val="ATHeading2"/>
      </w:pPr>
      <w:bookmarkStart w:id="1" w:name="title"/>
      <w:r w:rsidRPr="00724EFC">
        <w:t>Zmena EFRR, Kohézneho fondu a Fondu na spravodlivú transformáciu, pokiaľ ide o osobitné opatrenia na riešenie strategických výziev v rámci strednodobého preskúmania</w:t>
      </w:r>
      <w:bookmarkEnd w:id="1"/>
    </w:p>
    <w:p w14:paraId="27A2C8A9" w14:textId="77777777" w:rsidR="00FC051E" w:rsidRPr="00724EFC" w:rsidRDefault="00FC051E" w:rsidP="00FC051E">
      <w:pPr>
        <w:rPr>
          <w:i/>
          <w:vanish/>
        </w:rPr>
      </w:pPr>
      <w:r w:rsidRPr="00724EFC">
        <w:rPr>
          <w:i/>
        </w:rPr>
        <w:fldChar w:fldCharType="begin"/>
      </w:r>
      <w:r w:rsidRPr="00724EFC">
        <w:rPr>
          <w:i/>
        </w:rPr>
        <w:instrText xml:space="preserve"> TC"(</w:instrText>
      </w:r>
      <w:bookmarkStart w:id="2" w:name="DocNumber"/>
      <w:r w:rsidRPr="00724EFC">
        <w:rPr>
          <w:i/>
        </w:rPr>
        <w:instrText>A10-0129/2025</w:instrText>
      </w:r>
      <w:bookmarkEnd w:id="2"/>
      <w:r w:rsidRPr="00724EFC">
        <w:rPr>
          <w:i/>
        </w:rPr>
        <w:instrText xml:space="preserve"> - Spravodajca: Dragoş Benea)"\l3 \n&gt; \* MERGEFORMAT </w:instrText>
      </w:r>
      <w:r w:rsidRPr="00724EFC">
        <w:rPr>
          <w:i/>
        </w:rPr>
        <w:fldChar w:fldCharType="end"/>
      </w:r>
    </w:p>
    <w:p w14:paraId="2AF8B22B" w14:textId="77777777" w:rsidR="00FC051E" w:rsidRPr="00724EFC" w:rsidRDefault="00FC051E" w:rsidP="00FC051E">
      <w:pPr>
        <w:rPr>
          <w:vanish/>
        </w:rPr>
      </w:pPr>
      <w:bookmarkStart w:id="3" w:name="Commission"/>
      <w:r w:rsidRPr="00724EFC">
        <w:rPr>
          <w:vanish/>
        </w:rPr>
        <w:t>Výbor pre regionálny rozvoj</w:t>
      </w:r>
      <w:bookmarkEnd w:id="3"/>
    </w:p>
    <w:p w14:paraId="21D7ECFF" w14:textId="77777777" w:rsidR="00FC051E" w:rsidRPr="00724EFC" w:rsidRDefault="00FC051E" w:rsidP="00FC051E">
      <w:pPr>
        <w:rPr>
          <w:vanish/>
        </w:rPr>
      </w:pPr>
      <w:bookmarkStart w:id="4" w:name="PE"/>
      <w:r w:rsidRPr="00724EFC">
        <w:rPr>
          <w:vanish/>
        </w:rPr>
        <w:t>PE774.518</w:t>
      </w:r>
      <w:bookmarkEnd w:id="4"/>
    </w:p>
    <w:p w14:paraId="73ABB026" w14:textId="78E9FAC9" w:rsidR="00FC051E" w:rsidRPr="00724EFC" w:rsidRDefault="00FC051E" w:rsidP="00FC051E">
      <w:pPr>
        <w:pStyle w:val="ATHeading3"/>
      </w:pPr>
      <w:bookmarkStart w:id="5" w:name="Sujet"/>
      <w:r w:rsidRPr="00724EFC">
        <w:t>Legislatívne uznesenie Európskeho parlamentu z</w:t>
      </w:r>
      <w:r w:rsidR="00334C55" w:rsidRPr="00724EFC">
        <w:t> 10</w:t>
      </w:r>
      <w:r w:rsidRPr="00724EFC">
        <w:t>. septembra 2025 o návrhu nariadenia Európskeho parlamentu a Rady, ktorým sa menia nariadenia (EÚ) 2021/1058 a (EÚ) 2021/1056, pokiaľ ide o osobitné opatrenia na riešenie strategických výziev v rámci strednodobého preskúmania</w:t>
      </w:r>
      <w:bookmarkEnd w:id="5"/>
      <w:r w:rsidRPr="00724EFC">
        <w:t xml:space="preserve"> </w:t>
      </w:r>
      <w:bookmarkStart w:id="6" w:name="References"/>
      <w:r w:rsidRPr="00724EFC">
        <w:t>(COM(2025)0123 – C10-0063/2025 – 2025/0084(COD))</w:t>
      </w:r>
      <w:bookmarkEnd w:id="6"/>
    </w:p>
    <w:p w14:paraId="1C91A6E1" w14:textId="77777777" w:rsidR="00FC051E" w:rsidRPr="00724EFC" w:rsidRDefault="00FC051E" w:rsidP="00FC051E"/>
    <w:p w14:paraId="7C5A7DC8" w14:textId="77777777" w:rsidR="006E17B6" w:rsidRPr="00724EFC" w:rsidRDefault="006E17B6" w:rsidP="006E17B6">
      <w:pPr>
        <w:pStyle w:val="NormalBold"/>
      </w:pPr>
      <w:bookmarkStart w:id="7" w:name="TextBodyBegin"/>
      <w:bookmarkEnd w:id="7"/>
      <w:r w:rsidRPr="00724EFC">
        <w:t>(Riadny legislatívny postup: prvé čítanie)</w:t>
      </w:r>
    </w:p>
    <w:p w14:paraId="36986B27" w14:textId="77777777" w:rsidR="006E17B6" w:rsidRPr="00724EFC" w:rsidRDefault="006E17B6" w:rsidP="006E17B6">
      <w:pPr>
        <w:pStyle w:val="EPComma"/>
      </w:pPr>
      <w:r w:rsidRPr="00724EFC">
        <w:rPr>
          <w:i/>
        </w:rPr>
        <w:t>Európsky parlament</w:t>
      </w:r>
      <w:r w:rsidRPr="00724EFC">
        <w:t>,</w:t>
      </w:r>
    </w:p>
    <w:p w14:paraId="105376A3" w14:textId="77777777" w:rsidR="006E17B6" w:rsidRPr="00724EFC" w:rsidRDefault="006E17B6" w:rsidP="006E17B6">
      <w:pPr>
        <w:pStyle w:val="NormalHanging12a"/>
      </w:pPr>
      <w:r w:rsidRPr="00724EFC">
        <w:t>–</w:t>
      </w:r>
      <w:r w:rsidRPr="00724EFC">
        <w:tab/>
        <w:t>so zreteľom na návrh Komisie pre Európsky parlament a Radu (COM(2025)0123),</w:t>
      </w:r>
    </w:p>
    <w:p w14:paraId="6CFAF8EB" w14:textId="77777777" w:rsidR="006E17B6" w:rsidRPr="00724EFC" w:rsidRDefault="006E17B6" w:rsidP="006E17B6">
      <w:pPr>
        <w:pStyle w:val="NormalHanging12a"/>
      </w:pPr>
      <w:r w:rsidRPr="00724EFC">
        <w:t>–</w:t>
      </w:r>
      <w:r w:rsidRPr="00724EFC">
        <w:tab/>
        <w:t>so zreteľom na článok 294 ods. 2 a články 175, 177, 178 a 322 Zmluvy o fungovaní Európskej únie, v súlade s ktorými Komisia predložila návrh Európskemu parlamentu (C10-0063/2025),</w:t>
      </w:r>
    </w:p>
    <w:p w14:paraId="732C47EE" w14:textId="77777777" w:rsidR="006E17B6" w:rsidRPr="00724EFC" w:rsidRDefault="006E17B6" w:rsidP="006E17B6">
      <w:pPr>
        <w:pStyle w:val="NormalHanging12a"/>
      </w:pPr>
      <w:r w:rsidRPr="00724EFC">
        <w:t>–</w:t>
      </w:r>
      <w:r w:rsidRPr="00724EFC">
        <w:tab/>
        <w:t>so zreteľom na článok 294 ods. 3 Zmluvy o fungovaní Európskej únie,</w:t>
      </w:r>
    </w:p>
    <w:p w14:paraId="04D05958" w14:textId="77777777" w:rsidR="006E17B6" w:rsidRPr="00724EFC" w:rsidRDefault="006E17B6" w:rsidP="006E17B6">
      <w:pPr>
        <w:pStyle w:val="NormalHanging12a"/>
      </w:pPr>
      <w:r w:rsidRPr="00724EFC">
        <w:t>–</w:t>
      </w:r>
      <w:r w:rsidRPr="00724EFC">
        <w:tab/>
        <w:t>so zreteľom na rozpočtové posúdenie Výborom pre rozpočet,</w:t>
      </w:r>
    </w:p>
    <w:p w14:paraId="48003D64" w14:textId="10BA1DDB" w:rsidR="006E17B6" w:rsidRPr="00724EFC" w:rsidRDefault="006E17B6" w:rsidP="006E17B6">
      <w:pPr>
        <w:pStyle w:val="NormalHanging12a"/>
      </w:pPr>
      <w:r w:rsidRPr="00724EFC">
        <w:t>–</w:t>
      </w:r>
      <w:r w:rsidRPr="00724EFC">
        <w:tab/>
        <w:t>so zreteľom na stanovisko Európskeho hospodárskeho a sociálneho výboru z 29. apríla 2025</w:t>
      </w:r>
      <w:r w:rsidRPr="00724EFC">
        <w:rPr>
          <w:rStyle w:val="FootnoteReference"/>
        </w:rPr>
        <w:footnoteReference w:id="1"/>
      </w:r>
      <w:r w:rsidR="00334C55" w:rsidRPr="00724EFC">
        <w:t>,</w:t>
      </w:r>
    </w:p>
    <w:p w14:paraId="586AB0D8" w14:textId="77777777" w:rsidR="00334C55" w:rsidRPr="00724EFC" w:rsidRDefault="006E17B6" w:rsidP="006E17B6">
      <w:pPr>
        <w:pStyle w:val="NormalHanging12a"/>
      </w:pPr>
      <w:r w:rsidRPr="00724EFC">
        <w:t>–</w:t>
      </w:r>
      <w:r w:rsidRPr="00724EFC">
        <w:tab/>
        <w:t>zo zreteľom na stanovisko Výboru regiónov z 15. mája 2025</w:t>
      </w:r>
      <w:r w:rsidRPr="00724EFC">
        <w:rPr>
          <w:rStyle w:val="FootnoteReference"/>
        </w:rPr>
        <w:footnoteReference w:id="2"/>
      </w:r>
      <w:r w:rsidRPr="00724EFC">
        <w:t>,</w:t>
      </w:r>
    </w:p>
    <w:p w14:paraId="379BBCA6" w14:textId="5D149837" w:rsidR="00330B9E" w:rsidRPr="00724EFC" w:rsidRDefault="00330B9E" w:rsidP="006E17B6">
      <w:pPr>
        <w:pStyle w:val="NormalHanging12a"/>
      </w:pPr>
      <w:r w:rsidRPr="00724EFC">
        <w:t>–</w:t>
      </w:r>
      <w:r w:rsidRPr="00724EFC">
        <w:tab/>
        <w:t xml:space="preserve">so zreteľom na predbežnú dohodu schválenú gestorským výborom podľa článku 75 ods. 4 rokovacieho poriadku, a na záväzok zástupcu Rady, vyjadrený v liste z </w:t>
      </w:r>
      <w:r w:rsidR="0076709D" w:rsidRPr="00724EFC">
        <w:t>23</w:t>
      </w:r>
      <w:r w:rsidRPr="00724EFC">
        <w:t>. jú</w:t>
      </w:r>
      <w:r w:rsidR="0076709D" w:rsidRPr="00724EFC">
        <w:t>l</w:t>
      </w:r>
      <w:r w:rsidRPr="00724EFC">
        <w:t xml:space="preserve">a 2025, schváliť pozíciu Európskeho parlamentu v súlade s článkom 294 ods. 4 Zmluvy o </w:t>
      </w:r>
      <w:r w:rsidRPr="00724EFC">
        <w:lastRenderedPageBreak/>
        <w:t>fungovaní Európskej únie,</w:t>
      </w:r>
    </w:p>
    <w:p w14:paraId="4C3FF68D" w14:textId="7410C046" w:rsidR="006E17B6" w:rsidRPr="00724EFC" w:rsidRDefault="00334C55" w:rsidP="006E17B6">
      <w:pPr>
        <w:pStyle w:val="NormalHanging12a"/>
      </w:pPr>
      <w:r w:rsidRPr="00724EFC">
        <w:t>–</w:t>
      </w:r>
      <w:r w:rsidR="006E17B6" w:rsidRPr="00724EFC">
        <w:tab/>
        <w:t>so zreteľom na člán</w:t>
      </w:r>
      <w:r w:rsidRPr="00724EFC">
        <w:t>ky</w:t>
      </w:r>
      <w:r w:rsidR="006E17B6" w:rsidRPr="00724EFC">
        <w:t xml:space="preserve"> 60 </w:t>
      </w:r>
      <w:r w:rsidRPr="00724EFC">
        <w:t xml:space="preserve">a 58 </w:t>
      </w:r>
      <w:r w:rsidR="006E17B6" w:rsidRPr="00724EFC">
        <w:t>rokovacieho poriadku,</w:t>
      </w:r>
    </w:p>
    <w:p w14:paraId="4CE2552A" w14:textId="77777777" w:rsidR="006E17B6" w:rsidRPr="00724EFC" w:rsidRDefault="006E17B6" w:rsidP="006E17B6">
      <w:pPr>
        <w:pStyle w:val="NormalHanging12a"/>
      </w:pPr>
      <w:r w:rsidRPr="00724EFC">
        <w:t>–</w:t>
      </w:r>
      <w:r w:rsidRPr="00724EFC">
        <w:tab/>
        <w:t>so zreteľom na stanovisko Výboru pre bezpečnosť a obranu,</w:t>
      </w:r>
    </w:p>
    <w:p w14:paraId="21EA1336" w14:textId="77777777" w:rsidR="006E17B6" w:rsidRPr="00724EFC" w:rsidRDefault="006E17B6" w:rsidP="006E17B6">
      <w:pPr>
        <w:pStyle w:val="NormalHanging12a"/>
      </w:pPr>
      <w:r w:rsidRPr="00724EFC">
        <w:t>–</w:t>
      </w:r>
      <w:r w:rsidRPr="00724EFC">
        <w:tab/>
        <w:t>so zreteľom na listy Výboru pre životné prostredie, klímu a bezpečnosť potravín a Výboru pre dopravu a cestovný ruch,</w:t>
      </w:r>
    </w:p>
    <w:p w14:paraId="2BEFC820" w14:textId="77777777" w:rsidR="006E17B6" w:rsidRPr="00724EFC" w:rsidRDefault="006E17B6" w:rsidP="006E17B6">
      <w:pPr>
        <w:pStyle w:val="NormalHanging12a"/>
      </w:pPr>
      <w:r w:rsidRPr="00724EFC">
        <w:t>–</w:t>
      </w:r>
      <w:r w:rsidRPr="00724EFC">
        <w:tab/>
        <w:t>so zreteľom na správu Výboru pre regionálny rozvoj (A10-0129/2025),</w:t>
      </w:r>
    </w:p>
    <w:p w14:paraId="28DD2E5F" w14:textId="77777777" w:rsidR="006E17B6" w:rsidRPr="00724EFC" w:rsidRDefault="006E17B6" w:rsidP="006E17B6">
      <w:pPr>
        <w:pStyle w:val="NormalHanging12a"/>
      </w:pPr>
      <w:r w:rsidRPr="00724EFC">
        <w:t>1.</w:t>
      </w:r>
      <w:r w:rsidRPr="00724EFC">
        <w:tab/>
        <w:t>prijíma nasledujúcu pozíciu v prvom čítaní;</w:t>
      </w:r>
    </w:p>
    <w:p w14:paraId="347B6940" w14:textId="0349AD55" w:rsidR="003D44FB" w:rsidRPr="00724EFC" w:rsidRDefault="003D44FB" w:rsidP="006E17B6">
      <w:pPr>
        <w:pStyle w:val="NormalHanging12a"/>
        <w:rPr>
          <w:bCs/>
          <w:iCs/>
        </w:rPr>
      </w:pPr>
      <w:r w:rsidRPr="00724EFC">
        <w:rPr>
          <w:bCs/>
          <w:iCs/>
        </w:rPr>
        <w:t>2.</w:t>
      </w:r>
      <w:r w:rsidRPr="00724EFC">
        <w:rPr>
          <w:bCs/>
          <w:iCs/>
        </w:rPr>
        <w:tab/>
        <w:t xml:space="preserve">berie na vedomie vyhlásenie Komisie, ktoré je uvedené v prílohe k tomuto uzneseniu a ktoré bude uverejnené v sérii C </w:t>
      </w:r>
      <w:r w:rsidRPr="00724EFC">
        <w:rPr>
          <w:bCs/>
          <w:i/>
        </w:rPr>
        <w:t>Úradného vestníka Európskej únie</w:t>
      </w:r>
      <w:r w:rsidRPr="00724EFC">
        <w:rPr>
          <w:bCs/>
          <w:iCs/>
        </w:rPr>
        <w:t>;</w:t>
      </w:r>
    </w:p>
    <w:p w14:paraId="4848B593" w14:textId="3C8B43A9" w:rsidR="006E17B6" w:rsidRPr="00724EFC" w:rsidRDefault="003D44FB" w:rsidP="006E17B6">
      <w:pPr>
        <w:pStyle w:val="NormalHanging12a"/>
      </w:pPr>
      <w:r w:rsidRPr="00724EFC">
        <w:t>3</w:t>
      </w:r>
      <w:r w:rsidR="006E17B6" w:rsidRPr="00724EFC">
        <w:t>.</w:t>
      </w:r>
      <w:r w:rsidR="006E17B6" w:rsidRPr="00724EFC">
        <w:tab/>
        <w:t>žiada Komisiu, aby mu vec znovu predložila, ak nahrádza, podstatne mení alebo má v úmysle podstatne zmeniť svoj návrh;</w:t>
      </w:r>
    </w:p>
    <w:p w14:paraId="286A91AF" w14:textId="45AF8390" w:rsidR="006E17B6" w:rsidRPr="00724EFC" w:rsidRDefault="003D44FB" w:rsidP="006E17B6">
      <w:pPr>
        <w:pStyle w:val="NormalHanging12a"/>
      </w:pPr>
      <w:r w:rsidRPr="00724EFC">
        <w:t>4</w:t>
      </w:r>
      <w:r w:rsidR="006E17B6" w:rsidRPr="00724EFC">
        <w:t>.</w:t>
      </w:r>
      <w:r w:rsidR="006E17B6" w:rsidRPr="00724EFC">
        <w:tab/>
        <w:t>poveruje svoju predsedníčku, aby postúpila túto pozíciu Rade, Komisii a národným parlamentom.</w:t>
      </w:r>
    </w:p>
    <w:p w14:paraId="6D4190EB" w14:textId="77777777" w:rsidR="00330B9E" w:rsidRPr="00724EFC" w:rsidRDefault="00330B9E" w:rsidP="006E17B6">
      <w:pPr>
        <w:widowControl/>
        <w:sectPr w:rsidR="00330B9E" w:rsidRPr="00724EFC" w:rsidSect="00FA74B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05FFCD4" w14:textId="43514D60" w:rsidR="00330B9E" w:rsidRPr="00724EFC" w:rsidRDefault="00330B9E" w:rsidP="00330B9E">
      <w:pPr>
        <w:pStyle w:val="Institutionquiagit"/>
        <w:keepNext w:val="0"/>
        <w:spacing w:before="120" w:after="240"/>
        <w:jc w:val="left"/>
        <w:outlineLvl w:val="0"/>
        <w:rPr>
          <w:b/>
          <w:lang w:val="sk-SK"/>
        </w:rPr>
      </w:pPr>
      <w:r w:rsidRPr="00724EFC">
        <w:rPr>
          <w:b/>
          <w:lang w:val="sk-SK"/>
        </w:rPr>
        <w:lastRenderedPageBreak/>
        <w:t>P10_TC1-COD(2025)00</w:t>
      </w:r>
      <w:r w:rsidR="003D44FB" w:rsidRPr="00724EFC">
        <w:rPr>
          <w:b/>
          <w:lang w:val="sk-SK"/>
        </w:rPr>
        <w:t>84</w:t>
      </w:r>
    </w:p>
    <w:p w14:paraId="6A9A14AC" w14:textId="0828E644" w:rsidR="003D44FB" w:rsidRDefault="00330B9E" w:rsidP="003D44FB">
      <w:pPr>
        <w:widowControl/>
        <w:rPr>
          <w:rFonts w:eastAsia="Calibri"/>
          <w:b/>
          <w:szCs w:val="24"/>
          <w:lang w:eastAsia="en-US"/>
        </w:rPr>
      </w:pPr>
      <w:r w:rsidRPr="00724EFC">
        <w:rPr>
          <w:b/>
        </w:rPr>
        <w:t xml:space="preserve">Pozícia Európskeho parlamentu prijatá v prvom čítaní 10. septembra 2025 na účely prijatia nariadenia Európskeho parlamentu a Rady (EÚ) 2025/..., </w:t>
      </w:r>
      <w:r w:rsidRPr="00724EFC">
        <w:rPr>
          <w:rFonts w:eastAsia="Calibri"/>
          <w:b/>
          <w:szCs w:val="22"/>
          <w:lang w:eastAsia="en-US"/>
        </w:rPr>
        <w:t xml:space="preserve">ktorým </w:t>
      </w:r>
      <w:r w:rsidR="003D44FB" w:rsidRPr="00724EFC">
        <w:rPr>
          <w:rFonts w:eastAsia="Calibri"/>
          <w:b/>
          <w:szCs w:val="24"/>
          <w:lang w:eastAsia="en-US"/>
        </w:rPr>
        <w:t>sa menia nariadenia (EÚ) 2021/1058 a (EÚ) 2021/1056, pokiaľ ide o osobitné opatrenia na riešenie strategických výziev v rámci strednodobého preskúmania</w:t>
      </w:r>
    </w:p>
    <w:p w14:paraId="2ED62938" w14:textId="77777777" w:rsidR="00CE15D8" w:rsidRDefault="00CE15D8" w:rsidP="003D44FB">
      <w:pPr>
        <w:widowControl/>
        <w:rPr>
          <w:rFonts w:eastAsia="Calibri"/>
          <w:b/>
          <w:szCs w:val="24"/>
          <w:lang w:eastAsia="en-US"/>
        </w:rPr>
      </w:pPr>
    </w:p>
    <w:p w14:paraId="11CC7ADD" w14:textId="77777777" w:rsidR="00CE15D8" w:rsidRDefault="00CE15D8" w:rsidP="003D44FB">
      <w:pPr>
        <w:widowControl/>
        <w:rPr>
          <w:rFonts w:eastAsia="Calibri"/>
          <w:b/>
          <w:szCs w:val="24"/>
          <w:lang w:eastAsia="en-US"/>
        </w:rPr>
      </w:pPr>
    </w:p>
    <w:p w14:paraId="08722968" w14:textId="33841C08" w:rsidR="00CE15D8" w:rsidRPr="00731EF8" w:rsidRDefault="00CE15D8" w:rsidP="00CE15D8">
      <w:r w:rsidRPr="00731EF8">
        <w:rPr>
          <w:i/>
          <w:iCs/>
        </w:rPr>
        <w:t xml:space="preserve">(Keďže bola dosiahnutá dohoda medzi Európskym parlamentom a Radou, pozícia Európskeho parlamentu zodpovedá záverečnému </w:t>
      </w:r>
      <w:r w:rsidRPr="00CE15D8">
        <w:rPr>
          <w:i/>
          <w:iCs/>
        </w:rPr>
        <w:t>legislatívnemu aktu, nariadeniu (EÚ) 2025/191</w:t>
      </w:r>
      <w:r>
        <w:rPr>
          <w:i/>
          <w:iCs/>
        </w:rPr>
        <w:t>4</w:t>
      </w:r>
      <w:r w:rsidRPr="00CE15D8">
        <w:rPr>
          <w:i/>
          <w:iCs/>
        </w:rPr>
        <w:t>.)</w:t>
      </w:r>
    </w:p>
    <w:p w14:paraId="6CAEA8D3" w14:textId="77777777" w:rsidR="003D44FB" w:rsidRDefault="003D44FB" w:rsidP="003D44FB">
      <w:pPr>
        <w:widowControl/>
        <w:tabs>
          <w:tab w:val="left" w:pos="4253"/>
        </w:tabs>
        <w:spacing w:line="360" w:lineRule="auto"/>
        <w:rPr>
          <w:rFonts w:eastAsia="Calibri"/>
          <w:i/>
          <w:szCs w:val="24"/>
          <w:lang w:eastAsia="en-US"/>
        </w:rPr>
      </w:pPr>
    </w:p>
    <w:p w14:paraId="35BF56D0" w14:textId="77777777" w:rsidR="00CE15D8" w:rsidRDefault="00CE15D8" w:rsidP="003D44FB">
      <w:pPr>
        <w:widowControl/>
        <w:tabs>
          <w:tab w:val="left" w:pos="4253"/>
        </w:tabs>
        <w:spacing w:line="360" w:lineRule="auto"/>
        <w:rPr>
          <w:rFonts w:eastAsia="Calibri"/>
          <w:i/>
          <w:szCs w:val="24"/>
          <w:lang w:eastAsia="en-US"/>
        </w:rPr>
      </w:pPr>
    </w:p>
    <w:p w14:paraId="48A85041" w14:textId="77777777" w:rsidR="00CE15D8" w:rsidRPr="00724EFC" w:rsidRDefault="00CE15D8" w:rsidP="003D44FB">
      <w:pPr>
        <w:widowControl/>
        <w:tabs>
          <w:tab w:val="left" w:pos="4253"/>
        </w:tabs>
        <w:spacing w:line="360" w:lineRule="auto"/>
        <w:rPr>
          <w:rFonts w:eastAsia="Calibri"/>
          <w:i/>
          <w:szCs w:val="24"/>
          <w:lang w:eastAsia="en-US"/>
        </w:rPr>
        <w:sectPr w:rsidR="00CE15D8" w:rsidRPr="00724EFC" w:rsidSect="00FA74B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7B99CD" w14:textId="1EA03D76" w:rsidR="003D44FB" w:rsidRPr="00724EFC" w:rsidRDefault="007B74BB" w:rsidP="007B74BB">
      <w:pPr>
        <w:widowControl/>
        <w:spacing w:before="120" w:after="120" w:line="360" w:lineRule="auto"/>
        <w:jc w:val="right"/>
        <w:rPr>
          <w:rFonts w:eastAsia="Calibri"/>
          <w:i/>
          <w:szCs w:val="24"/>
          <w:lang w:eastAsia="en-US"/>
        </w:rPr>
      </w:pPr>
      <w:r w:rsidRPr="00724EFC">
        <w:lastRenderedPageBreak/>
        <w:t>PRÍLOHA K LEGISLATÍVNEMU UZNESENIU</w:t>
      </w:r>
    </w:p>
    <w:p w14:paraId="5C37C2F3" w14:textId="41D8662C" w:rsidR="003D44FB" w:rsidRPr="00724EFC" w:rsidRDefault="003D44FB" w:rsidP="007B74BB">
      <w:pPr>
        <w:spacing w:before="120" w:after="120" w:line="360" w:lineRule="auto"/>
        <w:jc w:val="center"/>
        <w:rPr>
          <w:b/>
          <w:bCs/>
        </w:rPr>
      </w:pPr>
      <w:r w:rsidRPr="00724EFC">
        <w:rPr>
          <w:b/>
        </w:rPr>
        <w:t>Vyhlásenie Komisie o dodržiavaní zásady právneho štátu pri príležitosti prijatia nariadenia (EÚ) 2025/</w:t>
      </w:r>
      <w:r w:rsidR="00CE15D8">
        <w:rPr>
          <w:b/>
        </w:rPr>
        <w:t>1914</w:t>
      </w:r>
      <w:r w:rsidRPr="00724EFC">
        <w:rPr>
          <w:rStyle w:val="FootnoteReference"/>
          <w:b/>
          <w:bCs/>
        </w:rPr>
        <w:footnoteReference w:id="3"/>
      </w:r>
    </w:p>
    <w:p w14:paraId="1C3B74A2" w14:textId="401FDB75" w:rsidR="003D44FB" w:rsidRPr="00724EFC" w:rsidRDefault="003D44FB" w:rsidP="007B74BB">
      <w:pPr>
        <w:spacing w:before="120" w:after="120" w:line="360" w:lineRule="auto"/>
        <w:jc w:val="both"/>
      </w:pPr>
      <w:r w:rsidRPr="00724EFC">
        <w:t xml:space="preserve">Komisia zdôrazňuje, že dodržiavanie zásady právneho štátu a základných práv je pre Európsku úniu mimoriadne dôležité. Komisia chápe zámer </w:t>
      </w:r>
      <w:proofErr w:type="spellStart"/>
      <w:r w:rsidRPr="00724EFC">
        <w:t>spoluzákonodarcov</w:t>
      </w:r>
      <w:proofErr w:type="spellEnd"/>
      <w:r w:rsidRPr="00724EFC">
        <w:t xml:space="preserve"> zabezpečiť ochranu rozpočtu Únie prostredníctvom ich pozmeňujúcich návrhov k návrhu Komisie. Komisia je naďalej odhodlaná zabezpečovať dodržiavanie zásady právneho štátu pri čerpaní finančných prostriedkov a posúdi všetky žiadosti o zmeny programu v súlade s nariadením o spoločných ustanoveniach, nariadením o podmienenosti právnym štátom a hodnotením v polovici obdobia.</w:t>
      </w:r>
    </w:p>
    <w:p w14:paraId="673AF78D" w14:textId="77777777" w:rsidR="003D44FB" w:rsidRPr="00724EFC" w:rsidRDefault="003D44FB" w:rsidP="003D44FB">
      <w:pPr>
        <w:widowControl/>
        <w:tabs>
          <w:tab w:val="left" w:pos="4253"/>
        </w:tabs>
        <w:spacing w:line="360" w:lineRule="auto"/>
        <w:rPr>
          <w:rFonts w:eastAsia="Calibri"/>
          <w:i/>
          <w:szCs w:val="24"/>
          <w:lang w:eastAsia="en-US"/>
        </w:rPr>
      </w:pPr>
    </w:p>
    <w:sectPr w:rsidR="003D44FB" w:rsidRPr="00724EFC" w:rsidSect="00FA74B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318D4" w14:textId="77777777" w:rsidR="00FC051E" w:rsidRPr="00FA74B6" w:rsidRDefault="00FC051E">
      <w:r w:rsidRPr="00FA74B6">
        <w:separator/>
      </w:r>
    </w:p>
  </w:endnote>
  <w:endnote w:type="continuationSeparator" w:id="0">
    <w:p w14:paraId="197978AE" w14:textId="77777777" w:rsidR="00FC051E" w:rsidRPr="00FA74B6" w:rsidRDefault="00FC051E">
      <w:r w:rsidRPr="00FA74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AD43C" w14:textId="77777777" w:rsidR="00064002" w:rsidRPr="00FA74B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DC51" w14:textId="77777777" w:rsidR="00064002" w:rsidRPr="00FA74B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12B7F" w14:textId="77777777" w:rsidR="00064002" w:rsidRPr="00FA74B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CCE32" w14:textId="77777777" w:rsidR="00FC051E" w:rsidRPr="00FA74B6" w:rsidRDefault="00FC051E">
      <w:r w:rsidRPr="00FA74B6">
        <w:separator/>
      </w:r>
    </w:p>
  </w:footnote>
  <w:footnote w:type="continuationSeparator" w:id="0">
    <w:p w14:paraId="6E42CC15" w14:textId="77777777" w:rsidR="00FC051E" w:rsidRPr="00FA74B6" w:rsidRDefault="00FC051E">
      <w:r w:rsidRPr="00FA74B6">
        <w:continuationSeparator/>
      </w:r>
    </w:p>
  </w:footnote>
  <w:footnote w:id="1">
    <w:p w14:paraId="7CA2ABCC" w14:textId="1C2E1544" w:rsidR="006E17B6" w:rsidRPr="00C43897" w:rsidRDefault="006E17B6" w:rsidP="00C43897">
      <w:pPr>
        <w:pStyle w:val="FootnoteText"/>
        <w:ind w:left="567" w:hanging="567"/>
        <w:rPr>
          <w:sz w:val="24"/>
          <w:szCs w:val="24"/>
          <w:lang w:val="sk-SK"/>
        </w:rPr>
      </w:pPr>
      <w:r w:rsidRPr="00C43897">
        <w:rPr>
          <w:rStyle w:val="FootnoteReference"/>
          <w:sz w:val="24"/>
          <w:szCs w:val="24"/>
          <w:lang w:val="sk-SK"/>
        </w:rPr>
        <w:footnoteRef/>
      </w:r>
      <w:r w:rsidR="00FA74B6" w:rsidRPr="00C43897">
        <w:rPr>
          <w:sz w:val="24"/>
          <w:szCs w:val="24"/>
          <w:lang w:val="sk-SK"/>
        </w:rPr>
        <w:t xml:space="preserve"> </w:t>
      </w:r>
      <w:r w:rsidR="00FA74B6" w:rsidRPr="00C43897">
        <w:rPr>
          <w:sz w:val="24"/>
          <w:szCs w:val="24"/>
          <w:lang w:val="sk-SK"/>
        </w:rPr>
        <w:tab/>
      </w:r>
      <w:r w:rsidRPr="00C43897">
        <w:rPr>
          <w:sz w:val="24"/>
          <w:szCs w:val="24"/>
          <w:lang w:val="sk-SK"/>
        </w:rPr>
        <w:t xml:space="preserve">Ú. v. EÚ C, </w:t>
      </w:r>
      <w:r w:rsidR="0076709D" w:rsidRPr="00C43897">
        <w:rPr>
          <w:sz w:val="24"/>
          <w:szCs w:val="24"/>
          <w:lang w:val="sk-SK"/>
        </w:rPr>
        <w:t xml:space="preserve">C/2025/3197, 2.7.2025, ELI: </w:t>
      </w:r>
      <w:hyperlink r:id="rId1" w:history="1">
        <w:r w:rsidR="0076709D" w:rsidRPr="00C43897">
          <w:rPr>
            <w:rStyle w:val="Hyperlink"/>
            <w:sz w:val="24"/>
            <w:szCs w:val="24"/>
            <w:lang w:val="sk-SK"/>
          </w:rPr>
          <w:t>http://data.europa.eu/eli/C/2025/3197/oj</w:t>
        </w:r>
      </w:hyperlink>
      <w:r w:rsidRPr="00C43897">
        <w:rPr>
          <w:sz w:val="24"/>
          <w:szCs w:val="24"/>
          <w:lang w:val="sk-SK"/>
        </w:rPr>
        <w:t>.</w:t>
      </w:r>
    </w:p>
  </w:footnote>
  <w:footnote w:id="2">
    <w:p w14:paraId="7A28A076" w14:textId="2C80FE21" w:rsidR="006E17B6" w:rsidRPr="00C43897" w:rsidRDefault="006E17B6" w:rsidP="00C43897">
      <w:pPr>
        <w:pStyle w:val="FootnoteText"/>
        <w:ind w:left="567" w:hanging="567"/>
        <w:rPr>
          <w:sz w:val="24"/>
          <w:szCs w:val="24"/>
          <w:lang w:val="sk-SK"/>
        </w:rPr>
      </w:pPr>
      <w:r w:rsidRPr="00C43897">
        <w:rPr>
          <w:rStyle w:val="FootnoteReference"/>
          <w:sz w:val="24"/>
          <w:szCs w:val="24"/>
          <w:lang w:val="sk-SK"/>
        </w:rPr>
        <w:footnoteRef/>
      </w:r>
      <w:r w:rsidR="00FA74B6" w:rsidRPr="00C43897">
        <w:rPr>
          <w:sz w:val="24"/>
          <w:szCs w:val="24"/>
          <w:lang w:val="sk-SK"/>
        </w:rPr>
        <w:t xml:space="preserve"> </w:t>
      </w:r>
      <w:r w:rsidR="00FA74B6" w:rsidRPr="00C43897">
        <w:rPr>
          <w:sz w:val="24"/>
          <w:szCs w:val="24"/>
          <w:lang w:val="sk-SK"/>
        </w:rPr>
        <w:tab/>
      </w:r>
      <w:r w:rsidRPr="00C43897">
        <w:rPr>
          <w:sz w:val="24"/>
          <w:szCs w:val="24"/>
          <w:lang w:val="sk-SK"/>
        </w:rPr>
        <w:t xml:space="preserve">Ú. v. </w:t>
      </w:r>
      <w:r w:rsidRPr="00C43897">
        <w:rPr>
          <w:sz w:val="24"/>
          <w:szCs w:val="24"/>
          <w:lang w:val="sk-SK"/>
        </w:rPr>
        <w:t xml:space="preserve">EÚ C, </w:t>
      </w:r>
      <w:r w:rsidR="0076709D" w:rsidRPr="00C43897">
        <w:rPr>
          <w:sz w:val="24"/>
          <w:szCs w:val="24"/>
          <w:lang w:val="sk-SK"/>
        </w:rPr>
        <w:t xml:space="preserve">C/2025/3474, 16.7.2025, ELI: </w:t>
      </w:r>
      <w:hyperlink r:id="rId2" w:history="1">
        <w:r w:rsidR="0076709D" w:rsidRPr="00C43897">
          <w:rPr>
            <w:rStyle w:val="Hyperlink"/>
            <w:sz w:val="24"/>
            <w:szCs w:val="24"/>
            <w:lang w:val="sk-SK"/>
          </w:rPr>
          <w:t>http://data.europa.eu/eli/C/2025/3474/oj</w:t>
        </w:r>
      </w:hyperlink>
      <w:r w:rsidRPr="00C43897">
        <w:rPr>
          <w:sz w:val="24"/>
          <w:szCs w:val="24"/>
          <w:lang w:val="sk-SK"/>
        </w:rPr>
        <w:t>.</w:t>
      </w:r>
    </w:p>
  </w:footnote>
  <w:footnote w:id="3">
    <w:p w14:paraId="2FF62CCA" w14:textId="329E35D1" w:rsidR="003D44FB" w:rsidRPr="00724EFC" w:rsidRDefault="003D44FB" w:rsidP="00C43897">
      <w:pPr>
        <w:pStyle w:val="FootnoteText"/>
        <w:ind w:left="720" w:hanging="720"/>
        <w:rPr>
          <w:sz w:val="24"/>
          <w:szCs w:val="24"/>
          <w:lang w:val="sk-SK"/>
        </w:rPr>
      </w:pPr>
      <w:r w:rsidRPr="00724EFC">
        <w:rPr>
          <w:rStyle w:val="FootnoteReference"/>
          <w:sz w:val="24"/>
          <w:szCs w:val="24"/>
          <w:lang w:val="sk-SK"/>
        </w:rPr>
        <w:footnoteRef/>
      </w:r>
      <w:r w:rsidRPr="00724EFC">
        <w:rPr>
          <w:sz w:val="24"/>
          <w:szCs w:val="24"/>
          <w:lang w:val="sk-SK"/>
        </w:rPr>
        <w:t xml:space="preserve"> </w:t>
      </w:r>
      <w:r w:rsidRPr="00724EFC">
        <w:rPr>
          <w:sz w:val="24"/>
          <w:szCs w:val="24"/>
          <w:lang w:val="sk-SK"/>
        </w:rPr>
        <w:tab/>
      </w:r>
      <w:r w:rsidRPr="00724EFC">
        <w:rPr>
          <w:sz w:val="24"/>
          <w:szCs w:val="24"/>
          <w:lang w:val="sk-SK"/>
        </w:rPr>
        <w:t>Ú. v. EÚ L</w:t>
      </w:r>
      <w:r w:rsidR="00CE15D8">
        <w:rPr>
          <w:sz w:val="24"/>
          <w:szCs w:val="24"/>
          <w:lang w:val="sk-SK"/>
        </w:rPr>
        <w:t xml:space="preserve">, </w:t>
      </w:r>
      <w:r w:rsidR="00CE15D8" w:rsidRPr="00CE15D8">
        <w:rPr>
          <w:sz w:val="24"/>
          <w:szCs w:val="24"/>
          <w:lang w:val="sk-SK"/>
        </w:rPr>
        <w:t xml:space="preserve">2025/1914, 19.9.2025, ELI: </w:t>
      </w:r>
      <w:hyperlink r:id="rId3" w:history="1">
        <w:r w:rsidR="00CE15D8" w:rsidRPr="00CE15D8">
          <w:rPr>
            <w:rStyle w:val="Hyperlink"/>
            <w:sz w:val="24"/>
            <w:szCs w:val="24"/>
            <w:lang w:val="sk-SK"/>
          </w:rPr>
          <w:t>http://data.europa.eu/eli/reg/2025/1914/oj</w:t>
        </w:r>
      </w:hyperlink>
      <w:r w:rsidRPr="00724EFC">
        <w:rPr>
          <w:sz w:val="24"/>
          <w:szCs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2C7A0" w14:textId="77777777" w:rsidR="00064002" w:rsidRPr="00FA74B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3D044" w14:textId="77777777" w:rsidR="00064002" w:rsidRPr="00FA74B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964FE" w14:textId="77777777" w:rsidR="00064002" w:rsidRPr="00FA74B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2973881">
    <w:abstractNumId w:val="9"/>
  </w:num>
  <w:num w:numId="2" w16cid:durableId="2061972554">
    <w:abstractNumId w:val="9"/>
  </w:num>
  <w:num w:numId="3" w16cid:durableId="1381246508">
    <w:abstractNumId w:val="7"/>
  </w:num>
  <w:num w:numId="4" w16cid:durableId="53742266">
    <w:abstractNumId w:val="7"/>
  </w:num>
  <w:num w:numId="5" w16cid:durableId="357583487">
    <w:abstractNumId w:val="6"/>
  </w:num>
  <w:num w:numId="6" w16cid:durableId="272791683">
    <w:abstractNumId w:val="6"/>
  </w:num>
  <w:num w:numId="7" w16cid:durableId="616329851">
    <w:abstractNumId w:val="5"/>
  </w:num>
  <w:num w:numId="8" w16cid:durableId="1881044338">
    <w:abstractNumId w:val="5"/>
  </w:num>
  <w:num w:numId="9" w16cid:durableId="486478055">
    <w:abstractNumId w:val="4"/>
  </w:num>
  <w:num w:numId="10" w16cid:durableId="321809579">
    <w:abstractNumId w:val="4"/>
  </w:num>
  <w:num w:numId="11" w16cid:durableId="1547177309">
    <w:abstractNumId w:val="8"/>
  </w:num>
  <w:num w:numId="12" w16cid:durableId="2125075588">
    <w:abstractNumId w:val="8"/>
  </w:num>
  <w:num w:numId="13" w16cid:durableId="1494027368">
    <w:abstractNumId w:val="3"/>
  </w:num>
  <w:num w:numId="14" w16cid:durableId="1270115485">
    <w:abstractNumId w:val="3"/>
  </w:num>
  <w:num w:numId="15" w16cid:durableId="1555847345">
    <w:abstractNumId w:val="2"/>
  </w:num>
  <w:num w:numId="16" w16cid:durableId="718819239">
    <w:abstractNumId w:val="2"/>
  </w:num>
  <w:num w:numId="17" w16cid:durableId="1529222675">
    <w:abstractNumId w:val="1"/>
  </w:num>
  <w:num w:numId="18" w16cid:durableId="1609583973">
    <w:abstractNumId w:val="1"/>
  </w:num>
  <w:num w:numId="19" w16cid:durableId="215048165">
    <w:abstractNumId w:val="0"/>
  </w:num>
  <w:num w:numId="20" w16cid:durableId="294340043">
    <w:abstractNumId w:val="0"/>
  </w:num>
  <w:num w:numId="21" w16cid:durableId="1727677019">
    <w:abstractNumId w:val="9"/>
  </w:num>
  <w:num w:numId="22" w16cid:durableId="1730304002">
    <w:abstractNumId w:val="7"/>
  </w:num>
  <w:num w:numId="23" w16cid:durableId="1489831298">
    <w:abstractNumId w:val="6"/>
  </w:num>
  <w:num w:numId="24" w16cid:durableId="1705247264">
    <w:abstractNumId w:val="5"/>
  </w:num>
  <w:num w:numId="25" w16cid:durableId="1482887436">
    <w:abstractNumId w:val="4"/>
  </w:num>
  <w:num w:numId="26" w16cid:durableId="1375497426">
    <w:abstractNumId w:val="8"/>
  </w:num>
  <w:num w:numId="27" w16cid:durableId="996424787">
    <w:abstractNumId w:val="3"/>
  </w:num>
  <w:num w:numId="28" w16cid:durableId="1288315108">
    <w:abstractNumId w:val="2"/>
  </w:num>
  <w:num w:numId="29" w16cid:durableId="92020008">
    <w:abstractNumId w:val="1"/>
  </w:num>
  <w:num w:numId="30" w16cid:durableId="1170753278">
    <w:abstractNumId w:val="0"/>
  </w:num>
  <w:num w:numId="31" w16cid:durableId="546646757">
    <w:abstractNumId w:val="9"/>
  </w:num>
  <w:num w:numId="32" w16cid:durableId="1099371647">
    <w:abstractNumId w:val="7"/>
  </w:num>
  <w:num w:numId="33" w16cid:durableId="1938562697">
    <w:abstractNumId w:val="6"/>
  </w:num>
  <w:num w:numId="34" w16cid:durableId="748960294">
    <w:abstractNumId w:val="5"/>
  </w:num>
  <w:num w:numId="35" w16cid:durableId="441921513">
    <w:abstractNumId w:val="4"/>
  </w:num>
  <w:num w:numId="36" w16cid:durableId="245725674">
    <w:abstractNumId w:val="8"/>
  </w:num>
  <w:num w:numId="37" w16cid:durableId="812405577">
    <w:abstractNumId w:val="3"/>
  </w:num>
  <w:num w:numId="38" w16cid:durableId="1429353747">
    <w:abstractNumId w:val="2"/>
  </w:num>
  <w:num w:numId="39" w16cid:durableId="988830602">
    <w:abstractNumId w:val="1"/>
  </w:num>
  <w:num w:numId="40" w16cid:durableId="565726861">
    <w:abstractNumId w:val="0"/>
  </w:num>
  <w:num w:numId="41" w16cid:durableId="943004417">
    <w:abstractNumId w:val="10"/>
  </w:num>
  <w:num w:numId="42" w16cid:durableId="1434089942">
    <w:abstractNumId w:val="10"/>
  </w:num>
  <w:num w:numId="43" w16cid:durableId="633634373">
    <w:abstractNumId w:val="10"/>
  </w:num>
  <w:num w:numId="44" w16cid:durableId="135935196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9/2025"/>
    <w:docVar w:name="dvlangue" w:val="SK"/>
    <w:docVar w:name="dvnumam" w:val="117"/>
    <w:docVar w:name="dvpe" w:val="774.518"/>
    <w:docVar w:name="dvrapporteur" w:val="Spravodajca: "/>
    <w:docVar w:name="dvstar" w:val="***I"/>
    <w:docVar w:name="dvtitre" w:val="Legislatívne uznesenie Európskeho parlamentu z xx. septembra 2025 o návrhu nariadenia Európskeho parlamentu a Rady, ktorým sa menia nariadenia (EÚ) 2021/1058 a (EÚ) 2021/1056, pokiaľ ide o osobitné opatrenia na riešenie strategických výziev v rámci strednodobého preskúmania(COM(2025)0123 – C10-0063/2025 – 2025/0084(COD))"/>
  </w:docVars>
  <w:rsids>
    <w:rsidRoot w:val="00FC051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538E"/>
    <w:rsid w:val="00330B9E"/>
    <w:rsid w:val="00334841"/>
    <w:rsid w:val="00334C55"/>
    <w:rsid w:val="00343214"/>
    <w:rsid w:val="00361C00"/>
    <w:rsid w:val="00395FA1"/>
    <w:rsid w:val="003C365A"/>
    <w:rsid w:val="003D44F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F5C"/>
    <w:rsid w:val="005F1B17"/>
    <w:rsid w:val="006037C0"/>
    <w:rsid w:val="00620678"/>
    <w:rsid w:val="006631B6"/>
    <w:rsid w:val="00680577"/>
    <w:rsid w:val="006E17B6"/>
    <w:rsid w:val="006F74FA"/>
    <w:rsid w:val="007045C6"/>
    <w:rsid w:val="00724EFC"/>
    <w:rsid w:val="00731ADD"/>
    <w:rsid w:val="00734777"/>
    <w:rsid w:val="00747932"/>
    <w:rsid w:val="00751A4A"/>
    <w:rsid w:val="00756632"/>
    <w:rsid w:val="00762C74"/>
    <w:rsid w:val="0076709D"/>
    <w:rsid w:val="00786EC0"/>
    <w:rsid w:val="007A225F"/>
    <w:rsid w:val="007B74BB"/>
    <w:rsid w:val="007D1690"/>
    <w:rsid w:val="007E22AD"/>
    <w:rsid w:val="00817416"/>
    <w:rsid w:val="00842779"/>
    <w:rsid w:val="00861AB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78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19E0"/>
    <w:rsid w:val="00BD48FE"/>
    <w:rsid w:val="00BD7BD8"/>
    <w:rsid w:val="00BE6ADC"/>
    <w:rsid w:val="00C05BFE"/>
    <w:rsid w:val="00C23CD4"/>
    <w:rsid w:val="00C43897"/>
    <w:rsid w:val="00C61C0C"/>
    <w:rsid w:val="00C941CB"/>
    <w:rsid w:val="00CC2357"/>
    <w:rsid w:val="00CE15D8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74B6"/>
    <w:rsid w:val="00FB4360"/>
    <w:rsid w:val="00FC051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4C1FDC"/>
  <w15:chartTrackingRefBased/>
  <w15:docId w15:val="{699706BA-BE60-4C78-9D92-FE928B512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E17B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E17B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E17B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E17B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E17B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E17B6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6E17B6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6E17B6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6E17B6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6E17B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E17B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E17B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E17B6"/>
    <w:pPr>
      <w:spacing w:after="120"/>
    </w:pPr>
  </w:style>
  <w:style w:type="paragraph" w:customStyle="1" w:styleId="PageHeading">
    <w:name w:val="PageHeading"/>
    <w:basedOn w:val="Normal"/>
    <w:rsid w:val="006E17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E17B6"/>
    <w:rPr>
      <w:b/>
    </w:rPr>
  </w:style>
  <w:style w:type="paragraph" w:customStyle="1" w:styleId="NormalBold12a">
    <w:name w:val="NormalBold12a"/>
    <w:basedOn w:val="Normal"/>
    <w:rsid w:val="006E17B6"/>
    <w:pPr>
      <w:spacing w:after="240"/>
    </w:pPr>
    <w:rPr>
      <w:b/>
    </w:rPr>
  </w:style>
  <w:style w:type="paragraph" w:customStyle="1" w:styleId="AmJustText">
    <w:name w:val="AmJustText"/>
    <w:basedOn w:val="Normal"/>
    <w:rsid w:val="006E17B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E17B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E17B6"/>
    <w:pPr>
      <w:spacing w:after="480"/>
      <w:ind w:left="1417"/>
    </w:pPr>
  </w:style>
  <w:style w:type="paragraph" w:customStyle="1" w:styleId="CoverNormal">
    <w:name w:val="CoverNormal"/>
    <w:basedOn w:val="Normal"/>
    <w:rsid w:val="006E17B6"/>
    <w:pPr>
      <w:ind w:left="1418"/>
    </w:pPr>
  </w:style>
  <w:style w:type="paragraph" w:customStyle="1" w:styleId="AmCrossRef">
    <w:name w:val="AmCrossRef"/>
    <w:basedOn w:val="Normal"/>
    <w:rsid w:val="006E17B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E17B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E17B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E17B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E17B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E17B6"/>
    <w:pPr>
      <w:spacing w:before="240" w:after="1200"/>
    </w:pPr>
  </w:style>
  <w:style w:type="paragraph" w:styleId="Header">
    <w:name w:val="header"/>
    <w:basedOn w:val="Normal"/>
    <w:link w:val="HeaderChar"/>
    <w:rsid w:val="006E17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E17B6"/>
    <w:rPr>
      <w:sz w:val="24"/>
      <w:lang w:val="sk-SK"/>
    </w:rPr>
  </w:style>
  <w:style w:type="paragraph" w:customStyle="1" w:styleId="AmOrLang">
    <w:name w:val="AmOrLang"/>
    <w:basedOn w:val="Normal"/>
    <w:rsid w:val="006E17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E17B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E17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E17B6"/>
    <w:pPr>
      <w:spacing w:before="240"/>
    </w:pPr>
    <w:rPr>
      <w:b/>
    </w:rPr>
  </w:style>
  <w:style w:type="paragraph" w:customStyle="1" w:styleId="EPBody">
    <w:name w:val="EPBody"/>
    <w:basedOn w:val="Normal"/>
    <w:rsid w:val="006E17B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E17B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E17B6"/>
    <w:pPr>
      <w:spacing w:before="480" w:after="240"/>
    </w:pPr>
  </w:style>
  <w:style w:type="paragraph" w:customStyle="1" w:styleId="Lgendesigne">
    <w:name w:val="Légende signe"/>
    <w:basedOn w:val="Normal"/>
    <w:rsid w:val="006E17B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E17B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E17B6"/>
    <w:rPr>
      <w:sz w:val="18"/>
    </w:rPr>
  </w:style>
  <w:style w:type="paragraph" w:styleId="BalloonText">
    <w:name w:val="Balloon Text"/>
    <w:basedOn w:val="Normal"/>
    <w:link w:val="BalloonTextChar"/>
    <w:unhideWhenUsed/>
    <w:rsid w:val="006E17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E17B6"/>
    <w:rPr>
      <w:rFonts w:ascii="Segoe UI" w:hAnsi="Segoe UI" w:cs="Segoe UI"/>
      <w:sz w:val="18"/>
      <w:szCs w:val="18"/>
      <w:lang w:val="sk-SK"/>
    </w:rPr>
  </w:style>
  <w:style w:type="character" w:customStyle="1" w:styleId="NormalBoldChar">
    <w:name w:val="NormalBold Char"/>
    <w:basedOn w:val="DefaultParagraphFont"/>
    <w:link w:val="NormalBold"/>
    <w:rsid w:val="006E17B6"/>
    <w:rPr>
      <w:b/>
      <w:sz w:val="24"/>
      <w:lang w:val="sk-SK"/>
    </w:rPr>
  </w:style>
  <w:style w:type="paragraph" w:customStyle="1" w:styleId="Normal6">
    <w:name w:val="Normal6"/>
    <w:basedOn w:val="Normal"/>
    <w:link w:val="Normal6Char"/>
    <w:rsid w:val="006E17B6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E17B6"/>
    <w:rPr>
      <w:sz w:val="24"/>
      <w:lang w:val="sk-SK"/>
    </w:rPr>
  </w:style>
  <w:style w:type="paragraph" w:customStyle="1" w:styleId="ColumnHeading">
    <w:name w:val="ColumnHeading"/>
    <w:basedOn w:val="Normal"/>
    <w:rsid w:val="006E17B6"/>
    <w:pPr>
      <w:spacing w:after="240"/>
      <w:jc w:val="center"/>
    </w:pPr>
    <w:rPr>
      <w:i/>
    </w:rPr>
  </w:style>
  <w:style w:type="paragraph" w:customStyle="1" w:styleId="CrossRef">
    <w:name w:val="CrossRef"/>
    <w:basedOn w:val="Normal"/>
    <w:rsid w:val="006E17B6"/>
    <w:pPr>
      <w:spacing w:before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6E17B6"/>
    <w:rPr>
      <w:b/>
      <w:sz w:val="24"/>
      <w:lang w:val="sk-SK"/>
    </w:rPr>
  </w:style>
  <w:style w:type="paragraph" w:customStyle="1" w:styleId="Normal12Italic">
    <w:name w:val="Normal12Italic"/>
    <w:basedOn w:val="Normal"/>
    <w:rsid w:val="006E17B6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6E17B6"/>
    <w:pPr>
      <w:keepNext/>
      <w:spacing w:before="240" w:after="240"/>
      <w:jc w:val="center"/>
    </w:pPr>
    <w:rPr>
      <w:i/>
      <w:noProof/>
    </w:rPr>
  </w:style>
  <w:style w:type="paragraph" w:customStyle="1" w:styleId="Text1">
    <w:name w:val="Text 1"/>
    <w:basedOn w:val="Normal"/>
    <w:rsid w:val="006E17B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AmHeadingPA">
    <w:name w:val="AmHeadingPA"/>
    <w:basedOn w:val="Normal"/>
    <w:next w:val="Normal"/>
    <w:rsid w:val="006E17B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styleId="Hyperlink">
    <w:name w:val="Hyperlink"/>
    <w:basedOn w:val="DefaultParagraphFont"/>
    <w:uiPriority w:val="99"/>
    <w:rsid w:val="006E17B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E17B6"/>
    <w:rPr>
      <w:sz w:val="24"/>
      <w:lang w:val="sk-SK"/>
    </w:rPr>
  </w:style>
  <w:style w:type="paragraph" w:customStyle="1" w:styleId="Normal12a">
    <w:name w:val="Normal12a"/>
    <w:basedOn w:val="Normal"/>
    <w:uiPriority w:val="99"/>
    <w:rsid w:val="006E17B6"/>
    <w:pPr>
      <w:spacing w:after="240"/>
    </w:pPr>
  </w:style>
  <w:style w:type="paragraph" w:customStyle="1" w:styleId="RollCallVotes">
    <w:name w:val="RollCallVotes"/>
    <w:basedOn w:val="Normal"/>
    <w:rsid w:val="006E17B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E17B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E17B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E17B6"/>
    <w:pPr>
      <w:spacing w:before="120" w:after="120"/>
    </w:pPr>
    <w:rPr>
      <w:snapToGrid w:val="0"/>
      <w:sz w:val="16"/>
      <w:lang w:eastAsia="en-US"/>
    </w:rPr>
  </w:style>
  <w:style w:type="paragraph" w:customStyle="1" w:styleId="AMNumberTabs0">
    <w:name w:val="AMNumberTabs"/>
    <w:basedOn w:val="Normal"/>
    <w:rsid w:val="006E17B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basedOn w:val="Normal"/>
    <w:rsid w:val="006E17B6"/>
    <w:pPr>
      <w:spacing w:before="240" w:after="240"/>
      <w:jc w:val="right"/>
    </w:pPr>
    <w:rPr>
      <w:noProof/>
      <w:szCs w:val="24"/>
    </w:rPr>
  </w:style>
  <w:style w:type="paragraph" w:customStyle="1" w:styleId="Normal24a">
    <w:name w:val="Normal24a"/>
    <w:basedOn w:val="Normal"/>
    <w:rsid w:val="006E17B6"/>
    <w:pPr>
      <w:spacing w:after="480"/>
    </w:pPr>
  </w:style>
  <w:style w:type="paragraph" w:customStyle="1" w:styleId="NormalBoldCenter">
    <w:name w:val="NormalBoldCenter"/>
    <w:basedOn w:val="Normal"/>
    <w:rsid w:val="006E17B6"/>
    <w:pPr>
      <w:jc w:val="center"/>
    </w:pPr>
    <w:rPr>
      <w:b/>
    </w:rPr>
  </w:style>
  <w:style w:type="paragraph" w:customStyle="1" w:styleId="Footprint12b">
    <w:name w:val="Footprint12b"/>
    <w:basedOn w:val="Normal"/>
    <w:rsid w:val="006E17B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E17B6"/>
    <w:rPr>
      <w:szCs w:val="24"/>
    </w:rPr>
  </w:style>
  <w:style w:type="paragraph" w:customStyle="1" w:styleId="PageHeadingNotTOC">
    <w:name w:val="PageHeadingNotTOC"/>
    <w:basedOn w:val="Normal"/>
    <w:rsid w:val="006E17B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LetterSalutation">
    <w:name w:val="LetterSalutation"/>
    <w:basedOn w:val="Normal"/>
    <w:rsid w:val="006E17B6"/>
    <w:pPr>
      <w:spacing w:before="600" w:after="360"/>
    </w:pPr>
  </w:style>
  <w:style w:type="character" w:customStyle="1" w:styleId="Normal12Char">
    <w:name w:val="Normal12 Char"/>
    <w:basedOn w:val="DefaultParagraphFont"/>
    <w:link w:val="Normal12"/>
    <w:locked/>
    <w:rsid w:val="006E17B6"/>
    <w:rPr>
      <w:noProof/>
      <w:sz w:val="24"/>
    </w:rPr>
  </w:style>
  <w:style w:type="paragraph" w:customStyle="1" w:styleId="Normal12">
    <w:name w:val="Normal12"/>
    <w:basedOn w:val="Normal"/>
    <w:link w:val="Normal12Char"/>
    <w:rsid w:val="006E17B6"/>
    <w:pPr>
      <w:spacing w:after="240"/>
    </w:pPr>
    <w:rPr>
      <w:noProof/>
      <w:lang w:val="en-GB"/>
    </w:rPr>
  </w:style>
  <w:style w:type="paragraph" w:customStyle="1" w:styleId="LetterSubject">
    <w:name w:val="LetterSubject"/>
    <w:basedOn w:val="Normal"/>
    <w:rsid w:val="006E17B6"/>
    <w:pPr>
      <w:spacing w:before="480"/>
      <w:ind w:left="1134" w:hanging="1134"/>
    </w:pPr>
  </w:style>
  <w:style w:type="paragraph" w:customStyle="1" w:styleId="EntPE">
    <w:name w:val="EntPE"/>
    <w:basedOn w:val="Normal12"/>
    <w:rsid w:val="006E17B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6E17B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17B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E17B6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E17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17B6"/>
    <w:rPr>
      <w:b/>
      <w:bCs/>
      <w:lang w:val="sk-SK"/>
    </w:rPr>
  </w:style>
  <w:style w:type="paragraph" w:customStyle="1" w:styleId="text2">
    <w:name w:val="text2"/>
    <w:basedOn w:val="Normal"/>
    <w:rsid w:val="006E17B6"/>
    <w:pPr>
      <w:widowControl/>
      <w:spacing w:before="100" w:beforeAutospacing="1" w:after="100" w:afterAutospacing="1"/>
    </w:pPr>
    <w:rPr>
      <w:szCs w:val="24"/>
    </w:rPr>
  </w:style>
  <w:style w:type="paragraph" w:customStyle="1" w:styleId="li">
    <w:name w:val="li"/>
    <w:basedOn w:val="Normal"/>
    <w:rsid w:val="006E17B6"/>
    <w:pPr>
      <w:widowControl/>
      <w:spacing w:before="100" w:beforeAutospacing="1" w:after="100" w:afterAutospacing="1"/>
    </w:pPr>
    <w:rPr>
      <w:szCs w:val="24"/>
    </w:rPr>
  </w:style>
  <w:style w:type="paragraph" w:customStyle="1" w:styleId="text10">
    <w:name w:val="text1"/>
    <w:basedOn w:val="Normal"/>
    <w:rsid w:val="006E17B6"/>
    <w:pPr>
      <w:widowControl/>
      <w:spacing w:before="100" w:beforeAutospacing="1" w:after="100" w:afterAutospacing="1"/>
    </w:pPr>
    <w:rPr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6E17B6"/>
    <w:pPr>
      <w:autoSpaceDE w:val="0"/>
      <w:autoSpaceDN w:val="0"/>
      <w:spacing w:before="12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E17B6"/>
    <w:rPr>
      <w:sz w:val="24"/>
      <w:szCs w:val="24"/>
      <w:lang w:val="sk-SK" w:eastAsia="en-US"/>
    </w:rPr>
  </w:style>
  <w:style w:type="paragraph" w:customStyle="1" w:styleId="Text20">
    <w:name w:val="Text 2"/>
    <w:basedOn w:val="Normal"/>
    <w:rsid w:val="006E17B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6E17B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6E17B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0"/>
    <w:basedOn w:val="Normal"/>
    <w:rsid w:val="006E17B6"/>
    <w:pPr>
      <w:widowControl/>
      <w:spacing w:before="120" w:after="120"/>
      <w:ind w:left="850" w:hanging="850"/>
      <w:jc w:val="both"/>
    </w:pPr>
    <w:rPr>
      <w:rFonts w:eastAsiaTheme="minorHAnsi"/>
      <w:szCs w:val="24"/>
    </w:rPr>
  </w:style>
  <w:style w:type="paragraph" w:customStyle="1" w:styleId="point10">
    <w:name w:val="point1"/>
    <w:basedOn w:val="Normal"/>
    <w:rsid w:val="006E17B6"/>
    <w:pPr>
      <w:widowControl/>
      <w:spacing w:before="120" w:after="120"/>
      <w:ind w:left="1417" w:hanging="567"/>
      <w:jc w:val="both"/>
    </w:pPr>
    <w:rPr>
      <w:rFonts w:eastAsiaTheme="minorHAnsi"/>
      <w:szCs w:val="24"/>
    </w:rPr>
  </w:style>
  <w:style w:type="paragraph" w:customStyle="1" w:styleId="Point00">
    <w:name w:val="Point 0"/>
    <w:basedOn w:val="Normal"/>
    <w:rsid w:val="006E17B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6E17B6"/>
    <w:pPr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qFormat/>
    <w:rsid w:val="006E17B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sk-SK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etterSignature66b">
    <w:name w:val="LetterSignature66b"/>
    <w:basedOn w:val="Normal"/>
    <w:next w:val="Normal"/>
    <w:rsid w:val="006E17B6"/>
    <w:pPr>
      <w:spacing w:before="1320"/>
    </w:pPr>
  </w:style>
  <w:style w:type="paragraph" w:styleId="NormalWeb">
    <w:name w:val="Normal (Web)"/>
    <w:basedOn w:val="Normal"/>
    <w:uiPriority w:val="99"/>
    <w:unhideWhenUsed/>
    <w:rsid w:val="006E17B6"/>
    <w:pPr>
      <w:widowControl/>
      <w:spacing w:before="100" w:beforeAutospacing="1" w:after="100" w:afterAutospacing="1"/>
    </w:pPr>
    <w:rPr>
      <w:szCs w:val="24"/>
      <w:lang w:eastAsia="es-ES"/>
    </w:rPr>
  </w:style>
  <w:style w:type="character" w:customStyle="1" w:styleId="FooterChar1">
    <w:name w:val="Footer Char1"/>
    <w:basedOn w:val="DefaultParagraphFont"/>
    <w:semiHidden/>
    <w:rsid w:val="006E17B6"/>
    <w:rPr>
      <w:sz w:val="24"/>
    </w:rPr>
  </w:style>
  <w:style w:type="paragraph" w:customStyle="1" w:styleId="Institutionquiagit">
    <w:name w:val="Institution qui agit"/>
    <w:basedOn w:val="Normal"/>
    <w:next w:val="Normal"/>
    <w:rsid w:val="00330B9E"/>
    <w:pPr>
      <w:keepNext/>
      <w:widowControl/>
      <w:spacing w:before="600" w:after="120"/>
      <w:jc w:val="both"/>
    </w:pPr>
    <w:rPr>
      <w:szCs w:val="24"/>
      <w:lang w:val="en-GB"/>
    </w:rPr>
  </w:style>
  <w:style w:type="character" w:customStyle="1" w:styleId="Hyperlink1">
    <w:name w:val="Hyperlink1"/>
    <w:basedOn w:val="DefaultParagraphFont"/>
    <w:uiPriority w:val="99"/>
    <w:unhideWhenUsed/>
    <w:rsid w:val="003D44FB"/>
    <w:rPr>
      <w:color w:val="0563C1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3D44FB"/>
    <w:rPr>
      <w:rFonts w:ascii="Calibri" w:eastAsia="Calibri" w:hAnsi="Calibri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709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15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914/oj" TargetMode="External"/><Relationship Id="rId2" Type="http://schemas.openxmlformats.org/officeDocument/2006/relationships/hyperlink" Target="http://data.europa.eu/eli/C/2025/3474/oj" TargetMode="External"/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2333A7-7585-4148-96B8-30F7A0886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461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2025-10-20T14:51:00Z</dcterms:created>
  <dcterms:modified xsi:type="dcterms:W3CDTF">2025-10-20T14:51:00Z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P10_TA(2025)0177_</vt:lpwstr>
  </property>
  <property fmtid="{D5CDD505-2E9C-101B-9397-08002B2CF9AE}" pid="4" name="&lt;Type&gt;">
    <vt:lpwstr>RR</vt:lpwstr>
  </property>
</Properties>
</file>