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33F8" w14:paraId="10DB77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78E7D5" w14:textId="2516FA6D" w:rsidR="00751A4A" w:rsidRPr="007133F8" w:rsidRDefault="00916675" w:rsidP="0010095E">
            <w:pPr>
              <w:pStyle w:val="EPName"/>
            </w:pPr>
            <w:r w:rsidRPr="007133F8">
              <w:t>Европейски</w:t>
            </w:r>
            <w:r w:rsidR="00BC5AA1" w:rsidRPr="007133F8">
              <w:t xml:space="preserve"> парламент</w:t>
            </w:r>
          </w:p>
          <w:p w14:paraId="7A629C82" w14:textId="3DEEA8B8" w:rsidR="00751A4A" w:rsidRPr="007133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33F8">
              <w:t>2024</w:t>
            </w:r>
            <w:r w:rsidR="00916675">
              <w:t> – </w:t>
            </w:r>
            <w:r w:rsidR="00817416" w:rsidRPr="007133F8">
              <w:t>202</w:t>
            </w:r>
            <w:r w:rsidRPr="007133F8">
              <w:t>9</w:t>
            </w:r>
          </w:p>
        </w:tc>
        <w:tc>
          <w:tcPr>
            <w:tcW w:w="2268" w:type="dxa"/>
            <w:shd w:val="clear" w:color="auto" w:fill="auto"/>
          </w:tcPr>
          <w:p w14:paraId="341B2808" w14:textId="77777777" w:rsidR="00751A4A" w:rsidRPr="007133F8" w:rsidRDefault="00187494" w:rsidP="0010095E">
            <w:pPr>
              <w:pStyle w:val="EPLogo"/>
            </w:pPr>
            <w:r w:rsidRPr="007133F8">
              <w:rPr>
                <w:noProof/>
                <w:lang w:eastAsia="ja-JP"/>
              </w:rPr>
              <w:drawing>
                <wp:inline distT="0" distB="0" distL="0" distR="0" wp14:anchorId="7CADD123" wp14:editId="333D29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8AE73D" w14:textId="77777777" w:rsidR="00D058B8" w:rsidRPr="007133F8" w:rsidRDefault="00D058B8" w:rsidP="004C5D52">
      <w:pPr>
        <w:pStyle w:val="LineTop"/>
      </w:pPr>
    </w:p>
    <w:p w14:paraId="41D5DC43" w14:textId="77777777" w:rsidR="00680577" w:rsidRPr="007133F8" w:rsidRDefault="00BC5AA1" w:rsidP="00680577">
      <w:pPr>
        <w:pStyle w:val="EPBodyTA1"/>
      </w:pPr>
      <w:r w:rsidRPr="007133F8">
        <w:t>ПРИЕТИ ТЕКСТОВЕ</w:t>
      </w:r>
    </w:p>
    <w:p w14:paraId="446FCCA8" w14:textId="77777777" w:rsidR="00D058B8" w:rsidRPr="007133F8" w:rsidRDefault="00D058B8" w:rsidP="00D058B8">
      <w:pPr>
        <w:pStyle w:val="LineBottom"/>
      </w:pPr>
    </w:p>
    <w:p w14:paraId="100B2C77" w14:textId="658B8545" w:rsidR="00BC5AA1" w:rsidRPr="007133F8" w:rsidRDefault="00BC5AA1" w:rsidP="00BC5AA1">
      <w:pPr>
        <w:pStyle w:val="ATHeading1"/>
      </w:pPr>
      <w:bookmarkStart w:id="0" w:name="TANumber"/>
      <w:r w:rsidRPr="007133F8">
        <w:t>P10_TA(2025)0</w:t>
      </w:r>
      <w:r w:rsidR="00352748">
        <w:t>178</w:t>
      </w:r>
      <w:bookmarkEnd w:id="0"/>
    </w:p>
    <w:p w14:paraId="17B58622" w14:textId="370DBDB7" w:rsidR="00BC5AA1" w:rsidRPr="007133F8" w:rsidRDefault="000739B6" w:rsidP="00BC5AA1">
      <w:pPr>
        <w:pStyle w:val="ATHeading2"/>
      </w:pPr>
      <w:r w:rsidRPr="000739B6">
        <w:t>Механизъм за корекция на въглеродните емисии на границите: опростяване и укрепване</w:t>
      </w:r>
    </w:p>
    <w:p w14:paraId="29E782F8" w14:textId="77777777" w:rsidR="00BC5AA1" w:rsidRPr="007133F8" w:rsidRDefault="00BC5AA1" w:rsidP="00BC5AA1">
      <w:pPr>
        <w:rPr>
          <w:i/>
          <w:vanish/>
        </w:rPr>
      </w:pPr>
      <w:r w:rsidRPr="007133F8">
        <w:rPr>
          <w:i/>
        </w:rPr>
        <w:fldChar w:fldCharType="begin"/>
      </w:r>
      <w:r w:rsidRPr="007133F8">
        <w:rPr>
          <w:i/>
        </w:rPr>
        <w:instrText xml:space="preserve"> TC"(</w:instrText>
      </w:r>
      <w:bookmarkStart w:id="1" w:name="DocNumber"/>
      <w:r w:rsidRPr="007133F8">
        <w:rPr>
          <w:i/>
        </w:rPr>
        <w:instrText>A10-0085/2025</w:instrText>
      </w:r>
      <w:bookmarkEnd w:id="1"/>
      <w:r w:rsidRPr="007133F8">
        <w:rPr>
          <w:i/>
        </w:rPr>
        <w:instrText xml:space="preserve"> - Докладчик: Антонио </w:instrText>
      </w:r>
      <w:proofErr w:type="spellStart"/>
      <w:r w:rsidRPr="007133F8">
        <w:rPr>
          <w:i/>
        </w:rPr>
        <w:instrText>Декаро</w:instrText>
      </w:r>
      <w:proofErr w:type="spellEnd"/>
      <w:r w:rsidRPr="007133F8">
        <w:rPr>
          <w:i/>
        </w:rPr>
        <w:instrText xml:space="preserve">)"\l3 \n&gt; \* MERGEFORMAT </w:instrText>
      </w:r>
      <w:r w:rsidRPr="007133F8">
        <w:rPr>
          <w:i/>
        </w:rPr>
        <w:fldChar w:fldCharType="end"/>
      </w:r>
    </w:p>
    <w:p w14:paraId="31983BE9" w14:textId="77777777" w:rsidR="00BC5AA1" w:rsidRPr="007133F8" w:rsidRDefault="00BC5AA1" w:rsidP="00BC5AA1">
      <w:pPr>
        <w:rPr>
          <w:vanish/>
        </w:rPr>
      </w:pPr>
      <w:bookmarkStart w:id="2" w:name="Commission"/>
      <w:r w:rsidRPr="007133F8">
        <w:rPr>
          <w:vanish/>
        </w:rPr>
        <w:t>Комисия по околна среда, климат и безопасност на храните</w:t>
      </w:r>
      <w:bookmarkEnd w:id="2"/>
    </w:p>
    <w:p w14:paraId="383F2EFD" w14:textId="77777777" w:rsidR="00BC5AA1" w:rsidRPr="007133F8" w:rsidRDefault="00BC5AA1" w:rsidP="00BC5AA1">
      <w:pPr>
        <w:rPr>
          <w:vanish/>
        </w:rPr>
      </w:pPr>
      <w:bookmarkStart w:id="3" w:name="PE"/>
      <w:r w:rsidRPr="007133F8">
        <w:rPr>
          <w:vanish/>
        </w:rPr>
        <w:t>PE773.301</w:t>
      </w:r>
      <w:bookmarkEnd w:id="3"/>
    </w:p>
    <w:p w14:paraId="6AFA757A" w14:textId="376A6B37" w:rsidR="00BC5AA1" w:rsidRPr="007133F8" w:rsidRDefault="00BC5AA1" w:rsidP="00BC5AA1">
      <w:pPr>
        <w:pStyle w:val="ATHeading3"/>
      </w:pPr>
      <w:bookmarkStart w:id="4" w:name="Sujet"/>
      <w:r w:rsidRPr="007133F8">
        <w:t xml:space="preserve">Законодателна резолюция на Европейския парламент от </w:t>
      </w:r>
      <w:r w:rsidR="00683934">
        <w:t>10</w:t>
      </w:r>
      <w:r w:rsidR="00916675">
        <w:t xml:space="preserve"> септември</w:t>
      </w:r>
      <w:r w:rsidR="00916675" w:rsidRPr="007133F8">
        <w:t xml:space="preserve"> </w:t>
      </w:r>
      <w:r w:rsidRPr="007133F8">
        <w:t>2025 г. относно предложението за регламент на Европейския парламент и на Съвета за изменение на Регламент (ЕС) 2023/956 с цел опростяване и укрепване на механизма за корекция на въглеродните емисии на границите</w:t>
      </w:r>
      <w:bookmarkEnd w:id="4"/>
      <w:r w:rsidRPr="007133F8">
        <w:t xml:space="preserve"> </w:t>
      </w:r>
      <w:bookmarkStart w:id="5" w:name="References"/>
      <w:r w:rsidRPr="007133F8">
        <w:t>(COM(2025)0087 – C10-0035/2025 – 2025/0039(COD))</w:t>
      </w:r>
      <w:bookmarkEnd w:id="5"/>
    </w:p>
    <w:p w14:paraId="531CEE36" w14:textId="77777777" w:rsidR="006B004B" w:rsidRPr="007133F8" w:rsidRDefault="006B004B" w:rsidP="006B004B">
      <w:pPr>
        <w:pStyle w:val="NormalBold"/>
      </w:pPr>
      <w:bookmarkStart w:id="6" w:name="TextBodyBegin"/>
      <w:bookmarkEnd w:id="6"/>
      <w:r w:rsidRPr="007133F8">
        <w:t>(Обикновена законодателна процедура: първо четене)</w:t>
      </w:r>
    </w:p>
    <w:p w14:paraId="17EB8282" w14:textId="77777777" w:rsidR="006B004B" w:rsidRPr="007133F8" w:rsidRDefault="006B004B" w:rsidP="006B004B">
      <w:pPr>
        <w:pStyle w:val="EPComma"/>
      </w:pPr>
      <w:r w:rsidRPr="007133F8">
        <w:rPr>
          <w:i/>
        </w:rPr>
        <w:t>Европейският парламент</w:t>
      </w:r>
      <w:r w:rsidRPr="007133F8">
        <w:t>,</w:t>
      </w:r>
    </w:p>
    <w:p w14:paraId="40FA767D" w14:textId="74BBB134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 xml:space="preserve">като взе предвид предложението на Комисията до </w:t>
      </w:r>
      <w:r w:rsidR="00916675">
        <w:t>П</w:t>
      </w:r>
      <w:r w:rsidRPr="007133F8">
        <w:t>арламент</w:t>
      </w:r>
      <w:r w:rsidR="00916675">
        <w:t>а</w:t>
      </w:r>
      <w:r w:rsidRPr="007133F8">
        <w:t xml:space="preserve"> и до Съвета (COM(2025)0087),</w:t>
      </w:r>
    </w:p>
    <w:p w14:paraId="63A07B44" w14:textId="77777777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>като взе предвид член 294, параграф 2 и член 192, параграф 1 от Договора за функционирането на Европейския съюз, съгласно които Комисията е внесла предложението в Парламента (C10-0035/2025),</w:t>
      </w:r>
    </w:p>
    <w:p w14:paraId="1EA5C216" w14:textId="77777777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>като взе предвид член 294, параграф 3 от Договора за функционирането на Европейския съюз,</w:t>
      </w:r>
    </w:p>
    <w:p w14:paraId="58138C6C" w14:textId="77777777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>като взе предвид бюджетната оценка на комисията по бюджети,</w:t>
      </w:r>
    </w:p>
    <w:p w14:paraId="00FF018D" w14:textId="77777777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>като взе предвид становището на Европейския икономически и социален комитет от 29 април 2025 г.</w:t>
      </w:r>
      <w:r w:rsidRPr="007133F8">
        <w:rPr>
          <w:vertAlign w:val="superscript"/>
        </w:rPr>
        <w:footnoteReference w:id="1"/>
      </w:r>
      <w:r w:rsidRPr="007133F8">
        <w:t xml:space="preserve">, </w:t>
      </w:r>
    </w:p>
    <w:p w14:paraId="51EB2A6E" w14:textId="77777777" w:rsidR="006B004B" w:rsidRDefault="006B004B" w:rsidP="006B004B">
      <w:pPr>
        <w:pStyle w:val="NormalHanging12a"/>
      </w:pPr>
      <w:r w:rsidRPr="007133F8">
        <w:t>–</w:t>
      </w:r>
      <w:r w:rsidRPr="007133F8">
        <w:tab/>
        <w:t xml:space="preserve">след консултация с Комитета на регионите, </w:t>
      </w:r>
    </w:p>
    <w:p w14:paraId="28EB9C24" w14:textId="726D5135" w:rsidR="00702BB6" w:rsidRPr="007133F8" w:rsidRDefault="00702BB6" w:rsidP="006B004B">
      <w:pPr>
        <w:pStyle w:val="NormalHanging12a"/>
      </w:pPr>
      <w:r>
        <w:t>–</w:t>
      </w:r>
      <w:r>
        <w:tab/>
      </w:r>
      <w:r w:rsidRPr="00702BB6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27</w:t>
      </w:r>
      <w:r w:rsidRPr="00702BB6">
        <w:t xml:space="preserve"> </w:t>
      </w:r>
      <w:r>
        <w:t>юни</w:t>
      </w:r>
      <w:r w:rsidRPr="00702BB6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45C79E3F" w14:textId="77777777" w:rsidR="006B004B" w:rsidRPr="007133F8" w:rsidRDefault="006B004B" w:rsidP="006B004B">
      <w:pPr>
        <w:pStyle w:val="NormalHanging12a"/>
      </w:pPr>
      <w:r w:rsidRPr="007133F8">
        <w:lastRenderedPageBreak/>
        <w:t>–</w:t>
      </w:r>
      <w:r w:rsidRPr="007133F8">
        <w:tab/>
        <w:t>като взе предвид членове 60 и 58 от своя Правилник за дейността,</w:t>
      </w:r>
    </w:p>
    <w:p w14:paraId="160EA57D" w14:textId="77777777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>като взе предвид становищата на комисията по международна търговия и комисията по промишленост, изследвания и енергетика</w:t>
      </w:r>
    </w:p>
    <w:p w14:paraId="4AEF74A4" w14:textId="77777777" w:rsidR="006B004B" w:rsidRPr="007133F8" w:rsidRDefault="006B004B" w:rsidP="006B004B">
      <w:pPr>
        <w:pStyle w:val="NormalHanging12a"/>
      </w:pPr>
      <w:r w:rsidRPr="007133F8">
        <w:t>–</w:t>
      </w:r>
      <w:r w:rsidRPr="007133F8">
        <w:tab/>
        <w:t>като взе предвид доклада на комисията по околна среда, климат и безопасност на храните (A10-0085/2025),</w:t>
      </w:r>
    </w:p>
    <w:p w14:paraId="5F5A9550" w14:textId="542FDDD6" w:rsidR="006B004B" w:rsidRPr="007133F8" w:rsidRDefault="006B004B" w:rsidP="006B004B">
      <w:pPr>
        <w:pStyle w:val="NormalHanging12a"/>
      </w:pPr>
      <w:r w:rsidRPr="007133F8">
        <w:t>1.</w:t>
      </w:r>
      <w:r w:rsidRPr="007133F8">
        <w:tab/>
        <w:t>приема изложената по-долу позиция на първо четене</w:t>
      </w:r>
      <w:r w:rsidR="00702BB6">
        <w:rPr>
          <w:rStyle w:val="FootnoteReference"/>
        </w:rPr>
        <w:footnoteReference w:id="2"/>
      </w:r>
      <w:r w:rsidRPr="007133F8">
        <w:t>;</w:t>
      </w:r>
    </w:p>
    <w:p w14:paraId="311F00D2" w14:textId="5A02547E" w:rsidR="006B004B" w:rsidRPr="007133F8" w:rsidRDefault="006B004B" w:rsidP="006B004B">
      <w:pPr>
        <w:pStyle w:val="NormalHanging12a"/>
      </w:pPr>
      <w:r w:rsidRPr="007133F8">
        <w:t>2.</w:t>
      </w:r>
      <w:r w:rsidRPr="007133F8">
        <w:tab/>
        <w:t>приканва Комисията да се отнесе до него отново, в случай че замени своето предложение с друг текст</w:t>
      </w:r>
      <w:r w:rsidR="00916675">
        <w:t>,</w:t>
      </w:r>
      <w:r w:rsidRPr="007133F8">
        <w:t xml:space="preserve"> внесе или възнамерява да внесе съществени промени в това предложение;</w:t>
      </w:r>
    </w:p>
    <w:p w14:paraId="0D6F3B34" w14:textId="77777777" w:rsidR="006B004B" w:rsidRPr="007133F8" w:rsidRDefault="006B004B" w:rsidP="006B004B">
      <w:pPr>
        <w:pStyle w:val="NormalHanging12a"/>
      </w:pPr>
      <w:r w:rsidRPr="007133F8">
        <w:t>3.</w:t>
      </w:r>
      <w:r w:rsidRPr="007133F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8EB5803" w14:textId="77777777" w:rsidR="00702BB6" w:rsidRDefault="00702BB6" w:rsidP="006B004B"/>
    <w:p w14:paraId="3FE98E7D" w14:textId="77777777" w:rsidR="00702BB6" w:rsidRDefault="00702BB6" w:rsidP="006B004B">
      <w:pPr>
        <w:sectPr w:rsidR="00702BB6" w:rsidSect="007133F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6672109" w14:textId="77777777" w:rsidR="00702BB6" w:rsidRPr="00004431" w:rsidRDefault="00702BB6" w:rsidP="00702BB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4431">
        <w:rPr>
          <w:b/>
          <w:bCs/>
          <w:color w:val="000000"/>
        </w:rPr>
        <w:lastRenderedPageBreak/>
        <w:t>P10_TC1-COD(2025)0039</w:t>
      </w:r>
    </w:p>
    <w:p w14:paraId="7F3EF53B" w14:textId="26703DD1" w:rsidR="006B004B" w:rsidRDefault="00702BB6" w:rsidP="006B004B">
      <w:pPr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702BB6">
        <w:rPr>
          <w:b/>
          <w:szCs w:val="24"/>
        </w:rPr>
        <w:t xml:space="preserve">първо четене на </w:t>
      </w:r>
      <w:r>
        <w:rPr>
          <w:b/>
          <w:szCs w:val="24"/>
        </w:rPr>
        <w:t>10 септември</w:t>
      </w:r>
      <w:r w:rsidRPr="00702BB6">
        <w:rPr>
          <w:b/>
          <w:szCs w:val="24"/>
        </w:rPr>
        <w:t xml:space="preserve"> 2025 г. с оглед на приемането на Регламент (ЕС) 2025/... на Европей</w:t>
      </w:r>
      <w:r w:rsidRPr="00900F1D">
        <w:rPr>
          <w:b/>
          <w:szCs w:val="24"/>
        </w:rPr>
        <w:t xml:space="preserve">ския парламент и на Съвета </w:t>
      </w:r>
      <w:r w:rsidRPr="003B7BA9">
        <w:rPr>
          <w:rFonts w:eastAsia="Calibri"/>
          <w:b/>
          <w:color w:val="000000"/>
          <w:szCs w:val="22"/>
          <w:lang w:eastAsia="en-US"/>
        </w:rPr>
        <w:t>за изменение на Регламент (ЕС) 2023/956 с цел опростяване и укрепване на механизма за корекция на въглеродните емисии на границите</w:t>
      </w:r>
    </w:p>
    <w:p w14:paraId="70399986" w14:textId="77777777" w:rsidR="00B769FC" w:rsidRDefault="00B769FC" w:rsidP="006B004B">
      <w:pPr>
        <w:rPr>
          <w:rFonts w:eastAsia="Calibri"/>
          <w:b/>
          <w:color w:val="000000"/>
          <w:szCs w:val="22"/>
          <w:lang w:eastAsia="en-US"/>
        </w:rPr>
      </w:pPr>
    </w:p>
    <w:p w14:paraId="17438C70" w14:textId="1B224D4A" w:rsidR="00B769FC" w:rsidRDefault="00B769FC" w:rsidP="00B769FC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B769FC">
        <w:rPr>
          <w:i/>
        </w:rPr>
        <w:t xml:space="preserve">Парламента и Съвета, позицията на Парламента съответства на окончателния законодателен акт, Регламент (ЕС) </w:t>
      </w:r>
      <w:r w:rsidRPr="00B769FC">
        <w:rPr>
          <w:i/>
          <w:lang w:val="fr-FR"/>
        </w:rPr>
        <w:t>202</w:t>
      </w:r>
      <w:r w:rsidRPr="00B769FC">
        <w:rPr>
          <w:i/>
        </w:rPr>
        <w:t>5/</w:t>
      </w:r>
      <w:r w:rsidRPr="00B769FC">
        <w:rPr>
          <w:i/>
        </w:rPr>
        <w:t>2083</w:t>
      </w:r>
      <w:r w:rsidRPr="00B769FC">
        <w:rPr>
          <w:i/>
        </w:rPr>
        <w:t>.)</w:t>
      </w:r>
    </w:p>
    <w:p w14:paraId="28AC9C9C" w14:textId="77777777" w:rsidR="00B769FC" w:rsidRDefault="00B769FC" w:rsidP="006B004B">
      <w:pPr>
        <w:rPr>
          <w:rFonts w:eastAsia="Calibri"/>
          <w:b/>
          <w:color w:val="000000"/>
          <w:szCs w:val="22"/>
          <w:lang w:eastAsia="en-US"/>
        </w:rPr>
      </w:pPr>
    </w:p>
    <w:p w14:paraId="18649A9D" w14:textId="77777777" w:rsidR="00B769FC" w:rsidRDefault="00B769FC" w:rsidP="006B004B">
      <w:pPr>
        <w:rPr>
          <w:rFonts w:eastAsia="Calibri"/>
          <w:b/>
          <w:color w:val="000000"/>
          <w:szCs w:val="22"/>
          <w:lang w:eastAsia="en-US"/>
        </w:rPr>
      </w:pPr>
    </w:p>
    <w:sectPr w:rsidR="00B769FC" w:rsidSect="00B769F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D7F8A" w14:textId="77777777" w:rsidR="00BC5AA1" w:rsidRPr="007133F8" w:rsidRDefault="00BC5AA1">
      <w:r w:rsidRPr="007133F8">
        <w:separator/>
      </w:r>
    </w:p>
  </w:endnote>
  <w:endnote w:type="continuationSeparator" w:id="0">
    <w:p w14:paraId="5C44077E" w14:textId="77777777" w:rsidR="00BC5AA1" w:rsidRPr="007133F8" w:rsidRDefault="00BC5AA1">
      <w:r w:rsidRPr="007133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98332" w14:textId="77777777" w:rsidR="00BC5AA1" w:rsidRPr="007133F8" w:rsidRDefault="00BC5AA1">
      <w:r w:rsidRPr="007133F8">
        <w:separator/>
      </w:r>
    </w:p>
  </w:footnote>
  <w:footnote w:type="continuationSeparator" w:id="0">
    <w:p w14:paraId="217EBD79" w14:textId="77777777" w:rsidR="00BC5AA1" w:rsidRPr="007133F8" w:rsidRDefault="00BC5AA1">
      <w:r w:rsidRPr="007133F8">
        <w:continuationSeparator/>
      </w:r>
    </w:p>
  </w:footnote>
  <w:footnote w:id="1">
    <w:p w14:paraId="4F97D8FC" w14:textId="49EAC401" w:rsidR="006B004B" w:rsidRPr="00702BB6" w:rsidRDefault="006B004B" w:rsidP="007133F8">
      <w:pPr>
        <w:pStyle w:val="FootnoteText"/>
        <w:ind w:left="567" w:hanging="567"/>
        <w:rPr>
          <w:sz w:val="24"/>
          <w:szCs w:val="24"/>
          <w:lang w:val="bg-BG"/>
        </w:rPr>
      </w:pPr>
      <w:r w:rsidRPr="00702BB6">
        <w:rPr>
          <w:rStyle w:val="FootnoteReference"/>
          <w:sz w:val="24"/>
          <w:szCs w:val="24"/>
          <w:lang w:val="bg-BG"/>
        </w:rPr>
        <w:footnoteRef/>
      </w:r>
      <w:r w:rsidR="007133F8" w:rsidRPr="00702BB6">
        <w:rPr>
          <w:sz w:val="24"/>
          <w:szCs w:val="24"/>
          <w:lang w:val="bg-BG"/>
        </w:rPr>
        <w:t xml:space="preserve"> </w:t>
      </w:r>
      <w:r w:rsidR="007133F8" w:rsidRPr="00702BB6">
        <w:rPr>
          <w:sz w:val="24"/>
          <w:szCs w:val="24"/>
          <w:lang w:val="bg-BG"/>
        </w:rPr>
        <w:tab/>
      </w:r>
      <w:r w:rsidR="00683934" w:rsidRPr="00702BB6">
        <w:rPr>
          <w:sz w:val="24"/>
          <w:szCs w:val="24"/>
          <w:lang w:val="bg-BG"/>
        </w:rPr>
        <w:t>ОВ</w:t>
      </w:r>
      <w:r w:rsidR="00683934" w:rsidRPr="006D7672">
        <w:rPr>
          <w:sz w:val="24"/>
          <w:szCs w:val="24"/>
          <w:lang w:val="bg-BG"/>
        </w:rPr>
        <w:t xml:space="preserve"> C, C/2025/3201, 2.7.2025</w:t>
      </w:r>
      <w:r w:rsidR="00683934" w:rsidRPr="00702BB6">
        <w:rPr>
          <w:sz w:val="24"/>
          <w:szCs w:val="24"/>
          <w:lang w:val="bg-BG"/>
        </w:rPr>
        <w:t> г.</w:t>
      </w:r>
      <w:r w:rsidR="00683934" w:rsidRPr="006D7672">
        <w:rPr>
          <w:sz w:val="24"/>
          <w:szCs w:val="24"/>
          <w:lang w:val="bg-BG"/>
        </w:rPr>
        <w:t xml:space="preserve">, ELI: </w:t>
      </w:r>
      <w:hyperlink r:id="rId1" w:history="1">
        <w:r w:rsidR="00683934" w:rsidRPr="006D7672">
          <w:rPr>
            <w:rStyle w:val="Hyperlink"/>
            <w:sz w:val="24"/>
            <w:szCs w:val="24"/>
            <w:lang w:val="bg-BG"/>
          </w:rPr>
          <w:t>http://data.europa.eu/eli/C/2025/3201/oj</w:t>
        </w:r>
      </w:hyperlink>
      <w:r w:rsidRPr="00702BB6">
        <w:rPr>
          <w:sz w:val="24"/>
          <w:szCs w:val="24"/>
          <w:lang w:val="bg-BG"/>
        </w:rPr>
        <w:t>.</w:t>
      </w:r>
    </w:p>
  </w:footnote>
  <w:footnote w:id="2">
    <w:p w14:paraId="4B5E2C0A" w14:textId="50221182" w:rsidR="00702BB6" w:rsidRPr="006D7672" w:rsidRDefault="00702BB6" w:rsidP="006D7672">
      <w:pPr>
        <w:pStyle w:val="FootnoteText"/>
        <w:ind w:left="567" w:hanging="567"/>
        <w:rPr>
          <w:sz w:val="24"/>
          <w:szCs w:val="24"/>
          <w:lang w:val="bg-BG"/>
        </w:rPr>
      </w:pPr>
      <w:r w:rsidRPr="006D7672">
        <w:rPr>
          <w:rStyle w:val="FootnoteReference"/>
          <w:sz w:val="24"/>
          <w:szCs w:val="24"/>
          <w:lang w:val="bg-BG"/>
        </w:rPr>
        <w:footnoteRef/>
      </w:r>
      <w:r w:rsidRPr="006D7672">
        <w:rPr>
          <w:sz w:val="24"/>
          <w:szCs w:val="24"/>
          <w:lang w:val="bg-BG"/>
        </w:rPr>
        <w:t xml:space="preserve"> </w:t>
      </w:r>
      <w:r w:rsidRPr="006D7672">
        <w:rPr>
          <w:sz w:val="24"/>
          <w:szCs w:val="24"/>
          <w:lang w:val="bg-BG"/>
        </w:rPr>
        <w:tab/>
        <w:t xml:space="preserve">Тази позиция заменя измененията, приети на 22 май 2025 г. (Приети текстове, </w:t>
      </w:r>
      <w:r w:rsidRPr="006D7672">
        <w:rPr>
          <w:color w:val="000000"/>
          <w:sz w:val="24"/>
          <w:szCs w:val="24"/>
          <w:lang w:val="bg-BG"/>
        </w:rPr>
        <w:t>P10_TA(2025)0108).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0542888">
    <w:abstractNumId w:val="9"/>
  </w:num>
  <w:num w:numId="2" w16cid:durableId="623342803">
    <w:abstractNumId w:val="9"/>
  </w:num>
  <w:num w:numId="3" w16cid:durableId="766463545">
    <w:abstractNumId w:val="7"/>
  </w:num>
  <w:num w:numId="4" w16cid:durableId="585117995">
    <w:abstractNumId w:val="7"/>
  </w:num>
  <w:num w:numId="5" w16cid:durableId="1919710896">
    <w:abstractNumId w:val="6"/>
  </w:num>
  <w:num w:numId="6" w16cid:durableId="196747128">
    <w:abstractNumId w:val="6"/>
  </w:num>
  <w:num w:numId="7" w16cid:durableId="1073940350">
    <w:abstractNumId w:val="5"/>
  </w:num>
  <w:num w:numId="8" w16cid:durableId="758718380">
    <w:abstractNumId w:val="5"/>
  </w:num>
  <w:num w:numId="9" w16cid:durableId="1566913999">
    <w:abstractNumId w:val="4"/>
  </w:num>
  <w:num w:numId="10" w16cid:durableId="930046097">
    <w:abstractNumId w:val="4"/>
  </w:num>
  <w:num w:numId="11" w16cid:durableId="707687616">
    <w:abstractNumId w:val="8"/>
  </w:num>
  <w:num w:numId="12" w16cid:durableId="482280005">
    <w:abstractNumId w:val="8"/>
  </w:num>
  <w:num w:numId="13" w16cid:durableId="10844201">
    <w:abstractNumId w:val="3"/>
  </w:num>
  <w:num w:numId="14" w16cid:durableId="844902518">
    <w:abstractNumId w:val="3"/>
  </w:num>
  <w:num w:numId="15" w16cid:durableId="988826775">
    <w:abstractNumId w:val="2"/>
  </w:num>
  <w:num w:numId="16" w16cid:durableId="638994967">
    <w:abstractNumId w:val="2"/>
  </w:num>
  <w:num w:numId="17" w16cid:durableId="1512064034">
    <w:abstractNumId w:val="1"/>
  </w:num>
  <w:num w:numId="18" w16cid:durableId="2010063859">
    <w:abstractNumId w:val="1"/>
  </w:num>
  <w:num w:numId="19" w16cid:durableId="665943361">
    <w:abstractNumId w:val="0"/>
  </w:num>
  <w:num w:numId="20" w16cid:durableId="710113780">
    <w:abstractNumId w:val="0"/>
  </w:num>
  <w:num w:numId="21" w16cid:durableId="871191794">
    <w:abstractNumId w:val="9"/>
  </w:num>
  <w:num w:numId="22" w16cid:durableId="554125308">
    <w:abstractNumId w:val="7"/>
  </w:num>
  <w:num w:numId="23" w16cid:durableId="1567298872">
    <w:abstractNumId w:val="6"/>
  </w:num>
  <w:num w:numId="24" w16cid:durableId="2007126834">
    <w:abstractNumId w:val="5"/>
  </w:num>
  <w:num w:numId="25" w16cid:durableId="1518470465">
    <w:abstractNumId w:val="4"/>
  </w:num>
  <w:num w:numId="26" w16cid:durableId="83189504">
    <w:abstractNumId w:val="8"/>
  </w:num>
  <w:num w:numId="27" w16cid:durableId="2122334649">
    <w:abstractNumId w:val="3"/>
  </w:num>
  <w:num w:numId="28" w16cid:durableId="1734814448">
    <w:abstractNumId w:val="2"/>
  </w:num>
  <w:num w:numId="29" w16cid:durableId="1688874230">
    <w:abstractNumId w:val="1"/>
  </w:num>
  <w:num w:numId="30" w16cid:durableId="1128669520">
    <w:abstractNumId w:val="0"/>
  </w:num>
  <w:num w:numId="31" w16cid:durableId="848376845">
    <w:abstractNumId w:val="9"/>
  </w:num>
  <w:num w:numId="32" w16cid:durableId="1671566972">
    <w:abstractNumId w:val="7"/>
  </w:num>
  <w:num w:numId="33" w16cid:durableId="1501189918">
    <w:abstractNumId w:val="6"/>
  </w:num>
  <w:num w:numId="34" w16cid:durableId="2019388497">
    <w:abstractNumId w:val="5"/>
  </w:num>
  <w:num w:numId="35" w16cid:durableId="665597948">
    <w:abstractNumId w:val="4"/>
  </w:num>
  <w:num w:numId="36" w16cid:durableId="492645729">
    <w:abstractNumId w:val="8"/>
  </w:num>
  <w:num w:numId="37" w16cid:durableId="848829974">
    <w:abstractNumId w:val="3"/>
  </w:num>
  <w:num w:numId="38" w16cid:durableId="977221667">
    <w:abstractNumId w:val="2"/>
  </w:num>
  <w:num w:numId="39" w16cid:durableId="1652564689">
    <w:abstractNumId w:val="1"/>
  </w:num>
  <w:num w:numId="40" w16cid:durableId="1529642177">
    <w:abstractNumId w:val="0"/>
  </w:num>
  <w:num w:numId="41" w16cid:durableId="1391610498">
    <w:abstractNumId w:val="10"/>
  </w:num>
  <w:num w:numId="42" w16cid:durableId="648369215">
    <w:abstractNumId w:val="10"/>
  </w:num>
  <w:num w:numId="43" w16cid:durableId="668020191">
    <w:abstractNumId w:val="10"/>
  </w:num>
  <w:num w:numId="44" w16cid:durableId="2090345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BG"/>
    <w:docVar w:name="dvnumam" w:val="4"/>
    <w:docVar w:name="dvpe" w:val="773.301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23/956 с цел опростяване и укрепване на механизма за корекция на въглеродните емисии на границите(COM(2025)0087 – C10-0035/2025 – 2025/0039(COD))"/>
  </w:docVars>
  <w:rsids>
    <w:rsidRoot w:val="00BC5AA1"/>
    <w:rsid w:val="00002272"/>
    <w:rsid w:val="00064002"/>
    <w:rsid w:val="000677B9"/>
    <w:rsid w:val="000739B6"/>
    <w:rsid w:val="000831BA"/>
    <w:rsid w:val="000A42CC"/>
    <w:rsid w:val="000E7DD9"/>
    <w:rsid w:val="0010095E"/>
    <w:rsid w:val="00114CC7"/>
    <w:rsid w:val="00125B37"/>
    <w:rsid w:val="00187494"/>
    <w:rsid w:val="001F32AE"/>
    <w:rsid w:val="002767FF"/>
    <w:rsid w:val="002B18FE"/>
    <w:rsid w:val="002B5493"/>
    <w:rsid w:val="00343214"/>
    <w:rsid w:val="0035274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815"/>
    <w:rsid w:val="00545827"/>
    <w:rsid w:val="0055076C"/>
    <w:rsid w:val="00560270"/>
    <w:rsid w:val="005C2568"/>
    <w:rsid w:val="005F1B17"/>
    <w:rsid w:val="006037C0"/>
    <w:rsid w:val="006216E1"/>
    <w:rsid w:val="006631B6"/>
    <w:rsid w:val="00680577"/>
    <w:rsid w:val="00683934"/>
    <w:rsid w:val="006B004B"/>
    <w:rsid w:val="006D7672"/>
    <w:rsid w:val="006F74FA"/>
    <w:rsid w:val="00702BB6"/>
    <w:rsid w:val="007133F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675"/>
    <w:rsid w:val="00930C23"/>
    <w:rsid w:val="0093193B"/>
    <w:rsid w:val="009509D8"/>
    <w:rsid w:val="00950B64"/>
    <w:rsid w:val="009542C4"/>
    <w:rsid w:val="00981893"/>
    <w:rsid w:val="009E11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9FC"/>
    <w:rsid w:val="00BC5AA1"/>
    <w:rsid w:val="00BD48FE"/>
    <w:rsid w:val="00BD7BD8"/>
    <w:rsid w:val="00BE6ADC"/>
    <w:rsid w:val="00C03ECD"/>
    <w:rsid w:val="00C05BFE"/>
    <w:rsid w:val="00C23CD4"/>
    <w:rsid w:val="00C61C0C"/>
    <w:rsid w:val="00C941CB"/>
    <w:rsid w:val="00CC2357"/>
    <w:rsid w:val="00CE59FC"/>
    <w:rsid w:val="00CF071A"/>
    <w:rsid w:val="00D058B8"/>
    <w:rsid w:val="00D56C11"/>
    <w:rsid w:val="00D70D0E"/>
    <w:rsid w:val="00D834A0"/>
    <w:rsid w:val="00D872DF"/>
    <w:rsid w:val="00D91E21"/>
    <w:rsid w:val="00DA7FCD"/>
    <w:rsid w:val="00DD175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A0C49"/>
  <w15:chartTrackingRefBased/>
  <w15:docId w15:val="{3A86CBB0-6834-4C0C-BD08-A98C2A79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B004B"/>
    <w:rPr>
      <w:b/>
    </w:rPr>
  </w:style>
  <w:style w:type="paragraph" w:customStyle="1" w:styleId="NormalHanging12a">
    <w:name w:val="NormalHanging12a"/>
    <w:basedOn w:val="Normal"/>
    <w:link w:val="NormalHanging12aChar"/>
    <w:rsid w:val="006B004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B004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B004B"/>
    <w:pPr>
      <w:spacing w:before="240"/>
    </w:pPr>
    <w:rPr>
      <w:b/>
    </w:rPr>
  </w:style>
  <w:style w:type="paragraph" w:customStyle="1" w:styleId="EPComma">
    <w:name w:val="EPComma"/>
    <w:basedOn w:val="Normal"/>
    <w:rsid w:val="006B004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6B004B"/>
    <w:rPr>
      <w:b/>
      <w:sz w:val="24"/>
      <w:lang w:val="bg-BG"/>
    </w:rPr>
  </w:style>
  <w:style w:type="paragraph" w:customStyle="1" w:styleId="Normal6">
    <w:name w:val="Normal6"/>
    <w:basedOn w:val="Normal"/>
    <w:link w:val="Normal6Char"/>
    <w:rsid w:val="006B004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B004B"/>
    <w:rPr>
      <w:sz w:val="24"/>
      <w:lang w:val="bg-BG"/>
    </w:rPr>
  </w:style>
  <w:style w:type="paragraph" w:customStyle="1" w:styleId="ColumnHeading">
    <w:name w:val="ColumnHeading"/>
    <w:basedOn w:val="Normal"/>
    <w:rsid w:val="006B004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B004B"/>
    <w:rPr>
      <w:b/>
      <w:sz w:val="24"/>
      <w:lang w:val="bg-BG"/>
    </w:rPr>
  </w:style>
  <w:style w:type="character" w:customStyle="1" w:styleId="oj-sub">
    <w:name w:val="oj-sub"/>
    <w:rsid w:val="006B004B"/>
  </w:style>
  <w:style w:type="character" w:customStyle="1" w:styleId="NormalHanging12aChar">
    <w:name w:val="NormalHanging12a Char"/>
    <w:basedOn w:val="DefaultParagraphFont"/>
    <w:link w:val="NormalHanging12a"/>
    <w:locked/>
    <w:rsid w:val="006B004B"/>
    <w:rPr>
      <w:sz w:val="24"/>
      <w:lang w:val="bg-BG"/>
    </w:rPr>
  </w:style>
  <w:style w:type="paragraph" w:styleId="Revision">
    <w:name w:val="Revision"/>
    <w:hidden/>
    <w:uiPriority w:val="99"/>
    <w:semiHidden/>
    <w:rsid w:val="00916675"/>
    <w:rPr>
      <w:sz w:val="24"/>
      <w:lang w:val="bg-BG"/>
    </w:rPr>
  </w:style>
  <w:style w:type="character" w:styleId="Hyperlink">
    <w:name w:val="Hyperlink"/>
    <w:basedOn w:val="DefaultParagraphFont"/>
    <w:rsid w:val="006839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9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702B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BB6"/>
    <w:rPr>
      <w:sz w:val="24"/>
      <w:lang w:val="bg-BG"/>
    </w:rPr>
  </w:style>
  <w:style w:type="paragraph" w:customStyle="1" w:styleId="EPFooter2">
    <w:name w:val="EPFooter2"/>
    <w:basedOn w:val="Normal"/>
    <w:next w:val="Normal"/>
    <w:rsid w:val="00702BB6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702BB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uiPriority w:val="99"/>
    <w:rsid w:val="00702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BB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2025-10-21T14:18:00Z</dcterms:created>
  <dcterms:modified xsi:type="dcterms:W3CDTF">2025-10-21T14:18:00Z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