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E70D0" w14:paraId="0CA20EA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3979A7B" w14:textId="77777777" w:rsidR="00751A4A" w:rsidRPr="000E70D0" w:rsidRDefault="00C51D6C" w:rsidP="0010095E">
            <w:pPr>
              <w:pStyle w:val="EPName"/>
            </w:pPr>
            <w:r w:rsidRPr="000E70D0">
              <w:t>Ευρωπαϊκό Κοινοβούλιο</w:t>
            </w:r>
          </w:p>
          <w:p w14:paraId="2A0E3761" w14:textId="77777777" w:rsidR="00751A4A" w:rsidRPr="000E70D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E70D0">
              <w:t>2024</w:t>
            </w:r>
            <w:r w:rsidR="00817416" w:rsidRPr="000E70D0">
              <w:t>-202</w:t>
            </w:r>
            <w:r w:rsidRPr="000E70D0">
              <w:t>9</w:t>
            </w:r>
          </w:p>
        </w:tc>
        <w:tc>
          <w:tcPr>
            <w:tcW w:w="2268" w:type="dxa"/>
            <w:shd w:val="clear" w:color="auto" w:fill="auto"/>
          </w:tcPr>
          <w:p w14:paraId="7E6F3DC8" w14:textId="77777777" w:rsidR="00751A4A" w:rsidRPr="000E70D0" w:rsidRDefault="00187494" w:rsidP="0010095E">
            <w:pPr>
              <w:pStyle w:val="EPLogo"/>
            </w:pPr>
            <w:r w:rsidRPr="000E70D0">
              <w:rPr>
                <w:noProof/>
                <w:lang w:val="en-GB"/>
              </w:rPr>
              <w:drawing>
                <wp:inline distT="0" distB="0" distL="0" distR="0" wp14:anchorId="244B0F09" wp14:editId="6E8C9DF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19E7C7" w14:textId="77777777" w:rsidR="00D058B8" w:rsidRPr="000E70D0" w:rsidRDefault="00D058B8" w:rsidP="004C5D52">
      <w:pPr>
        <w:pStyle w:val="LineTop"/>
      </w:pPr>
    </w:p>
    <w:p w14:paraId="3CDD8A78" w14:textId="77777777" w:rsidR="00680577" w:rsidRPr="000E70D0" w:rsidRDefault="00C51D6C" w:rsidP="00680577">
      <w:pPr>
        <w:pStyle w:val="EPBodyTA1"/>
      </w:pPr>
      <w:r w:rsidRPr="000E70D0">
        <w:t>ΚΕΙΜΕΝΑ ΠΟΥ ΕΓΚΡΙΘΗΚΑΝ</w:t>
      </w:r>
    </w:p>
    <w:p w14:paraId="1A15FAE2" w14:textId="77777777" w:rsidR="00D058B8" w:rsidRPr="000E70D0" w:rsidRDefault="00D058B8" w:rsidP="00D058B8">
      <w:pPr>
        <w:pStyle w:val="LineBottom"/>
      </w:pPr>
    </w:p>
    <w:p w14:paraId="5846690C" w14:textId="6696C145" w:rsidR="00C51D6C" w:rsidRPr="00EF20D1" w:rsidRDefault="00C51D6C" w:rsidP="00C51D6C">
      <w:pPr>
        <w:pStyle w:val="ATHeading1"/>
      </w:pPr>
      <w:bookmarkStart w:id="0" w:name="TANumber"/>
      <w:r w:rsidRPr="000E70D0">
        <w:t>P10_TA(2025)0</w:t>
      </w:r>
      <w:r w:rsidR="00EF20D1" w:rsidRPr="00EF20D1">
        <w:t>178</w:t>
      </w:r>
      <w:bookmarkEnd w:id="0"/>
    </w:p>
    <w:p w14:paraId="2038CD00" w14:textId="3C966372" w:rsidR="00C51D6C" w:rsidRPr="000E70D0" w:rsidRDefault="004A5840" w:rsidP="002476E8">
      <w:pPr>
        <w:pStyle w:val="ATHeading2"/>
      </w:pPr>
      <w:bookmarkStart w:id="1" w:name="title"/>
      <w:r>
        <w:t xml:space="preserve">Μηχανισμός </w:t>
      </w:r>
      <w:r w:rsidR="002476E8">
        <w:t>συνοριακής προσαρμογής άνθρακα</w:t>
      </w:r>
      <w:bookmarkEnd w:id="1"/>
      <w:r>
        <w:t>: απλούστευση και ενίσχυση</w:t>
      </w:r>
    </w:p>
    <w:p w14:paraId="3E1D3219" w14:textId="77777777" w:rsidR="00C51D6C" w:rsidRPr="000E70D0" w:rsidRDefault="00C51D6C" w:rsidP="00C51D6C">
      <w:pPr>
        <w:rPr>
          <w:i/>
          <w:vanish/>
        </w:rPr>
      </w:pPr>
      <w:r w:rsidRPr="000E70D0">
        <w:rPr>
          <w:i/>
        </w:rPr>
        <w:fldChar w:fldCharType="begin"/>
      </w:r>
      <w:r w:rsidRPr="000E70D0">
        <w:rPr>
          <w:i/>
        </w:rPr>
        <w:instrText xml:space="preserve"> TC"(</w:instrText>
      </w:r>
      <w:bookmarkStart w:id="2" w:name="DocNumber"/>
      <w:r w:rsidRPr="000E70D0">
        <w:rPr>
          <w:i/>
        </w:rPr>
        <w:instrText>A10-0085/2025</w:instrText>
      </w:r>
      <w:bookmarkEnd w:id="2"/>
      <w:r w:rsidRPr="000E70D0">
        <w:rPr>
          <w:i/>
        </w:rPr>
        <w:instrText xml:space="preserve"> - Εισηγητής: Antonio Decaro)"\l3 \n&gt; \* MERGEFORMAT </w:instrText>
      </w:r>
      <w:r w:rsidRPr="000E70D0">
        <w:rPr>
          <w:i/>
        </w:rPr>
        <w:fldChar w:fldCharType="end"/>
      </w:r>
    </w:p>
    <w:p w14:paraId="0117AC4C" w14:textId="77777777" w:rsidR="00C51D6C" w:rsidRPr="000E70D0" w:rsidRDefault="00C51D6C" w:rsidP="00C51D6C">
      <w:pPr>
        <w:rPr>
          <w:vanish/>
        </w:rPr>
      </w:pPr>
      <w:bookmarkStart w:id="3" w:name="Commission"/>
      <w:r w:rsidRPr="000E70D0">
        <w:rPr>
          <w:vanish/>
        </w:rPr>
        <w:t>Επιτροπή Περιβάλλοντος, Κλίματος και Ασφάλειας των Τροφίμων</w:t>
      </w:r>
      <w:bookmarkEnd w:id="3"/>
    </w:p>
    <w:p w14:paraId="04399077" w14:textId="77777777" w:rsidR="00C51D6C" w:rsidRPr="000E70D0" w:rsidRDefault="00C51D6C" w:rsidP="00C51D6C">
      <w:pPr>
        <w:rPr>
          <w:vanish/>
        </w:rPr>
      </w:pPr>
      <w:bookmarkStart w:id="4" w:name="PE"/>
      <w:r w:rsidRPr="000E70D0">
        <w:rPr>
          <w:vanish/>
        </w:rPr>
        <w:t>PE773.301</w:t>
      </w:r>
      <w:bookmarkEnd w:id="4"/>
    </w:p>
    <w:p w14:paraId="2F67E931" w14:textId="19C55B8B" w:rsidR="00C51D6C" w:rsidRPr="000E70D0" w:rsidRDefault="00C51D6C" w:rsidP="00C51D6C">
      <w:pPr>
        <w:pStyle w:val="ATHeading3"/>
      </w:pPr>
      <w:bookmarkStart w:id="5" w:name="Sujet"/>
      <w:r w:rsidRPr="000E70D0">
        <w:t xml:space="preserve">Νομοθετικό ψήφισμα του Ευρωπαϊκού Κοινοβουλίου </w:t>
      </w:r>
      <w:r w:rsidR="002476E8">
        <w:t xml:space="preserve">της </w:t>
      </w:r>
      <w:r w:rsidR="00602BF4">
        <w:t>10ης</w:t>
      </w:r>
      <w:r w:rsidR="002476E8">
        <w:t xml:space="preserve"> </w:t>
      </w:r>
      <w:r w:rsidR="00602BF4">
        <w:t>Σεπτεμβρίου</w:t>
      </w:r>
      <w:r w:rsidR="002476E8">
        <w:t xml:space="preserve"> 2025 </w:t>
      </w:r>
      <w:r w:rsidRPr="000E70D0">
        <w:t>σχετικά με την πρόταση κανονισμού του Ευρωπαϊκού Κοινοβουλίου και του Συμβουλίου για την τροποποίηση του κανονισμού (ΕΕ) 2023/956 όσον αφορά την απλούστευση και την ενίσχυση του μηχανισμού συνοριακής προσαρμογής άνθρακα</w:t>
      </w:r>
      <w:bookmarkEnd w:id="5"/>
      <w:r w:rsidRPr="000E70D0">
        <w:t xml:space="preserve"> </w:t>
      </w:r>
      <w:bookmarkStart w:id="6" w:name="References"/>
      <w:r w:rsidRPr="000E70D0">
        <w:t>(COM(2025)0087 – C10-0035/2025 – 2025/0039(COD))</w:t>
      </w:r>
      <w:bookmarkEnd w:id="6"/>
    </w:p>
    <w:p w14:paraId="4069D879" w14:textId="77777777" w:rsidR="002476E8" w:rsidRDefault="002476E8" w:rsidP="00BF3B92">
      <w:pPr>
        <w:pStyle w:val="NormalBold"/>
      </w:pPr>
      <w:bookmarkStart w:id="7" w:name="TextBodyBegin"/>
      <w:bookmarkEnd w:id="7"/>
    </w:p>
    <w:p w14:paraId="37A26214" w14:textId="77777777" w:rsidR="00BF3B92" w:rsidRPr="000E70D0" w:rsidRDefault="00BF3B92" w:rsidP="00BF3B92">
      <w:pPr>
        <w:pStyle w:val="NormalBold"/>
      </w:pPr>
      <w:r w:rsidRPr="000E70D0">
        <w:t>(Συνήθης νομοθετική διαδικασία: πρώτη ανάγνωση))</w:t>
      </w:r>
    </w:p>
    <w:p w14:paraId="6B995967" w14:textId="77777777" w:rsidR="00BF3B92" w:rsidRPr="000E70D0" w:rsidRDefault="00BF3B92" w:rsidP="00BF3B92">
      <w:pPr>
        <w:pStyle w:val="EPComma"/>
      </w:pPr>
      <w:r w:rsidRPr="000E70D0">
        <w:rPr>
          <w:i/>
          <w:iCs/>
        </w:rPr>
        <w:t>Το Ευρωπαϊκό Κοινοβούλιο</w:t>
      </w:r>
      <w:r w:rsidRPr="000E70D0">
        <w:t>,</w:t>
      </w:r>
    </w:p>
    <w:p w14:paraId="7507B0D6" w14:textId="77777777" w:rsidR="00BF3B92" w:rsidRPr="000E70D0" w:rsidRDefault="00BF3B92" w:rsidP="00BF3B92">
      <w:pPr>
        <w:pStyle w:val="NormalHanging12a"/>
      </w:pPr>
      <w:r w:rsidRPr="000E70D0">
        <w:t>–</w:t>
      </w:r>
      <w:r w:rsidRPr="000E70D0">
        <w:tab/>
        <w:t>έχοντας υπόψη την πρόταση της Επιτροπής προς το Κοινοβούλιο και το Συμβούλιο (COM(2025)0087),</w:t>
      </w:r>
    </w:p>
    <w:p w14:paraId="4317FBA7" w14:textId="444E28B2" w:rsidR="00BF3B92" w:rsidRPr="000E70D0" w:rsidRDefault="00BF3B92" w:rsidP="00BF3B92">
      <w:pPr>
        <w:pStyle w:val="NormalHanging12a"/>
      </w:pPr>
      <w:r w:rsidRPr="000E70D0">
        <w:t>–</w:t>
      </w:r>
      <w:r w:rsidRPr="000E70D0">
        <w:tab/>
        <w:t>έχοντας υπόψη το άρθρο 294 παράγραφος 2 και το άρθρο 192 παράγραφος </w:t>
      </w:r>
      <w:r w:rsidR="009610ED">
        <w:t>1</w:t>
      </w:r>
      <w:r w:rsidRPr="000E70D0">
        <w:t xml:space="preserve"> της Συνθήκης για τη λειτουργία της Ευρωπαϊκής Ένωσης, σύμφωνα με τα οποία του υποβλήθηκε η πρόταση από την Επιτροπή (C10-0035/2025),</w:t>
      </w:r>
    </w:p>
    <w:p w14:paraId="0A1DFD87" w14:textId="77777777" w:rsidR="00BF3B92" w:rsidRPr="000E70D0" w:rsidRDefault="00BF3B92" w:rsidP="00BF3B92">
      <w:pPr>
        <w:pStyle w:val="NormalHanging12a"/>
      </w:pPr>
      <w:r w:rsidRPr="000E70D0">
        <w:t>–</w:t>
      </w:r>
      <w:r w:rsidRPr="000E70D0">
        <w:tab/>
        <w:t>έχοντας υπόψη το άρθρο 294 παράγραφος 3 της Συνθήκης για τη λειτουργία της Ευρωπαϊκής Ένωσης,</w:t>
      </w:r>
    </w:p>
    <w:p w14:paraId="3B93DEF0" w14:textId="77777777" w:rsidR="00BF3B92" w:rsidRPr="000E70D0" w:rsidRDefault="00BF3B92" w:rsidP="00BF3B92">
      <w:pPr>
        <w:pStyle w:val="NormalHanging12a"/>
      </w:pPr>
      <w:r w:rsidRPr="000E70D0">
        <w:t>–</w:t>
      </w:r>
      <w:r w:rsidRPr="000E70D0">
        <w:tab/>
        <w:t>έχοντας υπόψη τη δημοσιονομική αξιολόγηση που εξέδωσε η Επιτροπή Προϋπολογισμών,</w:t>
      </w:r>
    </w:p>
    <w:p w14:paraId="32DC6E30" w14:textId="057C000C" w:rsidR="00BF3B92" w:rsidRPr="000E70D0" w:rsidRDefault="00BF3B92" w:rsidP="00BF3B92">
      <w:pPr>
        <w:pStyle w:val="NormalHanging12a"/>
      </w:pPr>
      <w:r w:rsidRPr="000E70D0">
        <w:t>–</w:t>
      </w:r>
      <w:r w:rsidRPr="000E70D0">
        <w:tab/>
        <w:t>έχοντας υπόψη τη γνώμη της Ευρωπαϊκής Οικονομικής και Κοινωνικής Επιτροπής</w:t>
      </w:r>
      <w:r w:rsidR="004A5840">
        <w:t>,</w:t>
      </w:r>
      <w:r w:rsidRPr="000E70D0">
        <w:t xml:space="preserve"> της 29ης</w:t>
      </w:r>
      <w:r w:rsidR="004A5840">
        <w:t> </w:t>
      </w:r>
      <w:r w:rsidRPr="000E70D0">
        <w:t>Απριλίου 2025</w:t>
      </w:r>
      <w:r w:rsidRPr="000E70D0">
        <w:rPr>
          <w:vertAlign w:val="superscript"/>
        </w:rPr>
        <w:footnoteReference w:id="1"/>
      </w:r>
      <w:r w:rsidRPr="000E70D0">
        <w:t xml:space="preserve">, </w:t>
      </w:r>
    </w:p>
    <w:p w14:paraId="4D7BE87A" w14:textId="44AA002C" w:rsidR="00BF3B92" w:rsidRDefault="00BF3B92" w:rsidP="00BF3B92">
      <w:pPr>
        <w:pStyle w:val="NormalHanging12a"/>
      </w:pPr>
      <w:r w:rsidRPr="000E70D0">
        <w:t>–</w:t>
      </w:r>
      <w:r w:rsidRPr="000E70D0">
        <w:tab/>
      </w:r>
      <w:r w:rsidR="002476E8">
        <w:t xml:space="preserve">μετά από </w:t>
      </w:r>
      <w:r w:rsidRPr="000E70D0">
        <w:t xml:space="preserve">διαβούλευση με την Επιτροπή των Περιφερειών, </w:t>
      </w:r>
    </w:p>
    <w:p w14:paraId="6BBEC85E" w14:textId="64365364" w:rsidR="00F405D4" w:rsidRPr="000E70D0" w:rsidRDefault="00F405D4" w:rsidP="00BF3B92">
      <w:pPr>
        <w:pStyle w:val="NormalHanging12a"/>
      </w:pPr>
      <w:r w:rsidRPr="00A206AC">
        <w:t>–</w:t>
      </w:r>
      <w:r w:rsidRPr="00A206AC">
        <w:tab/>
      </w:r>
      <w:r w:rsidRPr="00905449">
        <w:t>έχοντας υπόψη την προσωρινή συμφωνία που εγκρίθηκε από την αρμόδια επιτροπή σύμφωνα με το άρθρο 74 παράγραφος 4 του Κανονισμού του και τη δέσμευση του εκπροσώπου του Συμβουλίου, με επιστολή της 2</w:t>
      </w:r>
      <w:r>
        <w:t>7η</w:t>
      </w:r>
      <w:r w:rsidRPr="00905449">
        <w:t xml:space="preserve">ς </w:t>
      </w:r>
      <w:r>
        <w:t>Ιουνίου</w:t>
      </w:r>
      <w:r w:rsidRPr="00905449">
        <w:t xml:space="preserve"> 202</w:t>
      </w:r>
      <w:r>
        <w:t>5</w:t>
      </w:r>
      <w:r w:rsidRPr="00905449">
        <w:t xml:space="preserve">, να εγκρίνει τη θέση του Κοινοβουλίου, σύμφωνα με το άρθρο 294 παράγραφος 4 της Συνθήκης για τη </w:t>
      </w:r>
      <w:r w:rsidRPr="00905449">
        <w:lastRenderedPageBreak/>
        <w:t>λειτουργία της Ευρωπαϊκής Ένωσης,</w:t>
      </w:r>
    </w:p>
    <w:p w14:paraId="25925D46" w14:textId="77777777" w:rsidR="00BF3B92" w:rsidRPr="000E70D0" w:rsidRDefault="00BF3B92" w:rsidP="00BF3B92">
      <w:pPr>
        <w:pStyle w:val="NormalHanging12a"/>
      </w:pPr>
      <w:r w:rsidRPr="000E70D0">
        <w:t>–</w:t>
      </w:r>
      <w:r w:rsidRPr="000E70D0">
        <w:tab/>
        <w:t>έχοντας υπόψη τα άρθρα 60 και 58 του Κανονισμού του,</w:t>
      </w:r>
    </w:p>
    <w:p w14:paraId="7B110ECF" w14:textId="77777777" w:rsidR="00BF3B92" w:rsidRPr="000E70D0" w:rsidRDefault="00BF3B92" w:rsidP="00BF3B92">
      <w:pPr>
        <w:pStyle w:val="NormalHanging12a"/>
      </w:pPr>
      <w:r w:rsidRPr="000E70D0">
        <w:t>–</w:t>
      </w:r>
      <w:r w:rsidRPr="000E70D0">
        <w:tab/>
        <w:t>έχοντας υπόψη τις γνωμοδοτήσεις της Επιτροπής Διεθνούς Εμπορίου και της Επιτροπής Βιομηχανίας, Έρευνας και Ενέργειας,</w:t>
      </w:r>
    </w:p>
    <w:p w14:paraId="587206DF" w14:textId="77777777" w:rsidR="00BF3B92" w:rsidRPr="000E70D0" w:rsidRDefault="00BF3B92" w:rsidP="00BF3B92">
      <w:pPr>
        <w:pStyle w:val="NormalHanging12a"/>
      </w:pPr>
      <w:r w:rsidRPr="000E70D0">
        <w:t>–</w:t>
      </w:r>
      <w:r w:rsidRPr="000E70D0">
        <w:tab/>
        <w:t>έχοντας υπόψη την έκθεση της Επιτροπής Περιβάλλοντος, Κλίματος και Ασφάλειας των Τροφίμων (A10-0085/2025),</w:t>
      </w:r>
    </w:p>
    <w:p w14:paraId="297E739A" w14:textId="744C2F91" w:rsidR="00BF3B92" w:rsidRPr="000E70D0" w:rsidRDefault="00BF3B92" w:rsidP="00BF3B92">
      <w:pPr>
        <w:pStyle w:val="NormalHanging12a"/>
      </w:pPr>
      <w:r w:rsidRPr="000E70D0">
        <w:t>1.</w:t>
      </w:r>
      <w:r w:rsidRPr="000E70D0">
        <w:tab/>
        <w:t>εγκρίνει τη θέση του σε πρώτη ανάγνωση όπως παρατίθεται κατωτέρω</w:t>
      </w:r>
      <w:r w:rsidR="00F405D4">
        <w:rPr>
          <w:rStyle w:val="FootnoteReference"/>
        </w:rPr>
        <w:footnoteReference w:id="2"/>
      </w:r>
      <w:r w:rsidRPr="000E70D0">
        <w:t>·</w:t>
      </w:r>
    </w:p>
    <w:p w14:paraId="7325A592" w14:textId="77777777" w:rsidR="00BF3B92" w:rsidRPr="000E70D0" w:rsidRDefault="00BF3B92" w:rsidP="00BF3B92">
      <w:pPr>
        <w:pStyle w:val="NormalHanging12a"/>
      </w:pPr>
      <w:r w:rsidRPr="000E70D0">
        <w:t>2.</w:t>
      </w:r>
      <w:r w:rsidRPr="000E70D0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14:paraId="064DCEF3" w14:textId="77777777" w:rsidR="00BF3B92" w:rsidRPr="000E70D0" w:rsidRDefault="00BF3B92" w:rsidP="00BF3B92">
      <w:pPr>
        <w:pStyle w:val="NormalHanging12a"/>
      </w:pPr>
      <w:r w:rsidRPr="000E70D0">
        <w:t>3.</w:t>
      </w:r>
      <w:r w:rsidRPr="000E70D0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14:paraId="5D36B046" w14:textId="77777777" w:rsidR="004A5840" w:rsidRDefault="004A5840">
      <w:pPr>
        <w:widowControl/>
        <w:sectPr w:rsidR="004A5840" w:rsidSect="004A5840">
          <w:footerReference w:type="even" r:id="rId9"/>
          <w:footerReference w:type="first" r:id="rId10"/>
          <w:footnotePr>
            <w:numRestart w:val="eachPage"/>
          </w:footnotePr>
          <w:pgSz w:w="11907" w:h="16840" w:code="9"/>
          <w:pgMar w:top="1134" w:right="1418" w:bottom="1418" w:left="1418" w:header="567" w:footer="567" w:gutter="0"/>
          <w:cols w:space="720"/>
          <w:docGrid w:linePitch="360"/>
        </w:sectPr>
      </w:pPr>
    </w:p>
    <w:p w14:paraId="7208EBF5" w14:textId="0D4CFA9A" w:rsidR="00DC14DB" w:rsidRDefault="00DC14DB">
      <w:pPr>
        <w:widowControl/>
      </w:pPr>
    </w:p>
    <w:p w14:paraId="0013D33B" w14:textId="039F43EA" w:rsidR="00470799" w:rsidRPr="00EF20D1" w:rsidRDefault="00470799" w:rsidP="00470799">
      <w:pPr>
        <w:spacing w:after="240"/>
        <w:rPr>
          <w:b/>
        </w:rPr>
      </w:pPr>
      <w:r w:rsidRPr="001C2D92">
        <w:rPr>
          <w:b/>
        </w:rPr>
        <w:t>P10_TC1-COD(</w:t>
      </w:r>
      <w:r>
        <w:rPr>
          <w:b/>
        </w:rPr>
        <w:t>202</w:t>
      </w:r>
      <w:r w:rsidRPr="00D459DE">
        <w:rPr>
          <w:b/>
        </w:rPr>
        <w:t>5</w:t>
      </w:r>
      <w:r w:rsidRPr="001C2D92">
        <w:rPr>
          <w:b/>
        </w:rPr>
        <w:t>)0</w:t>
      </w:r>
      <w:r w:rsidRPr="00D459DE">
        <w:rPr>
          <w:b/>
        </w:rPr>
        <w:t>0</w:t>
      </w:r>
      <w:r w:rsidRPr="00EF20D1">
        <w:rPr>
          <w:b/>
        </w:rPr>
        <w:t>39</w:t>
      </w:r>
    </w:p>
    <w:p w14:paraId="5B3F9757" w14:textId="5F92AABB" w:rsidR="00470799" w:rsidRDefault="00470799" w:rsidP="00470799">
      <w:pPr>
        <w:spacing w:after="240"/>
        <w:rPr>
          <w:rFonts w:eastAsia="Calibri"/>
          <w:b/>
          <w:color w:val="000000"/>
          <w:szCs w:val="22"/>
          <w:lang w:val="en-GB" w:eastAsia="en-US"/>
        </w:rPr>
      </w:pPr>
      <w:r w:rsidRPr="001C2D92">
        <w:rPr>
          <w:b/>
        </w:rPr>
        <w:t xml:space="preserve">Θέση του Ευρωπαϊκού Κοινοβουλίου που καθορίστηκε σε πρώτη ανάγνωση στις </w:t>
      </w:r>
      <w:r>
        <w:rPr>
          <w:b/>
        </w:rPr>
        <w:t>1</w:t>
      </w:r>
      <w:r w:rsidRPr="00D459DE">
        <w:rPr>
          <w:b/>
        </w:rPr>
        <w:t>0</w:t>
      </w:r>
      <w:r w:rsidRPr="001C2D92">
        <w:rPr>
          <w:b/>
        </w:rPr>
        <w:t> </w:t>
      </w:r>
      <w:r>
        <w:rPr>
          <w:b/>
        </w:rPr>
        <w:t xml:space="preserve">Σεπτεμβρίου </w:t>
      </w:r>
      <w:r w:rsidRPr="001C2D92">
        <w:rPr>
          <w:b/>
        </w:rPr>
        <w:t>202</w:t>
      </w:r>
      <w:r>
        <w:rPr>
          <w:b/>
        </w:rPr>
        <w:t>5</w:t>
      </w:r>
      <w:r w:rsidRPr="001C2D92">
        <w:rPr>
          <w:b/>
        </w:rPr>
        <w:t xml:space="preserve"> εν όψει της έγκρισης κανονισμού (ΕΕ) 202</w:t>
      </w:r>
      <w:r>
        <w:rPr>
          <w:b/>
        </w:rPr>
        <w:t>5</w:t>
      </w:r>
      <w:r w:rsidRPr="001C2D92">
        <w:rPr>
          <w:b/>
        </w:rPr>
        <w:t xml:space="preserve">/... του Ευρωπαϊκού Κοινοβουλίου και του Συμβουλίου </w:t>
      </w:r>
      <w:r w:rsidRPr="00470799">
        <w:rPr>
          <w:rFonts w:eastAsia="Calibri"/>
          <w:b/>
          <w:color w:val="000000"/>
          <w:szCs w:val="22"/>
          <w:lang w:eastAsia="en-US"/>
        </w:rPr>
        <w:t>για την τροποποίηση του κανονισμού (ΕΕ) 2023/956 όσον αφορά την απλούστευση και την ενίσχυση του μηχανισμού συνοριακής προσαρμογής άνθρακα</w:t>
      </w:r>
    </w:p>
    <w:p w14:paraId="36180CF0" w14:textId="615900BE" w:rsidR="00C01647" w:rsidRDefault="00C01647" w:rsidP="00C01647">
      <w:pPr>
        <w:rPr>
          <w:i/>
        </w:rPr>
      </w:pPr>
      <w:bookmarkStart w:id="8" w:name="_Hlk211856872"/>
      <w:r w:rsidRPr="007B7B26">
        <w:rPr>
          <w:i/>
        </w:rPr>
        <w:t>(Καθώς έχει επιτευχθεί συμφωνία μεταξύ του Κοινοβουλίου και του Συμβουλίου, η θέση του Κοινοβουλίου αντιστοιχεί στην τελική νομοθετική πράξη, κανονισμός (Ε</w:t>
      </w:r>
      <w:r>
        <w:rPr>
          <w:i/>
        </w:rPr>
        <w:t>Ε</w:t>
      </w:r>
      <w:r w:rsidRPr="007B7B26">
        <w:rPr>
          <w:i/>
        </w:rPr>
        <w:t xml:space="preserve">) </w:t>
      </w:r>
      <w:r>
        <w:rPr>
          <w:i/>
        </w:rPr>
        <w:t>202</w:t>
      </w:r>
      <w:r w:rsidRPr="000B2035">
        <w:rPr>
          <w:i/>
        </w:rPr>
        <w:t>5</w:t>
      </w:r>
      <w:r>
        <w:rPr>
          <w:i/>
        </w:rPr>
        <w:t>/</w:t>
      </w:r>
      <w:r w:rsidRPr="00C01647">
        <w:rPr>
          <w:i/>
        </w:rPr>
        <w:t>208</w:t>
      </w:r>
      <w:r>
        <w:rPr>
          <w:i/>
          <w:lang w:val="en-GB"/>
        </w:rPr>
        <w:t>3</w:t>
      </w:r>
      <w:r>
        <w:rPr>
          <w:i/>
        </w:rPr>
        <w:t>.</w:t>
      </w:r>
      <w:r w:rsidRPr="007B7B26">
        <w:rPr>
          <w:i/>
        </w:rPr>
        <w:t>)</w:t>
      </w:r>
    </w:p>
    <w:bookmarkEnd w:id="8"/>
    <w:p w14:paraId="64EDBB08" w14:textId="77777777" w:rsidR="00C01647" w:rsidRPr="00C01647" w:rsidRDefault="00C01647" w:rsidP="00470799">
      <w:pPr>
        <w:spacing w:after="240"/>
        <w:rPr>
          <w:rFonts w:eastAsia="Calibri"/>
          <w:b/>
          <w:color w:val="000000"/>
          <w:szCs w:val="22"/>
          <w:lang w:eastAsia="en-US"/>
        </w:rPr>
      </w:pPr>
    </w:p>
    <w:sectPr w:rsidR="00C01647" w:rsidRPr="00C01647" w:rsidSect="00C0164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7" w:h="16840" w:code="9"/>
      <w:pgMar w:top="1134" w:right="1418" w:bottom="1418" w:left="141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0CEB6" w14:textId="77777777" w:rsidR="00C51D6C" w:rsidRPr="000E70D0" w:rsidRDefault="00C51D6C">
      <w:r w:rsidRPr="000E70D0">
        <w:separator/>
      </w:r>
    </w:p>
  </w:endnote>
  <w:endnote w:type="continuationSeparator" w:id="0">
    <w:p w14:paraId="5DACF58E" w14:textId="77777777" w:rsidR="00C51D6C" w:rsidRPr="000E70D0" w:rsidRDefault="00C51D6C">
      <w:r w:rsidRPr="000E70D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46DF6" w14:textId="77777777" w:rsidR="00470799" w:rsidRPr="00207125" w:rsidRDefault="00470799" w:rsidP="00785B87">
    <w:pPr>
      <w:pStyle w:val="Footer"/>
      <w:tabs>
        <w:tab w:val="clear" w:pos="4513"/>
        <w:tab w:val="center" w:pos="4819"/>
        <w:tab w:val="right" w:pos="8504"/>
        <w:tab w:val="right" w:pos="9638"/>
      </w:tabs>
    </w:pPr>
    <w:r w:rsidRPr="00207125">
      <w:t xml:space="preserve">PE-CONS </w:t>
    </w:r>
    <w:proofErr w:type="spellStart"/>
    <w:r w:rsidRPr="00207125">
      <w:t>No</w:t>
    </w:r>
    <w:proofErr w:type="spellEnd"/>
    <w:r w:rsidRPr="00207125">
      <w:t>/YY</w:t>
    </w:r>
    <w:r w:rsidRPr="00207125">
      <w:tab/>
      <w:t>YYYY/NNNN(COD)</w:t>
    </w:r>
    <w:r w:rsidRPr="00207125">
      <w:tab/>
      <w:t>XYZ-AB/OP-QR</w:t>
    </w:r>
    <w:r w:rsidRPr="00207125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9E982" w14:textId="77777777" w:rsidR="00470799" w:rsidRPr="00207125" w:rsidRDefault="00470799" w:rsidP="00785B87">
    <w:pPr>
      <w:pStyle w:val="Footer"/>
      <w:tabs>
        <w:tab w:val="clear" w:pos="4513"/>
        <w:tab w:val="center" w:pos="4819"/>
        <w:tab w:val="right" w:pos="8504"/>
        <w:tab w:val="right" w:pos="9638"/>
      </w:tabs>
    </w:pPr>
    <w:r w:rsidRPr="00207125">
      <w:t xml:space="preserve">PE-CONS </w:t>
    </w:r>
    <w:proofErr w:type="spellStart"/>
    <w:r w:rsidRPr="00207125">
      <w:t>No</w:t>
    </w:r>
    <w:proofErr w:type="spellEnd"/>
    <w:r w:rsidRPr="00207125">
      <w:t>/YY</w:t>
    </w:r>
    <w:r w:rsidRPr="00207125">
      <w:tab/>
      <w:t>YYYY/NNNN(COD)</w:t>
    </w:r>
    <w:r w:rsidRPr="00207125">
      <w:tab/>
      <w:t>XYZ-AB/OP-QR</w:t>
    </w:r>
    <w:r w:rsidRPr="00207125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62D83" w14:textId="77777777" w:rsidR="00064002" w:rsidRPr="000E70D0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7C8E4" w14:textId="77777777" w:rsidR="00064002" w:rsidRPr="000E70D0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87476" w14:textId="77777777" w:rsidR="00064002" w:rsidRPr="000E70D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842D1" w14:textId="77777777" w:rsidR="00C51D6C" w:rsidRPr="000E70D0" w:rsidRDefault="00C51D6C">
      <w:r w:rsidRPr="000E70D0">
        <w:separator/>
      </w:r>
    </w:p>
  </w:footnote>
  <w:footnote w:type="continuationSeparator" w:id="0">
    <w:p w14:paraId="5266BDDD" w14:textId="77777777" w:rsidR="00C51D6C" w:rsidRPr="000E70D0" w:rsidRDefault="00C51D6C">
      <w:r w:rsidRPr="000E70D0">
        <w:continuationSeparator/>
      </w:r>
    </w:p>
  </w:footnote>
  <w:footnote w:id="1">
    <w:p w14:paraId="3100F30F" w14:textId="4A24A6BF" w:rsidR="00BF3B92" w:rsidRPr="00EF20D1" w:rsidRDefault="00BF3B92" w:rsidP="00EF20D1">
      <w:pPr>
        <w:pStyle w:val="FootnoteText"/>
        <w:spacing w:line="240" w:lineRule="auto"/>
        <w:ind w:left="851" w:hanging="851"/>
        <w:rPr>
          <w:sz w:val="24"/>
          <w:szCs w:val="24"/>
          <w:lang w:val="fi-FI"/>
        </w:rPr>
      </w:pPr>
      <w:r w:rsidRPr="00F405D4">
        <w:rPr>
          <w:rStyle w:val="FootnoteReference"/>
          <w:sz w:val="24"/>
          <w:szCs w:val="24"/>
          <w:lang w:val="el-GR"/>
        </w:rPr>
        <w:footnoteRef/>
      </w:r>
      <w:r w:rsidR="000E70D0" w:rsidRPr="00EF20D1">
        <w:rPr>
          <w:sz w:val="24"/>
          <w:szCs w:val="24"/>
          <w:lang w:val="fi-FI"/>
        </w:rPr>
        <w:t xml:space="preserve"> </w:t>
      </w:r>
      <w:r w:rsidR="000E70D0" w:rsidRPr="00EF20D1">
        <w:rPr>
          <w:sz w:val="24"/>
          <w:szCs w:val="24"/>
          <w:lang w:val="fi-FI"/>
        </w:rPr>
        <w:tab/>
      </w:r>
      <w:r w:rsidR="00602BF4" w:rsidRPr="00F405D4">
        <w:rPr>
          <w:sz w:val="24"/>
          <w:szCs w:val="24"/>
          <w:lang w:val="el-GR"/>
        </w:rPr>
        <w:t>ΕΕ</w:t>
      </w:r>
      <w:r w:rsidR="00602BF4" w:rsidRPr="00F405D4">
        <w:rPr>
          <w:sz w:val="24"/>
          <w:szCs w:val="24"/>
          <w:lang w:val="fi-FI"/>
        </w:rPr>
        <w:t xml:space="preserve"> C, C/2025/3201, 2.7.2025, ELI: </w:t>
      </w:r>
      <w:hyperlink r:id="rId1" w:history="1">
        <w:r w:rsidR="00602BF4" w:rsidRPr="00F405D4">
          <w:rPr>
            <w:rStyle w:val="Hyperlink"/>
            <w:sz w:val="24"/>
            <w:szCs w:val="24"/>
            <w:lang w:val="fi-FI"/>
          </w:rPr>
          <w:t>http://data.europa.eu/eli/C/2025/3201/oj</w:t>
        </w:r>
      </w:hyperlink>
      <w:r w:rsidRPr="00EF20D1">
        <w:rPr>
          <w:sz w:val="24"/>
          <w:szCs w:val="24"/>
          <w:lang w:val="fi-FI"/>
        </w:rPr>
        <w:t>.</w:t>
      </w:r>
    </w:p>
  </w:footnote>
  <w:footnote w:id="2">
    <w:p w14:paraId="29C9C0C5" w14:textId="382AFA8D" w:rsidR="00F405D4" w:rsidRPr="00EF20D1" w:rsidRDefault="00F405D4" w:rsidP="00EF20D1">
      <w:pPr>
        <w:pStyle w:val="FootnoteText"/>
        <w:spacing w:line="240" w:lineRule="auto"/>
        <w:ind w:left="851" w:hanging="851"/>
        <w:rPr>
          <w:sz w:val="24"/>
          <w:szCs w:val="24"/>
          <w:lang w:val="el-GR"/>
        </w:rPr>
      </w:pPr>
      <w:r w:rsidRPr="00EF20D1">
        <w:rPr>
          <w:rStyle w:val="FootnoteReference"/>
          <w:sz w:val="24"/>
          <w:szCs w:val="24"/>
        </w:rPr>
        <w:footnoteRef/>
      </w:r>
      <w:r w:rsidRPr="00EF20D1">
        <w:rPr>
          <w:sz w:val="24"/>
          <w:szCs w:val="24"/>
          <w:lang w:val="el-GR"/>
        </w:rPr>
        <w:t xml:space="preserve"> </w:t>
      </w:r>
      <w:r w:rsidRPr="00EF20D1">
        <w:rPr>
          <w:sz w:val="24"/>
          <w:szCs w:val="24"/>
          <w:lang w:val="el-GR"/>
        </w:rPr>
        <w:tab/>
      </w:r>
      <w:r w:rsidRPr="00EF20D1">
        <w:rPr>
          <w:sz w:val="24"/>
          <w:szCs w:val="24"/>
          <w:lang w:val="el-GR"/>
        </w:rPr>
        <w:t xml:space="preserve">Η παρούσα θέση αντικαθιστά τις τροπολογίες που εγκρίθηκαν στις </w:t>
      </w:r>
      <w:r>
        <w:rPr>
          <w:sz w:val="24"/>
          <w:szCs w:val="24"/>
          <w:lang w:val="el-GR"/>
        </w:rPr>
        <w:t>22 Μαΐου 2025</w:t>
      </w:r>
      <w:r w:rsidRPr="00EF20D1">
        <w:rPr>
          <w:sz w:val="24"/>
          <w:szCs w:val="24"/>
          <w:lang w:val="el-GR"/>
        </w:rPr>
        <w:t xml:space="preserve"> (Κείμενα που εγκρίθηκαν, P</w:t>
      </w:r>
      <w:r>
        <w:rPr>
          <w:sz w:val="24"/>
          <w:szCs w:val="24"/>
          <w:lang w:val="el-GR"/>
        </w:rPr>
        <w:t>10</w:t>
      </w:r>
      <w:r w:rsidRPr="00EF20D1">
        <w:rPr>
          <w:sz w:val="24"/>
          <w:szCs w:val="24"/>
          <w:lang w:val="el-GR"/>
        </w:rPr>
        <w:t>_TA(20</w:t>
      </w:r>
      <w:r>
        <w:rPr>
          <w:sz w:val="24"/>
          <w:szCs w:val="24"/>
          <w:lang w:val="el-GR"/>
        </w:rPr>
        <w:t>25</w:t>
      </w:r>
      <w:r w:rsidRPr="00EF20D1">
        <w:rPr>
          <w:sz w:val="24"/>
          <w:szCs w:val="24"/>
          <w:lang w:val="el-GR"/>
        </w:rPr>
        <w:t>)0</w:t>
      </w:r>
      <w:r>
        <w:rPr>
          <w:sz w:val="24"/>
          <w:szCs w:val="24"/>
          <w:lang w:val="el-GR"/>
        </w:rPr>
        <w:t>108</w:t>
      </w:r>
      <w:r w:rsidRPr="00EF20D1">
        <w:rPr>
          <w:sz w:val="24"/>
          <w:szCs w:val="24"/>
          <w:lang w:val="el-G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8B31A" w14:textId="77777777" w:rsidR="00064002" w:rsidRPr="000E70D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EE81D" w14:textId="77777777" w:rsidR="00064002" w:rsidRPr="000E70D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6E192" w14:textId="77777777" w:rsidR="00064002" w:rsidRPr="000E70D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6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7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9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num w:numId="1" w16cid:durableId="988249590">
    <w:abstractNumId w:val="0"/>
  </w:num>
  <w:num w:numId="2" w16cid:durableId="2021085042">
    <w:abstractNumId w:val="2"/>
  </w:num>
  <w:num w:numId="3" w16cid:durableId="2123263773">
    <w:abstractNumId w:val="5"/>
  </w:num>
  <w:num w:numId="4" w16cid:durableId="1652441354">
    <w:abstractNumId w:val="7"/>
  </w:num>
  <w:num w:numId="5" w16cid:durableId="2083676643">
    <w:abstractNumId w:val="6"/>
  </w:num>
  <w:num w:numId="6" w16cid:durableId="1470628362">
    <w:abstractNumId w:val="8"/>
  </w:num>
  <w:num w:numId="7" w16cid:durableId="1065183579">
    <w:abstractNumId w:val="9"/>
  </w:num>
  <w:num w:numId="8" w16cid:durableId="469254282">
    <w:abstractNumId w:val="3"/>
  </w:num>
  <w:num w:numId="9" w16cid:durableId="658655448">
    <w:abstractNumId w:val="1"/>
  </w:num>
  <w:num w:numId="10" w16cid:durableId="2022314433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6385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85/2025"/>
    <w:docVar w:name="dvlangue" w:val="EL"/>
    <w:docVar w:name="dvnumam" w:val="0"/>
    <w:docVar w:name="dvpe" w:val="773.301"/>
    <w:docVar w:name="dvrapporteur" w:val="Εισηγητής: "/>
    <w:docVar w:name="dvstar" w:val="***I"/>
    <w:docVar w:name="dvtitre" w:val="Νομοθετικό ψήφισμα του Ευρωπαϊκού Κοινοβουλίου σχετικά με την πρόταση κανονισμού του Ευρωπαϊκού Κοινοβουλίου και του Συμβουλίου για την τροποποίηση του κανονισμού (ΕΕ) 2023/956 όσον αφορά την απλούστευση και την ενίσχυση του μηχανισμού συνοριακής προσαρμογής άνθρακα(COM(2025)0087 – C10-0035/2025 – 2025/0039(COD))"/>
  </w:docVars>
  <w:rsids>
    <w:rsidRoot w:val="00C51D6C"/>
    <w:rsid w:val="00002272"/>
    <w:rsid w:val="00061E29"/>
    <w:rsid w:val="00064002"/>
    <w:rsid w:val="000677B9"/>
    <w:rsid w:val="000831BA"/>
    <w:rsid w:val="000A42CC"/>
    <w:rsid w:val="000E70D0"/>
    <w:rsid w:val="000E7DD9"/>
    <w:rsid w:val="0010095E"/>
    <w:rsid w:val="00125B37"/>
    <w:rsid w:val="00176787"/>
    <w:rsid w:val="00187494"/>
    <w:rsid w:val="001D6285"/>
    <w:rsid w:val="001F32AE"/>
    <w:rsid w:val="002476E8"/>
    <w:rsid w:val="002767FF"/>
    <w:rsid w:val="002B18FE"/>
    <w:rsid w:val="002B5493"/>
    <w:rsid w:val="002B6A80"/>
    <w:rsid w:val="00342285"/>
    <w:rsid w:val="00343214"/>
    <w:rsid w:val="00361C00"/>
    <w:rsid w:val="00395FA1"/>
    <w:rsid w:val="003E15D4"/>
    <w:rsid w:val="00411CCE"/>
    <w:rsid w:val="0041666E"/>
    <w:rsid w:val="00421060"/>
    <w:rsid w:val="00435C2F"/>
    <w:rsid w:val="00470799"/>
    <w:rsid w:val="00471C19"/>
    <w:rsid w:val="004867E3"/>
    <w:rsid w:val="00494A28"/>
    <w:rsid w:val="004A5840"/>
    <w:rsid w:val="004C0004"/>
    <w:rsid w:val="004C5D52"/>
    <w:rsid w:val="004E0792"/>
    <w:rsid w:val="0050519A"/>
    <w:rsid w:val="005072A1"/>
    <w:rsid w:val="00514517"/>
    <w:rsid w:val="00545827"/>
    <w:rsid w:val="00560270"/>
    <w:rsid w:val="005C2568"/>
    <w:rsid w:val="005F1B17"/>
    <w:rsid w:val="00602BF4"/>
    <w:rsid w:val="006037C0"/>
    <w:rsid w:val="006631B6"/>
    <w:rsid w:val="00680577"/>
    <w:rsid w:val="006F74FA"/>
    <w:rsid w:val="00731ADD"/>
    <w:rsid w:val="00734777"/>
    <w:rsid w:val="00747932"/>
    <w:rsid w:val="00751678"/>
    <w:rsid w:val="00751A4A"/>
    <w:rsid w:val="00756632"/>
    <w:rsid w:val="00762C74"/>
    <w:rsid w:val="0076690E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2C78"/>
    <w:rsid w:val="00930C23"/>
    <w:rsid w:val="0093193B"/>
    <w:rsid w:val="009509D8"/>
    <w:rsid w:val="00950B64"/>
    <w:rsid w:val="009610ED"/>
    <w:rsid w:val="00981893"/>
    <w:rsid w:val="009D78A5"/>
    <w:rsid w:val="00A1687D"/>
    <w:rsid w:val="00A43E52"/>
    <w:rsid w:val="00A4678D"/>
    <w:rsid w:val="00A778C7"/>
    <w:rsid w:val="00A91A32"/>
    <w:rsid w:val="00AB441E"/>
    <w:rsid w:val="00AB6293"/>
    <w:rsid w:val="00AE0928"/>
    <w:rsid w:val="00AF3B82"/>
    <w:rsid w:val="00B12E95"/>
    <w:rsid w:val="00B22876"/>
    <w:rsid w:val="00B37680"/>
    <w:rsid w:val="00B558F0"/>
    <w:rsid w:val="00BD48FE"/>
    <w:rsid w:val="00BD7BD8"/>
    <w:rsid w:val="00BE6ADC"/>
    <w:rsid w:val="00BF3B92"/>
    <w:rsid w:val="00C01647"/>
    <w:rsid w:val="00C05BFE"/>
    <w:rsid w:val="00C23CD4"/>
    <w:rsid w:val="00C51D6C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53E4"/>
    <w:rsid w:val="00DC14DB"/>
    <w:rsid w:val="00E365E1"/>
    <w:rsid w:val="00E56709"/>
    <w:rsid w:val="00E820A4"/>
    <w:rsid w:val="00EB006A"/>
    <w:rsid w:val="00EB4772"/>
    <w:rsid w:val="00ED169E"/>
    <w:rsid w:val="00ED4235"/>
    <w:rsid w:val="00EF20D1"/>
    <w:rsid w:val="00F04346"/>
    <w:rsid w:val="00F075DC"/>
    <w:rsid w:val="00F149E9"/>
    <w:rsid w:val="00F405D4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0F8E3372"/>
  <w15:chartTrackingRefBased/>
  <w15:docId w15:val="{2621A970-203D-4AB0-85C9-F2509D54F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Number 3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CharCharChar1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BF3B92"/>
    <w:rPr>
      <w:b/>
    </w:rPr>
  </w:style>
  <w:style w:type="paragraph" w:customStyle="1" w:styleId="NormalBold12a">
    <w:name w:val="NormalBold12a"/>
    <w:basedOn w:val="Normal"/>
    <w:rsid w:val="00BF3B92"/>
    <w:pPr>
      <w:spacing w:after="240"/>
    </w:pPr>
    <w:rPr>
      <w:b/>
    </w:rPr>
  </w:style>
  <w:style w:type="paragraph" w:customStyle="1" w:styleId="NormalHanging12a">
    <w:name w:val="NormalHanging12a"/>
    <w:basedOn w:val="Normal"/>
    <w:link w:val="NormalHanging12aChar"/>
    <w:rsid w:val="00BF3B92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BF3B9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BF3B92"/>
    <w:pPr>
      <w:spacing w:before="240"/>
    </w:pPr>
    <w:rPr>
      <w:b/>
    </w:rPr>
  </w:style>
  <w:style w:type="paragraph" w:customStyle="1" w:styleId="EPComma">
    <w:name w:val="EPComma"/>
    <w:basedOn w:val="Normal"/>
    <w:rsid w:val="00BF3B92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BF3B92"/>
    <w:rPr>
      <w:b/>
      <w:sz w:val="24"/>
      <w:lang w:val="el-GR"/>
    </w:rPr>
  </w:style>
  <w:style w:type="paragraph" w:customStyle="1" w:styleId="Normal6">
    <w:name w:val="Normal6"/>
    <w:basedOn w:val="Normal"/>
    <w:link w:val="Normal6Char"/>
    <w:rsid w:val="00BF3B92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BF3B92"/>
    <w:rPr>
      <w:sz w:val="24"/>
      <w:lang w:val="el-GR"/>
    </w:rPr>
  </w:style>
  <w:style w:type="paragraph" w:customStyle="1" w:styleId="ColumnHeading">
    <w:name w:val="ColumnHeading"/>
    <w:basedOn w:val="Normal"/>
    <w:rsid w:val="00BF3B92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BF3B92"/>
    <w:rPr>
      <w:b/>
      <w:sz w:val="24"/>
      <w:lang w:val="el-GR"/>
    </w:rPr>
  </w:style>
  <w:style w:type="character" w:customStyle="1" w:styleId="oj-sub">
    <w:name w:val="oj-sub"/>
    <w:rsid w:val="00BF3B92"/>
  </w:style>
  <w:style w:type="character" w:customStyle="1" w:styleId="NormalHanging12aChar">
    <w:name w:val="NormalHanging12a Char"/>
    <w:basedOn w:val="DefaultParagraphFont"/>
    <w:link w:val="NormalHanging12a"/>
    <w:locked/>
    <w:rsid w:val="00BF3B92"/>
    <w:rPr>
      <w:sz w:val="24"/>
      <w:lang w:val="el-GR"/>
    </w:rPr>
  </w:style>
  <w:style w:type="paragraph" w:styleId="BalloonText">
    <w:name w:val="Balloon Text"/>
    <w:basedOn w:val="Normal"/>
    <w:link w:val="BalloonTextChar"/>
    <w:rsid w:val="002476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476E8"/>
    <w:rPr>
      <w:rFonts w:ascii="Segoe UI" w:hAnsi="Segoe UI" w:cs="Segoe UI"/>
      <w:sz w:val="18"/>
      <w:szCs w:val="18"/>
      <w:lang w:val="el-GR"/>
    </w:rPr>
  </w:style>
  <w:style w:type="paragraph" w:styleId="Revision">
    <w:name w:val="Revision"/>
    <w:hidden/>
    <w:uiPriority w:val="99"/>
    <w:semiHidden/>
    <w:rsid w:val="00602BF4"/>
    <w:rPr>
      <w:sz w:val="24"/>
      <w:lang w:val="el-GR"/>
    </w:rPr>
  </w:style>
  <w:style w:type="character" w:styleId="Hyperlink">
    <w:name w:val="Hyperlink"/>
    <w:basedOn w:val="DefaultParagraphFont"/>
    <w:uiPriority w:val="99"/>
    <w:rsid w:val="00602BF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02BF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47079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079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079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079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079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0799"/>
    <w:rPr>
      <w:i/>
      <w:sz w:val="22"/>
      <w:lang w:val="el-G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0799"/>
    <w:rPr>
      <w:rFonts w:ascii="Arial" w:hAnsi="Arial"/>
      <w:sz w:val="24"/>
      <w:lang w:val="el-GR"/>
    </w:rPr>
  </w:style>
  <w:style w:type="character" w:customStyle="1" w:styleId="Heading8Char">
    <w:name w:val="Heading 8 Char"/>
    <w:basedOn w:val="DefaultParagraphFont"/>
    <w:link w:val="Heading8"/>
    <w:semiHidden/>
    <w:rsid w:val="00470799"/>
    <w:rPr>
      <w:rFonts w:ascii="Arial" w:hAnsi="Arial"/>
      <w:i/>
      <w:sz w:val="24"/>
      <w:lang w:val="el-GR"/>
    </w:rPr>
  </w:style>
  <w:style w:type="character" w:customStyle="1" w:styleId="Heading9Char">
    <w:name w:val="Heading 9 Char"/>
    <w:basedOn w:val="DefaultParagraphFont"/>
    <w:link w:val="Heading9"/>
    <w:semiHidden/>
    <w:rsid w:val="00470799"/>
    <w:rPr>
      <w:rFonts w:ascii="Arial" w:hAnsi="Arial"/>
      <w:b/>
      <w:i/>
      <w:sz w:val="18"/>
      <w:lang w:val="el-GR"/>
    </w:rPr>
  </w:style>
  <w:style w:type="paragraph" w:styleId="Header">
    <w:name w:val="header"/>
    <w:basedOn w:val="Normal"/>
    <w:link w:val="HeaderChar"/>
    <w:uiPriority w:val="99"/>
    <w:rsid w:val="004707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0799"/>
    <w:rPr>
      <w:sz w:val="24"/>
      <w:lang w:val="el-GR"/>
    </w:rPr>
  </w:style>
  <w:style w:type="paragraph" w:customStyle="1" w:styleId="AmDocTypeTab">
    <w:name w:val="AmDocTypeTab"/>
    <w:basedOn w:val="Normal"/>
    <w:rsid w:val="00470799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470799"/>
    <w:pPr>
      <w:spacing w:after="240"/>
    </w:pPr>
  </w:style>
  <w:style w:type="paragraph" w:customStyle="1" w:styleId="EPFooter2">
    <w:name w:val="EPFooter2"/>
    <w:basedOn w:val="Normal"/>
    <w:next w:val="Normal"/>
    <w:rsid w:val="0047079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470799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470799"/>
    <w:pPr>
      <w:spacing w:after="240"/>
      <w:jc w:val="center"/>
    </w:pPr>
  </w:style>
  <w:style w:type="paragraph" w:customStyle="1" w:styleId="AmDateTab">
    <w:name w:val="AmDateTab"/>
    <w:basedOn w:val="Normal"/>
    <w:rsid w:val="00470799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470799"/>
    <w:pPr>
      <w:spacing w:before="720" w:after="240"/>
      <w:jc w:val="center"/>
    </w:pPr>
  </w:style>
  <w:style w:type="paragraph" w:customStyle="1" w:styleId="EPFooter">
    <w:name w:val="EPFooter"/>
    <w:basedOn w:val="Normal"/>
    <w:rsid w:val="0047079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470799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4707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0799"/>
    <w:rPr>
      <w:sz w:val="24"/>
      <w:lang w:val="el-GR"/>
    </w:rPr>
  </w:style>
  <w:style w:type="numbering" w:customStyle="1" w:styleId="NoList1">
    <w:name w:val="No List1"/>
    <w:next w:val="NoList"/>
    <w:uiPriority w:val="99"/>
    <w:semiHidden/>
    <w:unhideWhenUsed/>
    <w:rsid w:val="00470799"/>
  </w:style>
  <w:style w:type="paragraph" w:styleId="ListBullet4">
    <w:name w:val="List Bullet 4"/>
    <w:basedOn w:val="Normal"/>
    <w:rsid w:val="00470799"/>
    <w:pPr>
      <w:widowControl/>
      <w:numPr>
        <w:numId w:val="3"/>
      </w:numPr>
      <w:tabs>
        <w:tab w:val="num" w:pos="360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styleId="ListNumber">
    <w:name w:val="List Number"/>
    <w:basedOn w:val="Normal"/>
    <w:rsid w:val="00470799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CharCharChar1">
    <w:name w:val="Char Char Char1"/>
    <w:basedOn w:val="Normal"/>
    <w:link w:val="FootnoteReference"/>
    <w:uiPriority w:val="99"/>
    <w:rsid w:val="00470799"/>
    <w:pPr>
      <w:widowControl/>
      <w:spacing w:after="120" w:line="240" w:lineRule="exact"/>
      <w:jc w:val="both"/>
    </w:pPr>
    <w:rPr>
      <w:sz w:val="20"/>
      <w:vertAlign w:val="superscript"/>
      <w:lang w:val="en-GB"/>
    </w:rPr>
  </w:style>
  <w:style w:type="paragraph" w:customStyle="1" w:styleId="Text1">
    <w:name w:val="Text 1"/>
    <w:basedOn w:val="Normal"/>
    <w:rsid w:val="00470799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470799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470799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470799"/>
    <w:pPr>
      <w:widowControl/>
      <w:tabs>
        <w:tab w:val="num" w:pos="3685"/>
      </w:tabs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Point0number">
    <w:name w:val="Point 0 (number)"/>
    <w:basedOn w:val="Normal"/>
    <w:rsid w:val="00470799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table" w:customStyle="1" w:styleId="TableGrid1">
    <w:name w:val="Table Grid1"/>
    <w:basedOn w:val="TableNormal"/>
    <w:next w:val="TableGrid"/>
    <w:rsid w:val="00470799"/>
    <w:pPr>
      <w:spacing w:before="120" w:after="120"/>
      <w:jc w:val="both"/>
    </w:pPr>
    <w:rPr>
      <w:lang w:val="el-GR"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470799"/>
    <w:pPr>
      <w:widowControl/>
      <w:numPr>
        <w:numId w:val="5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470799"/>
    <w:pPr>
      <w:widowControl/>
      <w:numPr>
        <w:numId w:val="6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470799"/>
    <w:pPr>
      <w:widowControl/>
      <w:numPr>
        <w:numId w:val="7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470799"/>
    <w:pPr>
      <w:widowControl/>
      <w:numPr>
        <w:numId w:val="8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uiPriority w:val="99"/>
    <w:rsid w:val="00470799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rsid w:val="00470799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customStyle="1" w:styleId="Point1number">
    <w:name w:val="Point 1 (number)"/>
    <w:basedOn w:val="Normal"/>
    <w:rsid w:val="00470799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470799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470799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470799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470799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470799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470799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470799"/>
    <w:pPr>
      <w:widowControl/>
      <w:tabs>
        <w:tab w:val="num" w:pos="3118"/>
      </w:tabs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47079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character" w:styleId="CommentReference">
    <w:name w:val="annotation reference"/>
    <w:uiPriority w:val="99"/>
    <w:rsid w:val="0047079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470799"/>
    <w:pPr>
      <w:widowControl/>
      <w:spacing w:before="120" w:after="120"/>
      <w:jc w:val="both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0799"/>
    <w:rPr>
      <w:lang w:val="el-GR"/>
    </w:rPr>
  </w:style>
  <w:style w:type="paragraph" w:styleId="CommentSubject">
    <w:name w:val="annotation subject"/>
    <w:basedOn w:val="CommentText"/>
    <w:next w:val="CommentText"/>
    <w:link w:val="CommentSubjectChar"/>
    <w:rsid w:val="004707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70799"/>
    <w:rPr>
      <w:b/>
      <w:bCs/>
      <w:lang w:val="el-GR"/>
    </w:rPr>
  </w:style>
  <w:style w:type="paragraph" w:styleId="Caption">
    <w:name w:val="caption"/>
    <w:basedOn w:val="Normal"/>
    <w:next w:val="Normal"/>
    <w:uiPriority w:val="35"/>
    <w:qFormat/>
    <w:rsid w:val="00470799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470799"/>
    <w:pPr>
      <w:widowControl/>
      <w:spacing w:before="120" w:after="120"/>
      <w:jc w:val="both"/>
    </w:pPr>
    <w:rPr>
      <w:szCs w:val="22"/>
    </w:rPr>
  </w:style>
  <w:style w:type="character" w:styleId="FollowedHyperlink">
    <w:name w:val="FollowedHyperlink"/>
    <w:rsid w:val="00470799"/>
    <w:rPr>
      <w:rFonts w:ascii="Times New Roman" w:hAnsi="Times New Roman"/>
      <w:color w:val="800080"/>
      <w:sz w:val="24"/>
      <w:u w:val="single"/>
    </w:rPr>
  </w:style>
  <w:style w:type="paragraph" w:styleId="ListParagraph">
    <w:name w:val="List Paragraph"/>
    <w:basedOn w:val="Normal"/>
    <w:uiPriority w:val="34"/>
    <w:qFormat/>
    <w:rsid w:val="00470799"/>
    <w:pPr>
      <w:widowControl/>
      <w:spacing w:before="120" w:after="120"/>
      <w:ind w:left="720"/>
      <w:contextualSpacing/>
      <w:jc w:val="both"/>
    </w:pPr>
    <w:rPr>
      <w:szCs w:val="22"/>
    </w:rPr>
  </w:style>
  <w:style w:type="character" w:styleId="Strong">
    <w:name w:val="Strong"/>
    <w:basedOn w:val="DefaultParagraphFont"/>
    <w:qFormat/>
    <w:rsid w:val="00470799"/>
    <w:rPr>
      <w:b/>
      <w:bCs/>
    </w:rPr>
  </w:style>
  <w:style w:type="character" w:styleId="Emphasis">
    <w:name w:val="Emphasis"/>
    <w:basedOn w:val="DefaultParagraphFont"/>
    <w:qFormat/>
    <w:rsid w:val="00470799"/>
    <w:rPr>
      <w:i/>
      <w:iCs/>
    </w:rPr>
  </w:style>
  <w:style w:type="paragraph" w:styleId="NoSpacing">
    <w:name w:val="No Spacing"/>
    <w:basedOn w:val="Normal"/>
    <w:uiPriority w:val="1"/>
    <w:qFormat/>
    <w:rsid w:val="00470799"/>
    <w:pPr>
      <w:widowControl/>
      <w:spacing w:after="120"/>
      <w:jc w:val="both"/>
    </w:pPr>
    <w:rPr>
      <w:rFonts w:eastAsia="Calibri"/>
      <w:szCs w:val="24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470799"/>
    <w:pPr>
      <w:widowControl/>
      <w:spacing w:before="120"/>
      <w:jc w:val="both"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70799"/>
    <w:rPr>
      <w:rFonts w:eastAsia="Calibri"/>
      <w:lang w:val="el-GR" w:eastAsia="en-US"/>
    </w:rPr>
  </w:style>
  <w:style w:type="character" w:styleId="EndnoteReference">
    <w:name w:val="endnote reference"/>
    <w:basedOn w:val="DefaultParagraphFont"/>
    <w:uiPriority w:val="99"/>
    <w:unhideWhenUsed/>
    <w:rsid w:val="00470799"/>
    <w:rPr>
      <w:vertAlign w:val="superscript"/>
    </w:rPr>
  </w:style>
  <w:style w:type="paragraph" w:styleId="TOC4">
    <w:name w:val="toc 4"/>
    <w:basedOn w:val="Normal"/>
    <w:next w:val="Normal"/>
    <w:uiPriority w:val="39"/>
    <w:unhideWhenUsed/>
    <w:rsid w:val="00470799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470799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470799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470799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470799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470799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character" w:customStyle="1" w:styleId="UnresolvedMention10">
    <w:name w:val="Unresolved Mention1"/>
    <w:basedOn w:val="DefaultParagraphFont"/>
    <w:uiPriority w:val="99"/>
    <w:semiHidden/>
    <w:unhideWhenUsed/>
    <w:rsid w:val="0047079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016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20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4E088C-063F-4EB5-8BBA-3BC098B10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Amalia</dc:creator>
  <cp:keywords/>
  <cp:lastModifiedBy>CHRISTOFOROU Nikolaos</cp:lastModifiedBy>
  <cp:revision>2</cp:revision>
  <cp:lastPrinted>2004-11-19T15:42:00Z</cp:lastPrinted>
  <dcterms:created xsi:type="dcterms:W3CDTF">2025-10-20T10:52:00Z</dcterms:created>
  <dcterms:modified xsi:type="dcterms:W3CDTF">2025-10-20T10:52:00Z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P10_TA(2025)0178_</vt:lpwstr>
  </property>
  <property fmtid="{D5CDD505-2E9C-101B-9397-08002B2CF9AE}" pid="4" name="&lt;Type&gt;">
    <vt:lpwstr>RR</vt:lpwstr>
  </property>
</Properties>
</file>