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4CB8" w14:paraId="128B9D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1C2F24" w14:textId="77777777" w:rsidR="00751A4A" w:rsidRPr="008B4CB8" w:rsidRDefault="00744EB7" w:rsidP="0010095E">
            <w:pPr>
              <w:pStyle w:val="EPName"/>
            </w:pPr>
            <w:r w:rsidRPr="008B4CB8">
              <w:t>Europski parlament</w:t>
            </w:r>
          </w:p>
          <w:p w14:paraId="53491C58" w14:textId="77777777" w:rsidR="00751A4A" w:rsidRPr="008B4C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CB8">
              <w:t>2024</w:t>
            </w:r>
            <w:r w:rsidR="00817416" w:rsidRPr="008B4CB8">
              <w:t>-202</w:t>
            </w:r>
            <w:r w:rsidRPr="008B4CB8">
              <w:t>9</w:t>
            </w:r>
          </w:p>
        </w:tc>
        <w:tc>
          <w:tcPr>
            <w:tcW w:w="2268" w:type="dxa"/>
            <w:shd w:val="clear" w:color="auto" w:fill="auto"/>
          </w:tcPr>
          <w:p w14:paraId="36D13283" w14:textId="77777777" w:rsidR="00751A4A" w:rsidRPr="008B4CB8" w:rsidRDefault="00187494" w:rsidP="0010095E">
            <w:pPr>
              <w:pStyle w:val="EPLogo"/>
            </w:pPr>
            <w:r w:rsidRPr="008B4CB8">
              <w:rPr>
                <w:noProof/>
                <w:lang w:eastAsia="ja-JP"/>
              </w:rPr>
              <w:drawing>
                <wp:inline distT="0" distB="0" distL="0" distR="0" wp14:anchorId="64D9A472" wp14:editId="0C8692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286C37" w14:textId="77777777" w:rsidR="00D058B8" w:rsidRPr="008B4CB8" w:rsidRDefault="00D058B8" w:rsidP="004C5D52">
      <w:pPr>
        <w:pStyle w:val="LineTop"/>
      </w:pPr>
    </w:p>
    <w:p w14:paraId="56CC37B8" w14:textId="77777777" w:rsidR="00680577" w:rsidRPr="008B4CB8" w:rsidRDefault="00744EB7" w:rsidP="00680577">
      <w:pPr>
        <w:pStyle w:val="EPBodyTA1"/>
      </w:pPr>
      <w:r w:rsidRPr="008B4CB8">
        <w:t>USVOJENI TEKSTOVI</w:t>
      </w:r>
    </w:p>
    <w:p w14:paraId="73828175" w14:textId="77777777" w:rsidR="00D058B8" w:rsidRPr="008B4CB8" w:rsidRDefault="00D058B8" w:rsidP="00D058B8">
      <w:pPr>
        <w:pStyle w:val="LineBottom"/>
      </w:pPr>
    </w:p>
    <w:p w14:paraId="70AD49C1" w14:textId="3E3652F6" w:rsidR="00744EB7" w:rsidRPr="008B4CB8" w:rsidRDefault="00744EB7" w:rsidP="00744EB7">
      <w:pPr>
        <w:pStyle w:val="ATHeading1"/>
      </w:pPr>
      <w:bookmarkStart w:id="0" w:name="TANumber"/>
      <w:r w:rsidRPr="008B4CB8">
        <w:t>P10_TA(2025)0</w:t>
      </w:r>
      <w:r w:rsidR="00166557">
        <w:t>178</w:t>
      </w:r>
      <w:bookmarkEnd w:id="0"/>
    </w:p>
    <w:p w14:paraId="42F372D0" w14:textId="77777777" w:rsidR="00744EB7" w:rsidRPr="008B4CB8" w:rsidRDefault="00744EB7" w:rsidP="00744EB7">
      <w:pPr>
        <w:pStyle w:val="ATHeading2"/>
      </w:pPr>
      <w:bookmarkStart w:id="1" w:name="title"/>
      <w:r w:rsidRPr="008B4CB8">
        <w:t>Mehanizam za ugljičnu prilagodbu na granicama: pojednostavnjenje i jačanje</w:t>
      </w:r>
      <w:bookmarkEnd w:id="1"/>
    </w:p>
    <w:p w14:paraId="10887F97" w14:textId="77777777" w:rsidR="00744EB7" w:rsidRPr="008B4CB8" w:rsidRDefault="00744EB7" w:rsidP="00744EB7">
      <w:pPr>
        <w:rPr>
          <w:i/>
          <w:vanish/>
        </w:rPr>
      </w:pPr>
      <w:r w:rsidRPr="008B4CB8">
        <w:rPr>
          <w:i/>
        </w:rPr>
        <w:fldChar w:fldCharType="begin"/>
      </w:r>
      <w:r w:rsidRPr="008B4CB8">
        <w:rPr>
          <w:i/>
        </w:rPr>
        <w:instrText xml:space="preserve"> TC"(</w:instrText>
      </w:r>
      <w:bookmarkStart w:id="2" w:name="DocNumber"/>
      <w:r w:rsidRPr="008B4CB8">
        <w:rPr>
          <w:i/>
        </w:rPr>
        <w:instrText>A10-0085/2025</w:instrText>
      </w:r>
      <w:bookmarkEnd w:id="2"/>
      <w:r w:rsidRPr="008B4CB8">
        <w:rPr>
          <w:i/>
        </w:rPr>
        <w:instrText xml:space="preserve"> - Izvjestitelj: Antonio </w:instrText>
      </w:r>
      <w:proofErr w:type="spellStart"/>
      <w:r w:rsidRPr="008B4CB8">
        <w:rPr>
          <w:i/>
        </w:rPr>
        <w:instrText>Decaro</w:instrText>
      </w:r>
      <w:proofErr w:type="spellEnd"/>
      <w:r w:rsidRPr="008B4CB8">
        <w:rPr>
          <w:i/>
        </w:rPr>
        <w:instrText xml:space="preserve">)"\l3 \n&gt; \* MERGEFORMAT </w:instrText>
      </w:r>
      <w:r w:rsidRPr="008B4CB8">
        <w:rPr>
          <w:i/>
        </w:rPr>
        <w:fldChar w:fldCharType="end"/>
      </w:r>
    </w:p>
    <w:p w14:paraId="5F937827" w14:textId="77777777" w:rsidR="00744EB7" w:rsidRPr="008B4CB8" w:rsidRDefault="00744EB7" w:rsidP="00744EB7">
      <w:pPr>
        <w:rPr>
          <w:vanish/>
        </w:rPr>
      </w:pPr>
      <w:bookmarkStart w:id="3" w:name="Commission"/>
      <w:r w:rsidRPr="008B4CB8">
        <w:rPr>
          <w:vanish/>
        </w:rPr>
        <w:t>Odbor za okoliš, klimu i sigurnost hrane</w:t>
      </w:r>
      <w:bookmarkEnd w:id="3"/>
    </w:p>
    <w:p w14:paraId="37756821" w14:textId="77777777" w:rsidR="00744EB7" w:rsidRPr="008B4CB8" w:rsidRDefault="00744EB7" w:rsidP="00744EB7">
      <w:pPr>
        <w:rPr>
          <w:vanish/>
        </w:rPr>
      </w:pPr>
      <w:bookmarkStart w:id="4" w:name="PE"/>
      <w:r w:rsidRPr="008B4CB8">
        <w:rPr>
          <w:vanish/>
        </w:rPr>
        <w:t>PE773.301</w:t>
      </w:r>
      <w:bookmarkEnd w:id="4"/>
    </w:p>
    <w:p w14:paraId="2E288C69" w14:textId="07BF41D2" w:rsidR="00744EB7" w:rsidRPr="008B4CB8" w:rsidRDefault="00744EB7" w:rsidP="00744EB7">
      <w:pPr>
        <w:pStyle w:val="ATHeading3"/>
      </w:pPr>
      <w:bookmarkStart w:id="5" w:name="Sujet"/>
      <w:r w:rsidRPr="008B4CB8">
        <w:t xml:space="preserve">Zakonodavna rezolucija Europskog parlamenta od </w:t>
      </w:r>
      <w:r w:rsidR="007551C5">
        <w:t xml:space="preserve">10. </w:t>
      </w:r>
      <w:r w:rsidR="00612BF0">
        <w:t>rujna</w:t>
      </w:r>
      <w:r w:rsidRPr="008B4CB8">
        <w:t xml:space="preserve"> 2025. o Prijedlogu uredbe Europskog parlamenta i Vijeća o izmjeni Uredbe (EU) 2023/956 u pogledu pojednostavnjenja i jačanja mehanizma za ugljičnu prilagodbu na granicama</w:t>
      </w:r>
      <w:bookmarkEnd w:id="5"/>
      <w:r w:rsidRPr="008B4CB8">
        <w:t xml:space="preserve"> </w:t>
      </w:r>
      <w:bookmarkStart w:id="6" w:name="References"/>
      <w:r w:rsidRPr="008B4CB8">
        <w:t>(COM(2025)0087 – C10-0035/2025 – 2025/0039(COD))</w:t>
      </w:r>
      <w:bookmarkEnd w:id="6"/>
    </w:p>
    <w:p w14:paraId="5552FEC3" w14:textId="77777777" w:rsidR="004466C6" w:rsidRPr="008B4CB8" w:rsidRDefault="004466C6" w:rsidP="004466C6">
      <w:pPr>
        <w:pStyle w:val="NormalBold"/>
      </w:pPr>
      <w:r w:rsidRPr="008B4CB8">
        <w:t>(Redovni zakonodavni postupak: prvo čitanje)</w:t>
      </w:r>
    </w:p>
    <w:p w14:paraId="6C045B60" w14:textId="77777777" w:rsidR="004466C6" w:rsidRPr="008B4CB8" w:rsidRDefault="004466C6" w:rsidP="004466C6">
      <w:pPr>
        <w:pStyle w:val="EPComma"/>
      </w:pPr>
      <w:r w:rsidRPr="008B4CB8">
        <w:rPr>
          <w:i/>
        </w:rPr>
        <w:t>Europski parlament</w:t>
      </w:r>
      <w:r w:rsidRPr="008B4CB8">
        <w:t>,</w:t>
      </w:r>
    </w:p>
    <w:p w14:paraId="7E325839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Prijedlog Komisije upućen Europskom parlamentu i Vijeću (COM(2025)0087),</w:t>
      </w:r>
    </w:p>
    <w:p w14:paraId="6C6F87B4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članak 294. stavak 2. i članak 192. stavak 1. Ugovora o funkcioniranju Europske unije, u skladu s kojima je Komisija podnijela Prijedlog Parlamentu (C10</w:t>
      </w:r>
      <w:r w:rsidRPr="008B4CB8">
        <w:noBreakHyphen/>
        <w:t>0035/2025),</w:t>
      </w:r>
    </w:p>
    <w:p w14:paraId="0DB5EE1E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članak 294. stavak 3. Ugovora o funkcioniranju Europske unije,</w:t>
      </w:r>
    </w:p>
    <w:p w14:paraId="177CB3C4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proračunsku procjenu koju je donio Odbor za proračune,</w:t>
      </w:r>
    </w:p>
    <w:p w14:paraId="260928E4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mišljenje Europskoga gospodarskog i socijalnog odbora od 29. travnja 2025.</w:t>
      </w:r>
      <w:r w:rsidRPr="008B4CB8">
        <w:rPr>
          <w:rStyle w:val="FootnoteReference"/>
        </w:rPr>
        <w:footnoteReference w:id="1"/>
      </w:r>
      <w:r w:rsidRPr="008B4CB8">
        <w:t>,</w:t>
      </w:r>
    </w:p>
    <w:p w14:paraId="48727FA1" w14:textId="77777777" w:rsidR="004466C6" w:rsidRDefault="004466C6" w:rsidP="004466C6">
      <w:pPr>
        <w:pStyle w:val="NormalHanging12a"/>
      </w:pPr>
      <w:r w:rsidRPr="008B4CB8">
        <w:t>–</w:t>
      </w:r>
      <w:r w:rsidRPr="008B4CB8">
        <w:tab/>
        <w:t xml:space="preserve">nakon savjetovanja s Odborom regija, </w:t>
      </w:r>
    </w:p>
    <w:p w14:paraId="15D0F68D" w14:textId="513693B1" w:rsidR="00F14AE6" w:rsidRPr="008B4CB8" w:rsidRDefault="00F14AE6" w:rsidP="004466C6">
      <w:pPr>
        <w:pStyle w:val="NormalHanging12a"/>
      </w:pPr>
      <w:r w:rsidRPr="00D90AEB">
        <w:t>–</w:t>
      </w:r>
      <w:r w:rsidRPr="00D90AEB">
        <w:tab/>
      </w:r>
      <w:r w:rsidRPr="00B87296">
        <w:t xml:space="preserve">uzimajući u obzir privremeni sporazum koji je odobrio nadležni odbor u skladu s člankom 74. stavkom 4. Poslovnika te činjenicu da se predstavnik Vijeća pismom od </w:t>
      </w:r>
      <w:r>
        <w:t>27</w:t>
      </w:r>
      <w:r w:rsidRPr="00B87296">
        <w:t xml:space="preserve">. </w:t>
      </w:r>
      <w:r>
        <w:t>lip</w:t>
      </w:r>
      <w:r w:rsidRPr="00B87296">
        <w:t>nja 202</w:t>
      </w:r>
      <w:r>
        <w:t>5</w:t>
      </w:r>
      <w:r w:rsidRPr="00B87296">
        <w:t>. obvezao prihvatiti stajalište Europskog parlamenta u skladu s člankom 294. stavkom 4. Ugovora o funkcioniranju Europske unije</w:t>
      </w:r>
      <w:r>
        <w:t>,</w:t>
      </w:r>
    </w:p>
    <w:p w14:paraId="6B97244B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članke 60. i 58. Poslovnika,</w:t>
      </w:r>
    </w:p>
    <w:p w14:paraId="2058452A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 xml:space="preserve">uzimajući u obzir mišljenja Odbora za međunarodnu trgovinu i Odbora za industriju, </w:t>
      </w:r>
      <w:r w:rsidRPr="008B4CB8">
        <w:lastRenderedPageBreak/>
        <w:t>istraživanje i energetiku,</w:t>
      </w:r>
    </w:p>
    <w:p w14:paraId="75620FBB" w14:textId="77777777" w:rsidR="004466C6" w:rsidRPr="008B4CB8" w:rsidRDefault="004466C6" w:rsidP="004466C6">
      <w:pPr>
        <w:pStyle w:val="NormalHanging12a"/>
      </w:pPr>
      <w:r w:rsidRPr="008B4CB8">
        <w:t>–</w:t>
      </w:r>
      <w:r w:rsidRPr="008B4CB8">
        <w:tab/>
        <w:t>uzimajući u obzir izvješće Odbora za okoliš, klimu i sigurnost hrane (A10</w:t>
      </w:r>
      <w:r w:rsidRPr="008B4CB8">
        <w:noBreakHyphen/>
        <w:t>0085/2025),</w:t>
      </w:r>
    </w:p>
    <w:p w14:paraId="4E0270F8" w14:textId="24C1CC22" w:rsidR="004466C6" w:rsidRPr="008B4CB8" w:rsidRDefault="004466C6" w:rsidP="004466C6">
      <w:pPr>
        <w:pStyle w:val="NormalHanging12a"/>
      </w:pPr>
      <w:r w:rsidRPr="008B4CB8">
        <w:t>1.</w:t>
      </w:r>
      <w:r w:rsidRPr="008B4CB8">
        <w:tab/>
        <w:t xml:space="preserve">usvaja </w:t>
      </w:r>
      <w:r w:rsidR="00800B4A">
        <w:t>niže navedeno</w:t>
      </w:r>
      <w:r w:rsidR="00800B4A" w:rsidRPr="008B4CB8">
        <w:t xml:space="preserve"> </w:t>
      </w:r>
      <w:r w:rsidRPr="008B4CB8">
        <w:t>stajalište u prvom čitanju</w:t>
      </w:r>
      <w:r w:rsidR="00F14AE6">
        <w:rPr>
          <w:rStyle w:val="FootnoteReference"/>
        </w:rPr>
        <w:footnoteReference w:id="2"/>
      </w:r>
      <w:r w:rsidRPr="008B4CB8">
        <w:t>;</w:t>
      </w:r>
    </w:p>
    <w:p w14:paraId="4EB4B3A2" w14:textId="77777777" w:rsidR="004466C6" w:rsidRPr="008B4CB8" w:rsidRDefault="004466C6" w:rsidP="004466C6">
      <w:pPr>
        <w:pStyle w:val="NormalHanging12a"/>
      </w:pPr>
      <w:r w:rsidRPr="008B4CB8">
        <w:t>2.</w:t>
      </w:r>
      <w:r w:rsidRPr="008B4CB8">
        <w:tab/>
        <w:t>poziva Komisiju da predmet ponovno uputi Parlamentu ako zamijeni, bitno izmijeni ili namjerava bitno izmijeniti svoj Prijedlog;</w:t>
      </w:r>
    </w:p>
    <w:p w14:paraId="055C2A04" w14:textId="77777777" w:rsidR="004466C6" w:rsidRPr="008B4CB8" w:rsidRDefault="004466C6" w:rsidP="004466C6">
      <w:pPr>
        <w:pStyle w:val="NormalHanging12a"/>
      </w:pPr>
      <w:r w:rsidRPr="008B4CB8">
        <w:t>3.</w:t>
      </w:r>
      <w:r w:rsidRPr="008B4CB8">
        <w:tab/>
        <w:t>nalaže svojoj predsjednici da stajalište Parlamenta proslijedi Vijeću, Komisiji i nacionalnim parlamentima.</w:t>
      </w:r>
    </w:p>
    <w:p w14:paraId="6EB1D0E6" w14:textId="77777777" w:rsidR="00F14AE6" w:rsidRDefault="00F14AE6" w:rsidP="00744EB7">
      <w:pPr>
        <w:sectPr w:rsidR="00F14AE6" w:rsidSect="008B4CB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975502" w14:textId="77777777" w:rsidR="009117DB" w:rsidRPr="00004431" w:rsidRDefault="009117DB" w:rsidP="009117D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4431">
        <w:rPr>
          <w:b/>
          <w:bCs/>
          <w:color w:val="000000"/>
        </w:rPr>
        <w:lastRenderedPageBreak/>
        <w:t>P10_TC1-COD(2025)0039</w:t>
      </w:r>
    </w:p>
    <w:p w14:paraId="4A43F821" w14:textId="3233AC25" w:rsidR="00F14AE6" w:rsidRPr="003206C5" w:rsidRDefault="00F14AE6" w:rsidP="00166557">
      <w:pPr>
        <w:spacing w:before="240" w:after="240"/>
        <w:rPr>
          <w:rFonts w:eastAsia="Calibri"/>
          <w:b/>
          <w:color w:val="000000"/>
          <w:szCs w:val="22"/>
          <w:lang w:eastAsia="en-US"/>
        </w:rPr>
      </w:pPr>
      <w:r w:rsidRPr="00B87296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10</w:t>
      </w:r>
      <w:r w:rsidRPr="00B87296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rujna </w:t>
      </w:r>
      <w:r w:rsidRPr="00B87296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. radi donošenja </w:t>
      </w:r>
      <w:r w:rsidR="009117DB">
        <w:rPr>
          <w:rFonts w:eastAsia="Calibri"/>
          <w:b/>
          <w:szCs w:val="24"/>
          <w:lang w:eastAsia="en-US"/>
        </w:rPr>
        <w:t>Uredbe</w:t>
      </w:r>
      <w:r w:rsidRPr="00B87296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3206C5">
        <w:rPr>
          <w:rFonts w:eastAsia="Calibri"/>
          <w:b/>
          <w:color w:val="000000"/>
          <w:szCs w:val="22"/>
          <w:lang w:eastAsia="en-US"/>
        </w:rPr>
        <w:t>o izmjeni Uredbe (EU) 2023/956 u pogledu pojednostavnjenja i jačanja mehanizma za ugljičnu prilagodbu na granicama</w:t>
      </w:r>
    </w:p>
    <w:p w14:paraId="47FE582A" w14:textId="3B6A4914" w:rsidR="00A073CF" w:rsidRPr="003206C5" w:rsidRDefault="00A073CF" w:rsidP="00A073CF">
      <w:pPr>
        <w:widowControl/>
        <w:spacing w:before="240" w:after="120"/>
        <w:rPr>
          <w:rFonts w:eastAsia="Calibri"/>
          <w:b/>
          <w:color w:val="000000"/>
          <w:szCs w:val="22"/>
          <w:lang w:eastAsia="en-US"/>
        </w:rPr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A073CF">
        <w:rPr>
          <w:rFonts w:eastAsia="Calibri"/>
          <w:i/>
          <w:szCs w:val="24"/>
          <w:lang w:eastAsia="en-US"/>
        </w:rPr>
        <w:t>(EU) 2025/2083</w:t>
      </w:r>
      <w:r>
        <w:rPr>
          <w:rFonts w:eastAsia="Calibri"/>
          <w:i/>
          <w:szCs w:val="24"/>
          <w:lang w:eastAsia="en-US"/>
        </w:rPr>
        <w:t>.)</w:t>
      </w:r>
    </w:p>
    <w:sectPr w:rsidR="00A073CF" w:rsidRPr="003206C5" w:rsidSect="00A073CF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A88A3" w14:textId="77777777" w:rsidR="00744EB7" w:rsidRPr="008B4CB8" w:rsidRDefault="00744EB7">
      <w:r w:rsidRPr="008B4CB8">
        <w:separator/>
      </w:r>
    </w:p>
  </w:endnote>
  <w:endnote w:type="continuationSeparator" w:id="0">
    <w:p w14:paraId="6EEB95AA" w14:textId="77777777" w:rsidR="00744EB7" w:rsidRPr="008B4CB8" w:rsidRDefault="00744EB7">
      <w:r w:rsidRPr="008B4C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0BBEF" w14:textId="77777777" w:rsidR="00744EB7" w:rsidRPr="008B4CB8" w:rsidRDefault="00744EB7">
      <w:r w:rsidRPr="008B4CB8">
        <w:separator/>
      </w:r>
    </w:p>
  </w:footnote>
  <w:footnote w:type="continuationSeparator" w:id="0">
    <w:p w14:paraId="4DDDB6EF" w14:textId="77777777" w:rsidR="00744EB7" w:rsidRPr="008B4CB8" w:rsidRDefault="00744EB7">
      <w:r w:rsidRPr="008B4CB8">
        <w:continuationSeparator/>
      </w:r>
    </w:p>
  </w:footnote>
  <w:footnote w:id="1">
    <w:p w14:paraId="6A6036EA" w14:textId="5CD27333" w:rsidR="004466C6" w:rsidRPr="008B4CB8" w:rsidRDefault="004466C6" w:rsidP="008B4CB8">
      <w:pPr>
        <w:pStyle w:val="FootnoteText"/>
        <w:ind w:left="567" w:hanging="567"/>
        <w:rPr>
          <w:sz w:val="24"/>
          <w:lang w:val="hr-HR"/>
        </w:rPr>
      </w:pPr>
      <w:r w:rsidRPr="008B4CB8">
        <w:rPr>
          <w:rStyle w:val="FootnoteReference"/>
          <w:sz w:val="24"/>
          <w:lang w:val="hr-HR"/>
        </w:rPr>
        <w:footnoteRef/>
      </w:r>
      <w:r w:rsidR="008B4CB8" w:rsidRPr="008B4CB8">
        <w:rPr>
          <w:sz w:val="24"/>
          <w:lang w:val="hr-HR"/>
        </w:rPr>
        <w:t xml:space="preserve"> </w:t>
      </w:r>
      <w:r w:rsidR="008B4CB8" w:rsidRPr="008B4CB8">
        <w:rPr>
          <w:sz w:val="24"/>
          <w:lang w:val="hr-HR"/>
        </w:rPr>
        <w:tab/>
      </w:r>
      <w:r w:rsidR="007551C5">
        <w:rPr>
          <w:sz w:val="24"/>
          <w:lang w:val="hr-HR"/>
        </w:rPr>
        <w:t>SL</w:t>
      </w:r>
      <w:r w:rsidR="007551C5" w:rsidRPr="00EF4A44">
        <w:rPr>
          <w:sz w:val="24"/>
          <w:lang w:val="fi-FI"/>
        </w:rPr>
        <w:t xml:space="preserve"> C, C/2025/3201, 2.7.2025</w:t>
      </w:r>
      <w:r w:rsidR="007551C5">
        <w:rPr>
          <w:sz w:val="24"/>
          <w:lang w:val="fi-FI"/>
        </w:rPr>
        <w:t>.</w:t>
      </w:r>
      <w:r w:rsidR="007551C5" w:rsidRPr="00EF4A44">
        <w:rPr>
          <w:sz w:val="24"/>
          <w:lang w:val="fi-FI"/>
        </w:rPr>
        <w:t xml:space="preserve">, ELI: </w:t>
      </w:r>
      <w:hyperlink r:id="rId1" w:history="1">
        <w:r w:rsidR="007551C5" w:rsidRPr="007551C5">
          <w:rPr>
            <w:rStyle w:val="Hyperlink"/>
            <w:sz w:val="24"/>
            <w:lang w:val="fi-FI"/>
          </w:rPr>
          <w:t>http://data.europa.eu/eli/C/2025/3201/oj</w:t>
        </w:r>
      </w:hyperlink>
      <w:r w:rsidR="007551C5">
        <w:rPr>
          <w:sz w:val="24"/>
          <w:lang w:val="fi-FI"/>
        </w:rPr>
        <w:t>.</w:t>
      </w:r>
    </w:p>
  </w:footnote>
  <w:footnote w:id="2">
    <w:p w14:paraId="5997B5DD" w14:textId="0FDEB806" w:rsidR="00F14AE6" w:rsidRPr="00166557" w:rsidRDefault="00F14AE6">
      <w:pPr>
        <w:pStyle w:val="FootnoteText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166557">
        <w:rPr>
          <w:lang w:val="hr-HR"/>
        </w:rPr>
        <w:t xml:space="preserve"> </w:t>
      </w:r>
      <w:r w:rsidR="009117DB">
        <w:rPr>
          <w:lang w:val="hr-HR"/>
        </w:rPr>
        <w:tab/>
      </w:r>
      <w:r w:rsidR="009117DB" w:rsidRPr="00166557">
        <w:rPr>
          <w:sz w:val="24"/>
          <w:szCs w:val="24"/>
          <w:lang w:val="hr-HR"/>
        </w:rPr>
        <w:t xml:space="preserve">Ovo stajalište zamjenjuje amandmane usvojene na sjednici 22. svibnja 2025. (Usvojeni tekstovi, </w:t>
      </w:r>
      <w:r w:rsidR="009117DB" w:rsidRPr="00166557">
        <w:rPr>
          <w:color w:val="000000"/>
          <w:sz w:val="24"/>
          <w:szCs w:val="24"/>
          <w:lang w:val="fi-FI"/>
        </w:rPr>
        <w:t>P10_TA(2025)0108).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58225159">
    <w:abstractNumId w:val="1"/>
  </w:num>
  <w:num w:numId="2" w16cid:durableId="880172459">
    <w:abstractNumId w:val="9"/>
  </w:num>
  <w:num w:numId="3" w16cid:durableId="585499507">
    <w:abstractNumId w:val="19"/>
  </w:num>
  <w:num w:numId="4" w16cid:durableId="1445077393">
    <w:abstractNumId w:val="25"/>
  </w:num>
  <w:num w:numId="5" w16cid:durableId="1648513403">
    <w:abstractNumId w:val="23"/>
  </w:num>
  <w:num w:numId="6" w16cid:durableId="514922676">
    <w:abstractNumId w:val="26"/>
  </w:num>
  <w:num w:numId="7" w16cid:durableId="2094888629">
    <w:abstractNumId w:val="27"/>
  </w:num>
  <w:num w:numId="8" w16cid:durableId="1968387027">
    <w:abstractNumId w:val="10"/>
  </w:num>
  <w:num w:numId="9" w16cid:durableId="1650596521">
    <w:abstractNumId w:val="8"/>
  </w:num>
  <w:num w:numId="10" w16cid:durableId="1294166666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HR"/>
    <w:docVar w:name="dvnumam" w:val="4"/>
    <w:docVar w:name="dvpe" w:val="773.301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23/956 u pogledu pojednostavnjenja i jačanja mehanizma za ugljičnu prilagodbu na granicama(COM(2025)0087 – C10-0035/2025 – 2025/0039(COD))"/>
  </w:docVars>
  <w:rsids>
    <w:rsidRoot w:val="00744EB7"/>
    <w:rsid w:val="00002272"/>
    <w:rsid w:val="00032753"/>
    <w:rsid w:val="00064002"/>
    <w:rsid w:val="000677B9"/>
    <w:rsid w:val="000831BA"/>
    <w:rsid w:val="000A42CC"/>
    <w:rsid w:val="000C314A"/>
    <w:rsid w:val="000E7DD9"/>
    <w:rsid w:val="0010095E"/>
    <w:rsid w:val="00125B37"/>
    <w:rsid w:val="001563BC"/>
    <w:rsid w:val="00166557"/>
    <w:rsid w:val="001757F6"/>
    <w:rsid w:val="00185DD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6C6"/>
    <w:rsid w:val="0046122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D16"/>
    <w:rsid w:val="005C2568"/>
    <w:rsid w:val="005E4DB0"/>
    <w:rsid w:val="005F1B17"/>
    <w:rsid w:val="005F7C82"/>
    <w:rsid w:val="006037C0"/>
    <w:rsid w:val="00612BF0"/>
    <w:rsid w:val="00633DEF"/>
    <w:rsid w:val="006631B6"/>
    <w:rsid w:val="00680577"/>
    <w:rsid w:val="006E35D0"/>
    <w:rsid w:val="006F74FA"/>
    <w:rsid w:val="00731ADD"/>
    <w:rsid w:val="00734777"/>
    <w:rsid w:val="00744EB7"/>
    <w:rsid w:val="00747932"/>
    <w:rsid w:val="00751A4A"/>
    <w:rsid w:val="007551C5"/>
    <w:rsid w:val="00756632"/>
    <w:rsid w:val="00762C74"/>
    <w:rsid w:val="00786EC0"/>
    <w:rsid w:val="007D1690"/>
    <w:rsid w:val="007E22AD"/>
    <w:rsid w:val="00800B4A"/>
    <w:rsid w:val="00800B64"/>
    <w:rsid w:val="00817416"/>
    <w:rsid w:val="00842779"/>
    <w:rsid w:val="00865F67"/>
    <w:rsid w:val="00881A7B"/>
    <w:rsid w:val="008840E5"/>
    <w:rsid w:val="00887B3E"/>
    <w:rsid w:val="008B4CB8"/>
    <w:rsid w:val="008C2AC6"/>
    <w:rsid w:val="008F1FF7"/>
    <w:rsid w:val="009117DB"/>
    <w:rsid w:val="00917AB2"/>
    <w:rsid w:val="00930C23"/>
    <w:rsid w:val="0093193B"/>
    <w:rsid w:val="009441B5"/>
    <w:rsid w:val="009509D8"/>
    <w:rsid w:val="00950B64"/>
    <w:rsid w:val="00981893"/>
    <w:rsid w:val="00A073CF"/>
    <w:rsid w:val="00A1687D"/>
    <w:rsid w:val="00A43E52"/>
    <w:rsid w:val="00A46697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ECD"/>
    <w:rsid w:val="00C05BFE"/>
    <w:rsid w:val="00C1598D"/>
    <w:rsid w:val="00C23CD4"/>
    <w:rsid w:val="00C61C0C"/>
    <w:rsid w:val="00C941CB"/>
    <w:rsid w:val="00CA4CA6"/>
    <w:rsid w:val="00CC2357"/>
    <w:rsid w:val="00CF071A"/>
    <w:rsid w:val="00D058B8"/>
    <w:rsid w:val="00D07F7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4AE6"/>
    <w:rsid w:val="00F43FE2"/>
    <w:rsid w:val="00F5134D"/>
    <w:rsid w:val="00F74202"/>
    <w:rsid w:val="00F87713"/>
    <w:rsid w:val="00F9249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A36C6"/>
  <w15:chartTrackingRefBased/>
  <w15:docId w15:val="{6353AA4D-E0F4-4839-A6E6-3736BF8A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466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4466C6"/>
    <w:pPr>
      <w:spacing w:after="120"/>
    </w:pPr>
  </w:style>
  <w:style w:type="paragraph" w:customStyle="1" w:styleId="PageHeading">
    <w:name w:val="PageHeading"/>
    <w:basedOn w:val="Normal"/>
    <w:rsid w:val="004466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466C6"/>
    <w:rPr>
      <w:b/>
    </w:rPr>
  </w:style>
  <w:style w:type="paragraph" w:customStyle="1" w:styleId="NormalHanging12a">
    <w:name w:val="NormalHanging12a"/>
    <w:basedOn w:val="Normal"/>
    <w:link w:val="NormalHanging12aChar"/>
    <w:rsid w:val="004466C6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446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6C6"/>
    <w:rPr>
      <w:sz w:val="24"/>
      <w:lang w:val="hr-HR"/>
    </w:rPr>
  </w:style>
  <w:style w:type="paragraph" w:customStyle="1" w:styleId="AmColumnHeading">
    <w:name w:val="AmColumnHeading"/>
    <w:basedOn w:val="Normal"/>
    <w:rsid w:val="004466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31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bCs/>
    </w:rPr>
  </w:style>
  <w:style w:type="paragraph" w:customStyle="1" w:styleId="NormalBold12b">
    <w:name w:val="NormalBold12b"/>
    <w:basedOn w:val="Normal"/>
    <w:link w:val="NormalBold12bChar"/>
    <w:rsid w:val="004466C6"/>
    <w:pPr>
      <w:spacing w:before="240"/>
    </w:pPr>
    <w:rPr>
      <w:b/>
    </w:rPr>
  </w:style>
  <w:style w:type="paragraph" w:customStyle="1" w:styleId="EPFooter">
    <w:name w:val="EPFooter"/>
    <w:basedOn w:val="Normal"/>
    <w:rsid w:val="004466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466C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466C6"/>
    <w:rPr>
      <w:b/>
      <w:sz w:val="24"/>
      <w:lang w:val="hr-HR"/>
    </w:rPr>
  </w:style>
  <w:style w:type="paragraph" w:customStyle="1" w:styleId="Normal6">
    <w:name w:val="Normal6"/>
    <w:basedOn w:val="Normal"/>
    <w:link w:val="Normal6Char"/>
    <w:rsid w:val="004466C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466C6"/>
    <w:rPr>
      <w:sz w:val="24"/>
      <w:lang w:val="hr-HR"/>
    </w:rPr>
  </w:style>
  <w:style w:type="paragraph" w:customStyle="1" w:styleId="ColumnHeading">
    <w:name w:val="ColumnHeading"/>
    <w:basedOn w:val="Normal"/>
    <w:rsid w:val="004466C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466C6"/>
    <w:rPr>
      <w:b/>
      <w:sz w:val="24"/>
      <w:lang w:val="hr-HR"/>
    </w:rPr>
  </w:style>
  <w:style w:type="character" w:customStyle="1" w:styleId="oj-sub">
    <w:name w:val="oj-sub"/>
    <w:rsid w:val="004466C6"/>
  </w:style>
  <w:style w:type="character" w:customStyle="1" w:styleId="NormalHanging12aChar">
    <w:name w:val="NormalHanging12a Char"/>
    <w:basedOn w:val="DefaultParagraphFont"/>
    <w:link w:val="NormalHanging12a"/>
    <w:locked/>
    <w:rsid w:val="004466C6"/>
    <w:rPr>
      <w:sz w:val="24"/>
      <w:lang w:val="hr-HR"/>
    </w:rPr>
  </w:style>
  <w:style w:type="paragraph" w:customStyle="1" w:styleId="Normal24a">
    <w:name w:val="Normal24a"/>
    <w:basedOn w:val="Normal"/>
    <w:rsid w:val="004466C6"/>
    <w:pPr>
      <w:spacing w:after="480"/>
    </w:pPr>
  </w:style>
  <w:style w:type="paragraph" w:customStyle="1" w:styleId="Footprint12b">
    <w:name w:val="Footprint12b"/>
    <w:basedOn w:val="Normal"/>
    <w:rsid w:val="004466C6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4466C6"/>
    <w:pPr>
      <w:spacing w:after="240"/>
    </w:pPr>
  </w:style>
  <w:style w:type="paragraph" w:customStyle="1" w:styleId="PageHeadingNotTOC">
    <w:name w:val="PageHeadingNotTOC"/>
    <w:basedOn w:val="Normal"/>
    <w:rsid w:val="004466C6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Bold">
    <w:name w:val="Bold"/>
    <w:uiPriority w:val="1"/>
    <w:rsid w:val="004466C6"/>
    <w:rPr>
      <w:b/>
      <w:bCs w:val="0"/>
    </w:rPr>
  </w:style>
  <w:style w:type="character" w:styleId="Hyperlink">
    <w:name w:val="Hyperlink"/>
    <w:basedOn w:val="DefaultParagraphFont"/>
    <w:uiPriority w:val="99"/>
    <w:rsid w:val="004466C6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4466C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466C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466C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466C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612BF0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551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551C5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F14AE6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F14AE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14AE6"/>
    <w:pPr>
      <w:spacing w:after="240"/>
      <w:jc w:val="center"/>
    </w:pPr>
  </w:style>
  <w:style w:type="paragraph" w:customStyle="1" w:styleId="AmDateTab">
    <w:name w:val="AmDateTab"/>
    <w:basedOn w:val="Normal"/>
    <w:rsid w:val="00F14AE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14AE6"/>
    <w:pPr>
      <w:spacing w:before="720" w:after="240"/>
      <w:jc w:val="center"/>
    </w:pPr>
  </w:style>
  <w:style w:type="paragraph" w:styleId="TOCHeading">
    <w:name w:val="TOC Heading"/>
    <w:basedOn w:val="Normal"/>
    <w:next w:val="Normal"/>
    <w:uiPriority w:val="39"/>
    <w:unhideWhenUsed/>
    <w:qFormat/>
    <w:rsid w:val="00F14AE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F14A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AE6"/>
    <w:rPr>
      <w:sz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F14AE6"/>
  </w:style>
  <w:style w:type="character" w:customStyle="1" w:styleId="Heading1Char">
    <w:name w:val="Heading 1 Char"/>
    <w:basedOn w:val="DefaultParagraphFont"/>
    <w:link w:val="Heading1"/>
    <w:uiPriority w:val="9"/>
    <w:rsid w:val="00F14AE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AE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AE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AE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AE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AE6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AE6"/>
    <w:rPr>
      <w:rFonts w:ascii="Arial" w:hAnsi="Arial"/>
      <w:sz w:val="24"/>
      <w:lang w:val="hr-HR"/>
    </w:rPr>
  </w:style>
  <w:style w:type="paragraph" w:styleId="ListBullet4">
    <w:name w:val="List Bullet 4"/>
    <w:basedOn w:val="Normal"/>
    <w:rsid w:val="00F14AE6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F14AE6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F14AE6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F14AE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14AE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14AE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14AE6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F14AE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rsid w:val="00F14AE6"/>
    <w:pPr>
      <w:widowControl/>
      <w:numPr>
        <w:numId w:val="5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F14AE6"/>
    <w:pPr>
      <w:widowControl/>
      <w:numPr>
        <w:numId w:val="6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F14AE6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F14AE6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rsid w:val="00F14AE6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F14AE6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Point1number">
    <w:name w:val="Point 1 (number)"/>
    <w:basedOn w:val="Normal"/>
    <w:rsid w:val="00F14AE6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14AE6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14AE6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14AE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14AE6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14AE6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14AE6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14AE6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F14AE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F14AE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4AE6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AE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14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4AE6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F14AE6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rsid w:val="00F14AE6"/>
    <w:rPr>
      <w:rFonts w:ascii="Tahoma" w:hAnsi="Tahoma" w:cs="Tahoma"/>
      <w:sz w:val="16"/>
      <w:szCs w:val="16"/>
      <w:lang w:val="fr-FR"/>
    </w:rPr>
  </w:style>
  <w:style w:type="paragraph" w:styleId="Caption">
    <w:name w:val="caption"/>
    <w:basedOn w:val="Normal"/>
    <w:next w:val="Normal"/>
    <w:uiPriority w:val="35"/>
    <w:qFormat/>
    <w:rsid w:val="00F14AE6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F14AE6"/>
    <w:pPr>
      <w:widowControl/>
      <w:spacing w:before="120" w:after="120"/>
      <w:jc w:val="both"/>
    </w:pPr>
    <w:rPr>
      <w:szCs w:val="22"/>
      <w:lang w:val="fr-FR"/>
    </w:rPr>
  </w:style>
  <w:style w:type="paragraph" w:styleId="ListParagraph">
    <w:name w:val="List Paragraph"/>
    <w:basedOn w:val="Normal"/>
    <w:uiPriority w:val="34"/>
    <w:qFormat/>
    <w:rsid w:val="00F14AE6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F14AE6"/>
    <w:rPr>
      <w:b/>
      <w:bCs/>
    </w:rPr>
  </w:style>
  <w:style w:type="character" w:styleId="Emphasis">
    <w:name w:val="Emphasis"/>
    <w:basedOn w:val="DefaultParagraphFont"/>
    <w:qFormat/>
    <w:rsid w:val="00F14AE6"/>
    <w:rPr>
      <w:i/>
      <w:iCs/>
    </w:rPr>
  </w:style>
  <w:style w:type="paragraph" w:styleId="NoSpacing">
    <w:name w:val="No Spacing"/>
    <w:basedOn w:val="Normal"/>
    <w:uiPriority w:val="1"/>
    <w:qFormat/>
    <w:rsid w:val="00F14AE6"/>
    <w:pPr>
      <w:widowControl/>
      <w:spacing w:after="120"/>
      <w:jc w:val="both"/>
    </w:pPr>
    <w:rPr>
      <w:rFonts w:eastAsia="Calibri"/>
      <w:szCs w:val="24"/>
      <w:lang w:val="en-IE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14AE6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4AE6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F14AE6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14AE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1">
    <w:name w:val="Header1"/>
    <w:basedOn w:val="Normal"/>
    <w:next w:val="Header"/>
    <w:uiPriority w:val="99"/>
    <w:unhideWhenUsed/>
    <w:rsid w:val="00F14AE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1">
    <w:name w:val="Footer1"/>
    <w:basedOn w:val="Normal"/>
    <w:next w:val="Footer"/>
    <w:uiPriority w:val="99"/>
    <w:unhideWhenUsed/>
    <w:rsid w:val="00F14AE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F14AE6"/>
    <w:pPr>
      <w:widowControl/>
      <w:ind w:left="720" w:hanging="720"/>
      <w:jc w:val="both"/>
    </w:pPr>
    <w:rPr>
      <w:rFonts w:eastAsia="Calibri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2025-10-21T13:09:00Z</dcterms:created>
  <dcterms:modified xsi:type="dcterms:W3CDTF">2025-10-21T13:09:00Z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