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5406" w14:paraId="18D72943" w14:textId="77777777" w:rsidTr="0010095E">
        <w:trPr>
          <w:trHeight w:hRule="exact" w:val="1418"/>
        </w:trPr>
        <w:tc>
          <w:tcPr>
            <w:tcW w:w="6804" w:type="dxa"/>
            <w:shd w:val="clear" w:color="auto" w:fill="auto"/>
            <w:vAlign w:val="center"/>
          </w:tcPr>
          <w:p w14:paraId="6152C42D" w14:textId="77777777" w:rsidR="00751A4A" w:rsidRPr="00ED5406" w:rsidRDefault="007C4C78" w:rsidP="0010095E">
            <w:pPr>
              <w:pStyle w:val="EPName"/>
            </w:pPr>
            <w:r w:rsidRPr="00ED5406">
              <w:t>Parlamento europeo</w:t>
            </w:r>
          </w:p>
          <w:p w14:paraId="3F3CE045" w14:textId="77777777" w:rsidR="00751A4A" w:rsidRPr="00ED5406" w:rsidRDefault="005F1B17" w:rsidP="005F1B17">
            <w:pPr>
              <w:pStyle w:val="EPTerm"/>
              <w:rPr>
                <w:rStyle w:val="HideTWBExt"/>
                <w:noProof w:val="0"/>
                <w:vanish w:val="0"/>
                <w:color w:val="auto"/>
              </w:rPr>
            </w:pPr>
            <w:r w:rsidRPr="00ED5406">
              <w:t>2024</w:t>
            </w:r>
            <w:r w:rsidR="00817416" w:rsidRPr="00ED5406">
              <w:t>-202</w:t>
            </w:r>
            <w:r w:rsidRPr="00ED5406">
              <w:t>9</w:t>
            </w:r>
          </w:p>
        </w:tc>
        <w:tc>
          <w:tcPr>
            <w:tcW w:w="2268" w:type="dxa"/>
            <w:shd w:val="clear" w:color="auto" w:fill="auto"/>
          </w:tcPr>
          <w:p w14:paraId="1D747C74" w14:textId="77777777" w:rsidR="00751A4A" w:rsidRPr="00ED5406" w:rsidRDefault="00187494" w:rsidP="0010095E">
            <w:pPr>
              <w:pStyle w:val="EPLogo"/>
            </w:pPr>
            <w:r w:rsidRPr="00ED5406">
              <w:rPr>
                <w:noProof/>
                <w:lang w:eastAsia="ja-JP"/>
              </w:rPr>
              <w:drawing>
                <wp:inline distT="0" distB="0" distL="0" distR="0" wp14:anchorId="7E2BBB26" wp14:editId="6EB798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6AEE2" w14:textId="77777777" w:rsidR="00D058B8" w:rsidRPr="00ED5406" w:rsidRDefault="00D058B8" w:rsidP="004C5D52">
      <w:pPr>
        <w:pStyle w:val="LineTop"/>
      </w:pPr>
    </w:p>
    <w:p w14:paraId="457FC8C7" w14:textId="77777777" w:rsidR="00680577" w:rsidRPr="00ED5406" w:rsidRDefault="007C4C78" w:rsidP="00680577">
      <w:pPr>
        <w:pStyle w:val="EPBodyTA1"/>
      </w:pPr>
      <w:r w:rsidRPr="00ED5406">
        <w:t>TESTI APPROVATI</w:t>
      </w:r>
    </w:p>
    <w:p w14:paraId="5246485E" w14:textId="77777777" w:rsidR="00D058B8" w:rsidRPr="00ED5406" w:rsidRDefault="00D058B8" w:rsidP="00D058B8">
      <w:pPr>
        <w:pStyle w:val="LineBottom"/>
      </w:pPr>
    </w:p>
    <w:p w14:paraId="6D532253" w14:textId="0EE11A20" w:rsidR="007C4C78" w:rsidRPr="00ED5406" w:rsidRDefault="007C4C78" w:rsidP="007C4C78">
      <w:pPr>
        <w:pStyle w:val="ATHeading1"/>
      </w:pPr>
      <w:bookmarkStart w:id="0" w:name="TANumber"/>
      <w:r w:rsidRPr="00ED5406">
        <w:t>P10_</w:t>
      </w:r>
      <w:proofErr w:type="gramStart"/>
      <w:r w:rsidRPr="00ED5406">
        <w:t>TA(</w:t>
      </w:r>
      <w:proofErr w:type="gramEnd"/>
      <w:r w:rsidRPr="00ED5406">
        <w:t>2025)0</w:t>
      </w:r>
      <w:r w:rsidR="00FD7370" w:rsidRPr="00ED5406">
        <w:t>178</w:t>
      </w:r>
      <w:bookmarkEnd w:id="0"/>
    </w:p>
    <w:p w14:paraId="2958C4BD" w14:textId="77777777" w:rsidR="007C4C78" w:rsidRPr="00ED5406" w:rsidRDefault="007C4C78" w:rsidP="007C4C78">
      <w:pPr>
        <w:pStyle w:val="ATHeading2"/>
      </w:pPr>
      <w:bookmarkStart w:id="1" w:name="title"/>
      <w:r w:rsidRPr="00ED5406">
        <w:t>Meccanismo di adeguamento del carbonio alle frontiere: semplificazione e rafforzamento</w:t>
      </w:r>
      <w:bookmarkEnd w:id="1"/>
    </w:p>
    <w:p w14:paraId="4D80406E" w14:textId="77777777" w:rsidR="007C4C78" w:rsidRPr="00ED5406" w:rsidRDefault="007C4C78" w:rsidP="007C4C78">
      <w:pPr>
        <w:rPr>
          <w:i/>
          <w:vanish/>
        </w:rPr>
      </w:pPr>
      <w:r w:rsidRPr="00ED5406">
        <w:rPr>
          <w:i/>
        </w:rPr>
        <w:fldChar w:fldCharType="begin"/>
      </w:r>
      <w:r w:rsidRPr="00ED5406">
        <w:rPr>
          <w:i/>
        </w:rPr>
        <w:instrText xml:space="preserve"> TC"(</w:instrText>
      </w:r>
      <w:bookmarkStart w:id="2" w:name="DocNumber"/>
      <w:r w:rsidRPr="00ED5406">
        <w:rPr>
          <w:i/>
        </w:rPr>
        <w:instrText>A10-0085/2025</w:instrText>
      </w:r>
      <w:bookmarkEnd w:id="2"/>
      <w:r w:rsidRPr="00ED5406">
        <w:rPr>
          <w:i/>
        </w:rPr>
        <w:instrText xml:space="preserve"> - Relatore: Antonio Decaro)"\l3 \n&gt; \* MERGEFORMAT </w:instrText>
      </w:r>
      <w:r w:rsidRPr="00ED5406">
        <w:rPr>
          <w:i/>
        </w:rPr>
        <w:fldChar w:fldCharType="end"/>
      </w:r>
    </w:p>
    <w:p w14:paraId="4C349786" w14:textId="77777777" w:rsidR="007C4C78" w:rsidRPr="00ED5406" w:rsidRDefault="007C4C78" w:rsidP="007C4C78">
      <w:pPr>
        <w:rPr>
          <w:vanish/>
        </w:rPr>
      </w:pPr>
      <w:bookmarkStart w:id="3" w:name="Commission"/>
      <w:r w:rsidRPr="00ED5406">
        <w:rPr>
          <w:vanish/>
        </w:rPr>
        <w:t>Commissione per l'ambiente, il clima e la sicurezza alimentare</w:t>
      </w:r>
      <w:bookmarkEnd w:id="3"/>
    </w:p>
    <w:p w14:paraId="18A5C82C" w14:textId="77777777" w:rsidR="007C4C78" w:rsidRPr="00ED5406" w:rsidRDefault="007C4C78" w:rsidP="007C4C78">
      <w:pPr>
        <w:rPr>
          <w:vanish/>
        </w:rPr>
      </w:pPr>
      <w:bookmarkStart w:id="4" w:name="PE"/>
      <w:r w:rsidRPr="00ED5406">
        <w:rPr>
          <w:vanish/>
        </w:rPr>
        <w:t>PE773.301</w:t>
      </w:r>
      <w:bookmarkEnd w:id="4"/>
    </w:p>
    <w:p w14:paraId="2AFD0751" w14:textId="77777777" w:rsidR="007C4C78" w:rsidRPr="00ED5406" w:rsidRDefault="007C4C78" w:rsidP="007C4C78">
      <w:pPr>
        <w:pStyle w:val="ATHeading3"/>
      </w:pPr>
      <w:bookmarkStart w:id="5" w:name="Sujet"/>
      <w:r w:rsidRPr="00ED5406">
        <w:t>Risoluzione legislativa del Parlamento europeo del 10 settembre 2025 sulla proposta di regolamento del Parlamento europeo e del Consiglio che modifica il regolamento (UE) 2023/956 per quanto riguarda la semplificazione e il rafforzamento del meccanismo di adeguamento del carbonio alle frontiere</w:t>
      </w:r>
      <w:bookmarkEnd w:id="5"/>
      <w:r w:rsidRPr="00ED5406">
        <w:t xml:space="preserve"> </w:t>
      </w:r>
      <w:bookmarkStart w:id="6" w:name="References"/>
      <w:r w:rsidRPr="00ED5406">
        <w:t>(</w:t>
      </w:r>
      <w:proofErr w:type="gramStart"/>
      <w:r w:rsidRPr="00ED5406">
        <w:t>COM(</w:t>
      </w:r>
      <w:proofErr w:type="gramEnd"/>
      <w:r w:rsidRPr="00ED5406">
        <w:t>2025)0087 – C10-0035/2025 – 2025/0039(COD))</w:t>
      </w:r>
      <w:bookmarkEnd w:id="6"/>
    </w:p>
    <w:p w14:paraId="3D7F27FE" w14:textId="77777777" w:rsidR="005E3C41" w:rsidRPr="00ED5406" w:rsidRDefault="005E3C41" w:rsidP="005E3C41">
      <w:pPr>
        <w:rPr>
          <w:lang w:eastAsia="fr-FR"/>
        </w:rPr>
      </w:pPr>
    </w:p>
    <w:p w14:paraId="480E8544" w14:textId="77777777" w:rsidR="00FB3951" w:rsidRPr="00ED5406" w:rsidRDefault="00FB3951" w:rsidP="00FB3951">
      <w:pPr>
        <w:pStyle w:val="NormalBold"/>
      </w:pPr>
      <w:r w:rsidRPr="00ED5406">
        <w:t>(Procedura legislativa ordinaria: prima lettura)</w:t>
      </w:r>
    </w:p>
    <w:p w14:paraId="701B6F8C" w14:textId="77777777" w:rsidR="00FB3951" w:rsidRPr="00ED5406" w:rsidRDefault="00FB3951" w:rsidP="00FB3951">
      <w:pPr>
        <w:pStyle w:val="EPComma"/>
      </w:pPr>
      <w:r w:rsidRPr="00ED5406">
        <w:rPr>
          <w:i/>
        </w:rPr>
        <w:t>Il Parlamento europeo</w:t>
      </w:r>
      <w:r w:rsidRPr="00ED5406">
        <w:t>,</w:t>
      </w:r>
    </w:p>
    <w:p w14:paraId="679332A3" w14:textId="77777777" w:rsidR="00FB3951" w:rsidRPr="00ED5406" w:rsidRDefault="00FB3951" w:rsidP="00FB3951">
      <w:pPr>
        <w:pStyle w:val="NormalHanging12a"/>
      </w:pPr>
      <w:r w:rsidRPr="00ED5406">
        <w:t>–</w:t>
      </w:r>
      <w:r w:rsidRPr="00ED5406">
        <w:tab/>
        <w:t>vista la proposta della Commissione al Parlamento europeo e al Consiglio (</w:t>
      </w:r>
      <w:proofErr w:type="gramStart"/>
      <w:r w:rsidRPr="00ED5406">
        <w:t>COM(</w:t>
      </w:r>
      <w:proofErr w:type="gramEnd"/>
      <w:r w:rsidRPr="00ED5406">
        <w:t>2025)0087),</w:t>
      </w:r>
    </w:p>
    <w:p w14:paraId="150A7CE5" w14:textId="77777777" w:rsidR="00FB3951" w:rsidRPr="00ED5406" w:rsidRDefault="00FB3951" w:rsidP="00FB3951">
      <w:pPr>
        <w:pStyle w:val="NormalHanging12a"/>
      </w:pPr>
      <w:r w:rsidRPr="00ED5406">
        <w:t>–</w:t>
      </w:r>
      <w:r w:rsidRPr="00ED5406">
        <w:tab/>
        <w:t>visti l'articolo 294, paragrafo 2, e l'articolo 192, paragrafo 1, del trattato sul funzionamento dell'Unione europea, a norma dei quali la proposta gli è stata presentata dalla Commissione (C10</w:t>
      </w:r>
      <w:r w:rsidRPr="00ED5406">
        <w:noBreakHyphen/>
        <w:t>0035/2025),</w:t>
      </w:r>
    </w:p>
    <w:p w14:paraId="4E662353" w14:textId="77777777" w:rsidR="00FB3951" w:rsidRPr="00ED5406" w:rsidRDefault="00FB3951" w:rsidP="00FB3951">
      <w:pPr>
        <w:pStyle w:val="NormalHanging12a"/>
      </w:pPr>
      <w:r w:rsidRPr="00ED5406">
        <w:t>–</w:t>
      </w:r>
      <w:r w:rsidRPr="00ED5406">
        <w:tab/>
        <w:t>visto l'articolo 294, paragrafo 3, del trattato sul funzionamento dell'Unione europea,</w:t>
      </w:r>
    </w:p>
    <w:p w14:paraId="3F660197" w14:textId="77777777" w:rsidR="00FB3951" w:rsidRPr="00ED5406" w:rsidRDefault="00FB3951" w:rsidP="00FB3951">
      <w:pPr>
        <w:pStyle w:val="NormalHanging12a"/>
      </w:pPr>
      <w:r w:rsidRPr="00ED5406">
        <w:t>–</w:t>
      </w:r>
      <w:r w:rsidRPr="00ED5406">
        <w:tab/>
        <w:t>vista la valutazione di bilancio da parte della commissione per i bilanci,</w:t>
      </w:r>
    </w:p>
    <w:p w14:paraId="4757E0E9" w14:textId="77777777" w:rsidR="00FB3951" w:rsidRPr="00ED5406" w:rsidRDefault="00FB3951" w:rsidP="00FB3951">
      <w:pPr>
        <w:pStyle w:val="NormalHanging12a"/>
      </w:pPr>
      <w:r w:rsidRPr="00ED5406">
        <w:t>–</w:t>
      </w:r>
      <w:r w:rsidRPr="00ED5406">
        <w:tab/>
        <w:t>visto il parere del Comitato economico e sociale europeo del 29 aprile 2025</w:t>
      </w:r>
      <w:r w:rsidRPr="00ED5406">
        <w:rPr>
          <w:rStyle w:val="FootnoteReference"/>
        </w:rPr>
        <w:footnoteReference w:id="1"/>
      </w:r>
      <w:r w:rsidRPr="00ED5406">
        <w:t>,</w:t>
      </w:r>
    </w:p>
    <w:p w14:paraId="115C296F" w14:textId="77777777" w:rsidR="00FB3951" w:rsidRPr="00ED5406" w:rsidRDefault="00FB3951" w:rsidP="00FB3951">
      <w:pPr>
        <w:pStyle w:val="NormalHanging12a"/>
      </w:pPr>
      <w:r w:rsidRPr="00ED5406">
        <w:t>–</w:t>
      </w:r>
      <w:r w:rsidRPr="00ED5406">
        <w:tab/>
        <w:t>previa consultazione del Comitato delle regioni,</w:t>
      </w:r>
    </w:p>
    <w:p w14:paraId="7B19EDA4" w14:textId="7DBAA954" w:rsidR="00603A9C" w:rsidRPr="00ED5406" w:rsidRDefault="00603A9C" w:rsidP="00603A9C">
      <w:pPr>
        <w:pStyle w:val="Normal12Hanging"/>
        <w:ind w:left="567" w:hanging="567"/>
      </w:pPr>
      <w:r w:rsidRPr="00ED5406">
        <w:t>–</w:t>
      </w:r>
      <w:r w:rsidRPr="00ED5406">
        <w:tab/>
        <w:t>visti l'accordo provvisorio approvato dalla commissione competente a norma dell'articolo 75, paragrafo 4, del regolamento e l'impegno assunto dal rappresentante del Consiglio, con lettera del 27 giugno 2025, di approvare la posizione del Parlamento europeo, in conformità dell'articolo 294, paragrafo 4, del trattato sul funzionamento dell'Unione europea,</w:t>
      </w:r>
    </w:p>
    <w:p w14:paraId="17AE3230" w14:textId="77777777" w:rsidR="00FB3951" w:rsidRPr="00ED5406" w:rsidRDefault="00FB3951" w:rsidP="00FB3951">
      <w:pPr>
        <w:pStyle w:val="NormalHanging12a"/>
      </w:pPr>
      <w:r w:rsidRPr="00ED5406">
        <w:t>–</w:t>
      </w:r>
      <w:r w:rsidRPr="00ED5406">
        <w:tab/>
        <w:t>visti gli articoli 60 e 58 del suo regolamento,</w:t>
      </w:r>
    </w:p>
    <w:p w14:paraId="10C80B05" w14:textId="77777777" w:rsidR="00FB3951" w:rsidRPr="00ED5406" w:rsidRDefault="00FB3951" w:rsidP="00FB3951">
      <w:pPr>
        <w:pStyle w:val="NormalHanging12a"/>
      </w:pPr>
      <w:r w:rsidRPr="00ED5406">
        <w:t>–</w:t>
      </w:r>
      <w:r w:rsidRPr="00ED5406">
        <w:tab/>
        <w:t xml:space="preserve">visti i pareri della commissione per il commercio internazionale e della commissione per </w:t>
      </w:r>
      <w:r w:rsidRPr="00ED5406">
        <w:lastRenderedPageBreak/>
        <w:t>l'industria, la ricerca e l'energia,</w:t>
      </w:r>
    </w:p>
    <w:p w14:paraId="655B7F67" w14:textId="77777777" w:rsidR="00FB3951" w:rsidRPr="00ED5406" w:rsidRDefault="00FB3951" w:rsidP="00FB3951">
      <w:pPr>
        <w:pStyle w:val="NormalHanging12a"/>
      </w:pPr>
      <w:r w:rsidRPr="00ED5406">
        <w:t>–</w:t>
      </w:r>
      <w:r w:rsidRPr="00ED5406">
        <w:tab/>
        <w:t>vista la relazione della commissione per l'ambiente, il clima e la sicurezza alimentare (A10</w:t>
      </w:r>
      <w:r w:rsidRPr="00ED5406">
        <w:noBreakHyphen/>
        <w:t>0085/2025),</w:t>
      </w:r>
    </w:p>
    <w:p w14:paraId="0233824A" w14:textId="738D9E50" w:rsidR="00FB3951" w:rsidRPr="00ED5406" w:rsidRDefault="00FB3951" w:rsidP="00FB3951">
      <w:pPr>
        <w:pStyle w:val="NormalHanging12a"/>
      </w:pPr>
      <w:r w:rsidRPr="00ED5406">
        <w:t>1.</w:t>
      </w:r>
      <w:r w:rsidRPr="00ED5406">
        <w:tab/>
        <w:t xml:space="preserve">adotta la posizione in prima lettura figurante </w:t>
      </w:r>
      <w:proofErr w:type="gramStart"/>
      <w:r w:rsidRPr="00ED5406">
        <w:t>in appresso</w:t>
      </w:r>
      <w:proofErr w:type="gramEnd"/>
      <w:r w:rsidR="00587E00" w:rsidRPr="00ED5406">
        <w:rPr>
          <w:rStyle w:val="FootnoteReference"/>
          <w:szCs w:val="24"/>
        </w:rPr>
        <w:footnoteReference w:id="2"/>
      </w:r>
      <w:r w:rsidRPr="00ED5406">
        <w:t>;</w:t>
      </w:r>
    </w:p>
    <w:p w14:paraId="0D1A0BA1" w14:textId="77777777" w:rsidR="00FB3951" w:rsidRPr="00ED5406" w:rsidRDefault="00FB3951" w:rsidP="00FB3951">
      <w:pPr>
        <w:pStyle w:val="NormalHanging12a"/>
      </w:pPr>
      <w:r w:rsidRPr="00ED5406">
        <w:t>2.</w:t>
      </w:r>
      <w:r w:rsidRPr="00ED5406">
        <w:tab/>
        <w:t>chiede alla Commissione di presentargli nuovamente la proposta qualora la sostituisca, la modifichi sostanzialmente o intenda modificarla sostanzialmente;</w:t>
      </w:r>
    </w:p>
    <w:p w14:paraId="3B3CE28D" w14:textId="77777777" w:rsidR="00FB3951" w:rsidRPr="00ED5406" w:rsidRDefault="00FB3951" w:rsidP="00FB3951">
      <w:pPr>
        <w:pStyle w:val="NormalHanging12a"/>
      </w:pPr>
      <w:r w:rsidRPr="00ED5406">
        <w:t>3.</w:t>
      </w:r>
      <w:r w:rsidRPr="00ED5406">
        <w:tab/>
        <w:t>incarica la sua Presidente di trasmettere la posizione del Parlamento al Consiglio e alla Commissione nonché ai parlamenti nazionali.</w:t>
      </w:r>
    </w:p>
    <w:p w14:paraId="4A22D03F" w14:textId="77777777" w:rsidR="00EF7C77" w:rsidRPr="00ED5406" w:rsidRDefault="00EF7C77" w:rsidP="00FB3951">
      <w:pPr>
        <w:pStyle w:val="NormalHanging12a"/>
      </w:pPr>
    </w:p>
    <w:p w14:paraId="755EE8D6" w14:textId="77777777" w:rsidR="00EC7050" w:rsidRPr="00ED5406" w:rsidRDefault="00EC7050" w:rsidP="00587E00">
      <w:pPr>
        <w:spacing w:after="240"/>
        <w:rPr>
          <w:b/>
        </w:rPr>
        <w:sectPr w:rsidR="00EC7050" w:rsidRPr="00ED5406" w:rsidSect="00587E00">
          <w:footerReference w:type="even" r:id="rId9"/>
          <w:footerReference w:type="first" r:id="rId10"/>
          <w:footnotePr>
            <w:numRestart w:val="eachSect"/>
          </w:footnotePr>
          <w:pgSz w:w="11907" w:h="16840" w:code="9"/>
          <w:pgMar w:top="1134" w:right="1134" w:bottom="1134" w:left="1134" w:header="567" w:footer="567" w:gutter="0"/>
          <w:pgNumType w:start="1"/>
          <w:cols w:space="720"/>
          <w:docGrid w:linePitch="360"/>
        </w:sectPr>
      </w:pPr>
    </w:p>
    <w:p w14:paraId="1E969FF5" w14:textId="2BC9D5BA" w:rsidR="00587E00" w:rsidRPr="00ED5406" w:rsidRDefault="00587E00" w:rsidP="00587E00">
      <w:pPr>
        <w:spacing w:after="240"/>
        <w:rPr>
          <w:b/>
        </w:rPr>
      </w:pPr>
      <w:r w:rsidRPr="00ED5406">
        <w:rPr>
          <w:b/>
        </w:rPr>
        <w:lastRenderedPageBreak/>
        <w:t>P10_TC1-</w:t>
      </w:r>
      <w:proofErr w:type="gramStart"/>
      <w:r w:rsidRPr="00ED5406">
        <w:rPr>
          <w:b/>
        </w:rPr>
        <w:t>COD(</w:t>
      </w:r>
      <w:proofErr w:type="gramEnd"/>
      <w:r w:rsidR="00EC7050" w:rsidRPr="00ED5406">
        <w:rPr>
          <w:b/>
        </w:rPr>
        <w:t>2025</w:t>
      </w:r>
      <w:r w:rsidRPr="00ED5406">
        <w:rPr>
          <w:b/>
        </w:rPr>
        <w:t>)</w:t>
      </w:r>
      <w:r w:rsidR="00EC7050" w:rsidRPr="00ED5406">
        <w:rPr>
          <w:b/>
        </w:rPr>
        <w:t>0039</w:t>
      </w:r>
    </w:p>
    <w:p w14:paraId="43EE580E" w14:textId="77777777" w:rsidR="00587E00" w:rsidRPr="00ED5406" w:rsidRDefault="00587E00" w:rsidP="00587E00">
      <w:pPr>
        <w:spacing w:before="120" w:after="360"/>
        <w:rPr>
          <w:b/>
        </w:rPr>
      </w:pPr>
      <w:r w:rsidRPr="00ED5406">
        <w:rPr>
          <w:b/>
        </w:rPr>
        <w:t>Posizione del Parlamento europeo definita in prima lettura il 10 settembre 2025 in vista dell'adozione del regolamento (UE) 2025/... del Parlamento europeo e del Consiglio che modifica il regolamento (UE) 2023/956 per quanto riguarda la semplificazione e il rafforzamento del meccanismo di adeguamento del carbonio alle frontiere</w:t>
      </w:r>
    </w:p>
    <w:p w14:paraId="659D1BC8" w14:textId="77777777" w:rsidR="00ED5406" w:rsidRPr="00ED5406" w:rsidRDefault="00ED5406" w:rsidP="00587E00">
      <w:pPr>
        <w:spacing w:before="120" w:after="360"/>
        <w:rPr>
          <w:b/>
        </w:rPr>
      </w:pPr>
    </w:p>
    <w:p w14:paraId="7E1DA00D" w14:textId="534217C0" w:rsidR="00ED5406" w:rsidRPr="00ED5406" w:rsidRDefault="00ED5406" w:rsidP="00ED5406">
      <w:r w:rsidRPr="00ED5406">
        <w:rPr>
          <w:i/>
        </w:rPr>
        <w:t>(Dato l'accordo tra il Parlamento e il Consiglio, la posizione del Parlamento corrisponde all'atto legislativo finale, il regolamento (UE) 2025/</w:t>
      </w:r>
      <w:r w:rsidRPr="00ED5406">
        <w:rPr>
          <w:i/>
        </w:rPr>
        <w:t>2083</w:t>
      </w:r>
      <w:r w:rsidRPr="00ED5406">
        <w:rPr>
          <w:i/>
        </w:rPr>
        <w:t>.)</w:t>
      </w:r>
    </w:p>
    <w:p w14:paraId="44504492" w14:textId="77777777" w:rsidR="00ED5406" w:rsidRPr="00ED5406" w:rsidRDefault="00ED5406" w:rsidP="00587E00">
      <w:pPr>
        <w:spacing w:before="120" w:after="360"/>
        <w:rPr>
          <w:b/>
        </w:rPr>
      </w:pPr>
    </w:p>
    <w:sectPr w:rsidR="00ED5406" w:rsidRPr="00ED5406" w:rsidSect="00ED5406">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42947" w14:textId="77777777" w:rsidR="007C4C78" w:rsidRPr="00B05267" w:rsidRDefault="007C4C78">
      <w:r w:rsidRPr="00B05267">
        <w:separator/>
      </w:r>
    </w:p>
  </w:endnote>
  <w:endnote w:type="continuationSeparator" w:id="0">
    <w:p w14:paraId="0C26B058" w14:textId="77777777" w:rsidR="007C4C78" w:rsidRPr="00B05267" w:rsidRDefault="007C4C78">
      <w:r w:rsidRPr="00B052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80515" w14:textId="77777777" w:rsidR="00587E00" w:rsidRPr="00AB7962" w:rsidRDefault="00587E00" w:rsidP="00785B87">
    <w:pPr>
      <w:pStyle w:val="Footer"/>
      <w:tabs>
        <w:tab w:val="clear" w:pos="4513"/>
        <w:tab w:val="center" w:pos="4819"/>
        <w:tab w:val="right" w:pos="8504"/>
        <w:tab w:val="right" w:pos="9638"/>
      </w:tabs>
    </w:pPr>
    <w:r>
      <w:t>PE-CONS No/YY</w:t>
    </w:r>
    <w:r>
      <w:tab/>
      <w:t>YYYY/NNNN(COD)</w:t>
    </w:r>
    <w:r>
      <w:tab/>
      <w:t>XYZ-AB/OP-QR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97C94" w14:textId="77777777" w:rsidR="00587E00" w:rsidRPr="00AB7962" w:rsidRDefault="00587E00" w:rsidP="00785B87">
    <w:pPr>
      <w:pStyle w:val="Footer"/>
      <w:tabs>
        <w:tab w:val="clear" w:pos="4513"/>
        <w:tab w:val="center" w:pos="4819"/>
        <w:tab w:val="right" w:pos="8504"/>
        <w:tab w:val="right" w:pos="9638"/>
      </w:tabs>
    </w:pPr>
    <w:r>
      <w:t>PE-CONS No/YY</w:t>
    </w:r>
    <w:r>
      <w:tab/>
      <w:t>YYYY/NNNN(COD)</w:t>
    </w:r>
    <w:r>
      <w:tab/>
      <w:t>XYZ-AB/OP-QR</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D0283" w14:textId="77777777" w:rsidR="00064002" w:rsidRPr="00B0526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378E" w14:textId="77777777" w:rsidR="00064002" w:rsidRPr="00B0526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C2B4B" w14:textId="77777777" w:rsidR="00064002" w:rsidRPr="00B052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22972" w14:textId="77777777" w:rsidR="007C4C78" w:rsidRPr="00B05267" w:rsidRDefault="007C4C78">
      <w:r w:rsidRPr="00B05267">
        <w:separator/>
      </w:r>
    </w:p>
  </w:footnote>
  <w:footnote w:type="continuationSeparator" w:id="0">
    <w:p w14:paraId="4C4A6480" w14:textId="77777777" w:rsidR="007C4C78" w:rsidRPr="00B05267" w:rsidRDefault="007C4C78">
      <w:r w:rsidRPr="00B05267">
        <w:continuationSeparator/>
      </w:r>
    </w:p>
  </w:footnote>
  <w:footnote w:id="1">
    <w:p w14:paraId="07A1A873" w14:textId="591D53DD" w:rsidR="00FB3951" w:rsidRPr="00FD7370" w:rsidRDefault="00FB3951" w:rsidP="00B05267">
      <w:pPr>
        <w:pStyle w:val="FootnoteText"/>
        <w:ind w:left="567" w:hanging="567"/>
        <w:rPr>
          <w:sz w:val="24"/>
          <w:szCs w:val="24"/>
          <w:lang w:val="fi-FI"/>
        </w:rPr>
      </w:pPr>
      <w:r w:rsidRPr="00EC7050">
        <w:rPr>
          <w:rStyle w:val="FootnoteReference"/>
          <w:sz w:val="24"/>
          <w:szCs w:val="24"/>
          <w:lang w:val="it-IT"/>
        </w:rPr>
        <w:footnoteRef/>
      </w:r>
      <w:r w:rsidR="00B05267" w:rsidRPr="00FD7370">
        <w:rPr>
          <w:sz w:val="24"/>
          <w:szCs w:val="24"/>
          <w:lang w:val="fi-FI"/>
        </w:rPr>
        <w:t xml:space="preserve"> </w:t>
      </w:r>
      <w:r w:rsidR="00B05267" w:rsidRPr="00FD7370">
        <w:rPr>
          <w:sz w:val="24"/>
          <w:szCs w:val="24"/>
          <w:lang w:val="fi-FI"/>
        </w:rPr>
        <w:tab/>
      </w:r>
      <w:r w:rsidR="00633609" w:rsidRPr="00EC7050">
        <w:rPr>
          <w:sz w:val="24"/>
          <w:szCs w:val="24"/>
          <w:lang w:val="fi-FI"/>
        </w:rPr>
        <w:t xml:space="preserve">GU C, C/2025/3201, 2.7.2025, ELI: </w:t>
      </w:r>
      <w:hyperlink r:id="rId1" w:history="1">
        <w:r w:rsidR="00633609" w:rsidRPr="00EC7050">
          <w:rPr>
            <w:rStyle w:val="Hyperlink"/>
            <w:sz w:val="24"/>
            <w:szCs w:val="24"/>
            <w:lang w:val="fi-FI"/>
          </w:rPr>
          <w:t>http://data.europa.eu/eli/C/2025/3201/oj</w:t>
        </w:r>
      </w:hyperlink>
      <w:r w:rsidRPr="00FD7370">
        <w:rPr>
          <w:sz w:val="24"/>
          <w:szCs w:val="24"/>
          <w:lang w:val="fi-FI"/>
        </w:rPr>
        <w:t>.</w:t>
      </w:r>
    </w:p>
  </w:footnote>
  <w:footnote w:id="2">
    <w:p w14:paraId="1AFF672A" w14:textId="5EFECB4C" w:rsidR="00587E00" w:rsidRPr="00EC7050" w:rsidRDefault="00587E00" w:rsidP="00587E00">
      <w:pPr>
        <w:pStyle w:val="FootnoteText"/>
        <w:ind w:left="567" w:hanging="567"/>
        <w:rPr>
          <w:sz w:val="24"/>
          <w:szCs w:val="24"/>
          <w:lang w:val="it-IT"/>
        </w:rPr>
      </w:pPr>
      <w:r w:rsidRPr="00EC7050">
        <w:rPr>
          <w:rStyle w:val="FootnoteReference"/>
          <w:sz w:val="24"/>
          <w:szCs w:val="24"/>
        </w:rPr>
        <w:footnoteRef/>
      </w:r>
      <w:r w:rsidRPr="00EC7050">
        <w:rPr>
          <w:sz w:val="24"/>
          <w:szCs w:val="24"/>
          <w:lang w:val="it-IT"/>
        </w:rPr>
        <w:tab/>
        <w:t>La presente posizione sostituisce gli emendamenti approvati il 22 maggio 2025 (Testi approvati, P10_</w:t>
      </w:r>
      <w:proofErr w:type="gramStart"/>
      <w:r w:rsidRPr="00EC7050">
        <w:rPr>
          <w:sz w:val="24"/>
          <w:szCs w:val="24"/>
          <w:lang w:val="it-IT"/>
        </w:rPr>
        <w:t>TA(</w:t>
      </w:r>
      <w:proofErr w:type="gramEnd"/>
      <w:r w:rsidRPr="00EC7050">
        <w:rPr>
          <w:sz w:val="24"/>
          <w:szCs w:val="24"/>
          <w:lang w:val="it-IT"/>
        </w:rPr>
        <w:t>2025)0108).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FB35" w14:textId="77777777" w:rsidR="00064002" w:rsidRPr="00B0526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163C2" w14:textId="77777777" w:rsidR="00064002" w:rsidRPr="00B0526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298C2" w14:textId="77777777" w:rsidR="00064002" w:rsidRPr="00B052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6022468">
    <w:abstractNumId w:val="9"/>
  </w:num>
  <w:num w:numId="2" w16cid:durableId="253323978">
    <w:abstractNumId w:val="9"/>
  </w:num>
  <w:num w:numId="3" w16cid:durableId="305818146">
    <w:abstractNumId w:val="7"/>
  </w:num>
  <w:num w:numId="4" w16cid:durableId="1969578811">
    <w:abstractNumId w:val="7"/>
  </w:num>
  <w:num w:numId="5" w16cid:durableId="1207524244">
    <w:abstractNumId w:val="6"/>
  </w:num>
  <w:num w:numId="6" w16cid:durableId="582683748">
    <w:abstractNumId w:val="6"/>
  </w:num>
  <w:num w:numId="7" w16cid:durableId="1866556718">
    <w:abstractNumId w:val="5"/>
  </w:num>
  <w:num w:numId="8" w16cid:durableId="1337348667">
    <w:abstractNumId w:val="5"/>
  </w:num>
  <w:num w:numId="9" w16cid:durableId="1297105990">
    <w:abstractNumId w:val="4"/>
  </w:num>
  <w:num w:numId="10" w16cid:durableId="2091537922">
    <w:abstractNumId w:val="4"/>
  </w:num>
  <w:num w:numId="11" w16cid:durableId="1917859126">
    <w:abstractNumId w:val="8"/>
  </w:num>
  <w:num w:numId="12" w16cid:durableId="743913103">
    <w:abstractNumId w:val="8"/>
  </w:num>
  <w:num w:numId="13" w16cid:durableId="616448092">
    <w:abstractNumId w:val="3"/>
  </w:num>
  <w:num w:numId="14" w16cid:durableId="663700621">
    <w:abstractNumId w:val="3"/>
  </w:num>
  <w:num w:numId="15" w16cid:durableId="1650018673">
    <w:abstractNumId w:val="2"/>
  </w:num>
  <w:num w:numId="16" w16cid:durableId="1939438247">
    <w:abstractNumId w:val="2"/>
  </w:num>
  <w:num w:numId="17" w16cid:durableId="2010792456">
    <w:abstractNumId w:val="1"/>
  </w:num>
  <w:num w:numId="18" w16cid:durableId="858159412">
    <w:abstractNumId w:val="1"/>
  </w:num>
  <w:num w:numId="19" w16cid:durableId="1856916657">
    <w:abstractNumId w:val="0"/>
  </w:num>
  <w:num w:numId="20" w16cid:durableId="719288712">
    <w:abstractNumId w:val="0"/>
  </w:num>
  <w:num w:numId="21" w16cid:durableId="1081029196">
    <w:abstractNumId w:val="9"/>
  </w:num>
  <w:num w:numId="22" w16cid:durableId="1035887462">
    <w:abstractNumId w:val="7"/>
  </w:num>
  <w:num w:numId="23" w16cid:durableId="490949390">
    <w:abstractNumId w:val="6"/>
  </w:num>
  <w:num w:numId="24" w16cid:durableId="2067410792">
    <w:abstractNumId w:val="5"/>
  </w:num>
  <w:num w:numId="25" w16cid:durableId="853613801">
    <w:abstractNumId w:val="4"/>
  </w:num>
  <w:num w:numId="26" w16cid:durableId="1253005151">
    <w:abstractNumId w:val="8"/>
  </w:num>
  <w:num w:numId="27" w16cid:durableId="1407608884">
    <w:abstractNumId w:val="3"/>
  </w:num>
  <w:num w:numId="28" w16cid:durableId="1301769360">
    <w:abstractNumId w:val="2"/>
  </w:num>
  <w:num w:numId="29" w16cid:durableId="1571622709">
    <w:abstractNumId w:val="1"/>
  </w:num>
  <w:num w:numId="30" w16cid:durableId="147602567">
    <w:abstractNumId w:val="0"/>
  </w:num>
  <w:num w:numId="31" w16cid:durableId="1913469619">
    <w:abstractNumId w:val="9"/>
  </w:num>
  <w:num w:numId="32" w16cid:durableId="82803830">
    <w:abstractNumId w:val="7"/>
  </w:num>
  <w:num w:numId="33" w16cid:durableId="526792072">
    <w:abstractNumId w:val="6"/>
  </w:num>
  <w:num w:numId="34" w16cid:durableId="1382250916">
    <w:abstractNumId w:val="5"/>
  </w:num>
  <w:num w:numId="35" w16cid:durableId="1547570141">
    <w:abstractNumId w:val="4"/>
  </w:num>
  <w:num w:numId="36" w16cid:durableId="1157648920">
    <w:abstractNumId w:val="8"/>
  </w:num>
  <w:num w:numId="37" w16cid:durableId="1783916109">
    <w:abstractNumId w:val="3"/>
  </w:num>
  <w:num w:numId="38" w16cid:durableId="954294679">
    <w:abstractNumId w:val="2"/>
  </w:num>
  <w:num w:numId="39" w16cid:durableId="2059619835">
    <w:abstractNumId w:val="1"/>
  </w:num>
  <w:num w:numId="40" w16cid:durableId="551772047">
    <w:abstractNumId w:val="0"/>
  </w:num>
  <w:num w:numId="41" w16cid:durableId="1321040165">
    <w:abstractNumId w:val="10"/>
  </w:num>
  <w:num w:numId="42" w16cid:durableId="2134982770">
    <w:abstractNumId w:val="10"/>
  </w:num>
  <w:num w:numId="43" w16cid:durableId="698703533">
    <w:abstractNumId w:val="10"/>
  </w:num>
  <w:num w:numId="44" w16cid:durableId="1323895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5"/>
    <w:docVar w:name="dvlangue" w:val="IT"/>
    <w:docVar w:name="dvnumam" w:val="4"/>
    <w:docVar w:name="dvpe" w:val="773.301"/>
    <w:docVar w:name="dvrapporteur" w:val="Relatore: "/>
    <w:docVar w:name="dvstar" w:val="***I"/>
    <w:docVar w:name="dvtitre" w:val="Risoluzione legislativa del Parlamento europeo del 10 settembre 2025 sulla proposta di regolamento del Parlamento europeo e del Consiglio che modifica il regolamento (UE) 2023/956 per quanto riguarda la semplificazione e il rafforzamento del meccanismo di adeguamento del carbonio alle frontiere(COM(2025)0087 – C10-0035/2025 – 2025/0039(COD))"/>
  </w:docVars>
  <w:rsids>
    <w:rsidRoot w:val="007C4C78"/>
    <w:rsid w:val="00002272"/>
    <w:rsid w:val="000152E3"/>
    <w:rsid w:val="00064002"/>
    <w:rsid w:val="000677B9"/>
    <w:rsid w:val="000831BA"/>
    <w:rsid w:val="000A42CC"/>
    <w:rsid w:val="000E5530"/>
    <w:rsid w:val="000E7DD9"/>
    <w:rsid w:val="0010095E"/>
    <w:rsid w:val="00125B37"/>
    <w:rsid w:val="00187494"/>
    <w:rsid w:val="001F32AE"/>
    <w:rsid w:val="002767FF"/>
    <w:rsid w:val="002B18FE"/>
    <w:rsid w:val="002B5493"/>
    <w:rsid w:val="002C763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053"/>
    <w:rsid w:val="00587E00"/>
    <w:rsid w:val="005C2568"/>
    <w:rsid w:val="005E3C41"/>
    <w:rsid w:val="005F1B17"/>
    <w:rsid w:val="006037C0"/>
    <w:rsid w:val="00603A9C"/>
    <w:rsid w:val="00633609"/>
    <w:rsid w:val="006631B6"/>
    <w:rsid w:val="00680577"/>
    <w:rsid w:val="006E65C2"/>
    <w:rsid w:val="006F74FA"/>
    <w:rsid w:val="00731ADD"/>
    <w:rsid w:val="00734777"/>
    <w:rsid w:val="00747932"/>
    <w:rsid w:val="00751A4A"/>
    <w:rsid w:val="00756632"/>
    <w:rsid w:val="00762C74"/>
    <w:rsid w:val="00786EC0"/>
    <w:rsid w:val="007C4C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0FF"/>
    <w:rsid w:val="00AB441E"/>
    <w:rsid w:val="00AB6293"/>
    <w:rsid w:val="00AE0928"/>
    <w:rsid w:val="00AF3B82"/>
    <w:rsid w:val="00B05267"/>
    <w:rsid w:val="00B12E95"/>
    <w:rsid w:val="00B22876"/>
    <w:rsid w:val="00B32E2A"/>
    <w:rsid w:val="00B558F0"/>
    <w:rsid w:val="00BA633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050"/>
    <w:rsid w:val="00ED169E"/>
    <w:rsid w:val="00ED4235"/>
    <w:rsid w:val="00ED5406"/>
    <w:rsid w:val="00EF7C77"/>
    <w:rsid w:val="00F04346"/>
    <w:rsid w:val="00F075DC"/>
    <w:rsid w:val="00F149E9"/>
    <w:rsid w:val="00F5134D"/>
    <w:rsid w:val="00F74202"/>
    <w:rsid w:val="00F87713"/>
    <w:rsid w:val="00FB3951"/>
    <w:rsid w:val="00FB4360"/>
    <w:rsid w:val="00FD0C70"/>
    <w:rsid w:val="00FD73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370F5"/>
  <w15:chartTrackingRefBased/>
  <w15:docId w15:val="{5C55FDF0-A4C7-4150-819E-6B3285A2F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B3951"/>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FB3951"/>
    <w:pPr>
      <w:spacing w:after="120"/>
    </w:pPr>
  </w:style>
  <w:style w:type="paragraph" w:customStyle="1" w:styleId="PageHeading">
    <w:name w:val="PageHeading"/>
    <w:basedOn w:val="Normal"/>
    <w:rsid w:val="00FB3951"/>
    <w:pPr>
      <w:keepNext/>
      <w:spacing w:after="480"/>
      <w:jc w:val="center"/>
    </w:pPr>
    <w:rPr>
      <w:rFonts w:ascii="Arial" w:hAnsi="Arial" w:cs="Arial"/>
      <w:b/>
    </w:rPr>
  </w:style>
  <w:style w:type="paragraph" w:customStyle="1" w:styleId="NormalBold">
    <w:name w:val="NormalBold"/>
    <w:basedOn w:val="Normal"/>
    <w:link w:val="NormalBoldChar"/>
    <w:rsid w:val="00FB3951"/>
    <w:rPr>
      <w:b/>
    </w:rPr>
  </w:style>
  <w:style w:type="paragraph" w:customStyle="1" w:styleId="NormalHanging12a">
    <w:name w:val="NormalHanging12a"/>
    <w:basedOn w:val="Normal"/>
    <w:link w:val="NormalHanging12aChar"/>
    <w:rsid w:val="00FB3951"/>
    <w:pPr>
      <w:spacing w:after="240"/>
      <w:ind w:left="567" w:hanging="567"/>
    </w:pPr>
  </w:style>
  <w:style w:type="paragraph" w:styleId="Header">
    <w:name w:val="header"/>
    <w:basedOn w:val="Normal"/>
    <w:link w:val="HeaderChar"/>
    <w:uiPriority w:val="99"/>
    <w:rsid w:val="00FB3951"/>
    <w:pPr>
      <w:tabs>
        <w:tab w:val="center" w:pos="4513"/>
        <w:tab w:val="right" w:pos="9026"/>
      </w:tabs>
    </w:pPr>
  </w:style>
  <w:style w:type="character" w:customStyle="1" w:styleId="HeaderChar">
    <w:name w:val="Header Char"/>
    <w:basedOn w:val="DefaultParagraphFont"/>
    <w:link w:val="Header"/>
    <w:uiPriority w:val="99"/>
    <w:rsid w:val="00FB3951"/>
    <w:rPr>
      <w:sz w:val="24"/>
      <w:lang w:val="it-IT"/>
    </w:rPr>
  </w:style>
  <w:style w:type="paragraph" w:customStyle="1" w:styleId="AmColumnHeading">
    <w:name w:val="AmColumnHeading"/>
    <w:basedOn w:val="Normal"/>
    <w:rsid w:val="00FB3951"/>
    <w:pPr>
      <w:spacing w:after="240"/>
      <w:jc w:val="center"/>
    </w:pPr>
    <w:rPr>
      <w:i/>
    </w:rPr>
  </w:style>
  <w:style w:type="paragraph" w:customStyle="1" w:styleId="AmNumberTabs">
    <w:name w:val="AmNumberTabs"/>
    <w:basedOn w:val="Normal"/>
    <w:rsid w:val="00FB39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B3951"/>
    <w:pPr>
      <w:spacing w:before="240"/>
    </w:pPr>
    <w:rPr>
      <w:b/>
    </w:rPr>
  </w:style>
  <w:style w:type="paragraph" w:customStyle="1" w:styleId="EPFooter">
    <w:name w:val="EPFooter"/>
    <w:basedOn w:val="Normal"/>
    <w:rsid w:val="00FB3951"/>
    <w:pPr>
      <w:tabs>
        <w:tab w:val="center" w:pos="4535"/>
        <w:tab w:val="right" w:pos="9071"/>
      </w:tabs>
      <w:spacing w:before="240" w:after="240"/>
    </w:pPr>
    <w:rPr>
      <w:color w:val="010000"/>
      <w:sz w:val="22"/>
    </w:rPr>
  </w:style>
  <w:style w:type="paragraph" w:customStyle="1" w:styleId="EPComma">
    <w:name w:val="EPComma"/>
    <w:basedOn w:val="Normal"/>
    <w:rsid w:val="00FB3951"/>
    <w:pPr>
      <w:spacing w:before="480" w:after="240"/>
    </w:pPr>
  </w:style>
  <w:style w:type="character" w:customStyle="1" w:styleId="NormalBoldChar">
    <w:name w:val="NormalBold Char"/>
    <w:basedOn w:val="DefaultParagraphFont"/>
    <w:link w:val="NormalBold"/>
    <w:rsid w:val="00FB3951"/>
    <w:rPr>
      <w:b/>
      <w:sz w:val="24"/>
      <w:lang w:val="it-IT"/>
    </w:rPr>
  </w:style>
  <w:style w:type="paragraph" w:customStyle="1" w:styleId="Normal6">
    <w:name w:val="Normal6"/>
    <w:basedOn w:val="Normal"/>
    <w:link w:val="Normal6Char"/>
    <w:rsid w:val="00FB3951"/>
    <w:pPr>
      <w:spacing w:after="120"/>
    </w:pPr>
    <w:rPr>
      <w:lang w:val="fr-FR"/>
    </w:rPr>
  </w:style>
  <w:style w:type="character" w:customStyle="1" w:styleId="Normal6Char">
    <w:name w:val="Normal6 Char"/>
    <w:basedOn w:val="DefaultParagraphFont"/>
    <w:link w:val="Normal6"/>
    <w:rsid w:val="00FB3951"/>
    <w:rPr>
      <w:sz w:val="24"/>
      <w:lang w:val="fr-FR"/>
    </w:rPr>
  </w:style>
  <w:style w:type="paragraph" w:customStyle="1" w:styleId="ColumnHeading">
    <w:name w:val="ColumnHeading"/>
    <w:basedOn w:val="Normal"/>
    <w:rsid w:val="00FB3951"/>
    <w:pPr>
      <w:spacing w:after="240"/>
      <w:jc w:val="center"/>
    </w:pPr>
    <w:rPr>
      <w:i/>
      <w:lang w:val="fr-FR"/>
    </w:rPr>
  </w:style>
  <w:style w:type="character" w:customStyle="1" w:styleId="NormalBold12bChar">
    <w:name w:val="NormalBold12b Char"/>
    <w:basedOn w:val="DefaultParagraphFont"/>
    <w:link w:val="NormalBold12b"/>
    <w:rsid w:val="00FB3951"/>
    <w:rPr>
      <w:b/>
      <w:sz w:val="24"/>
      <w:lang w:val="it-IT"/>
    </w:rPr>
  </w:style>
  <w:style w:type="character" w:customStyle="1" w:styleId="oj-sub">
    <w:name w:val="oj-sub"/>
    <w:rsid w:val="00FB3951"/>
  </w:style>
  <w:style w:type="character" w:customStyle="1" w:styleId="NormalHanging12aChar">
    <w:name w:val="NormalHanging12a Char"/>
    <w:basedOn w:val="DefaultParagraphFont"/>
    <w:link w:val="NormalHanging12a"/>
    <w:locked/>
    <w:rsid w:val="00FB3951"/>
    <w:rPr>
      <w:sz w:val="24"/>
      <w:lang w:val="it-IT"/>
    </w:rPr>
  </w:style>
  <w:style w:type="paragraph" w:customStyle="1" w:styleId="Normal24a">
    <w:name w:val="Normal24a"/>
    <w:basedOn w:val="Normal"/>
    <w:rsid w:val="00FB3951"/>
    <w:pPr>
      <w:spacing w:after="480"/>
    </w:pPr>
    <w:rPr>
      <w:lang w:val="en-GB"/>
    </w:rPr>
  </w:style>
  <w:style w:type="paragraph" w:customStyle="1" w:styleId="Footprint12b">
    <w:name w:val="Footprint12b"/>
    <w:basedOn w:val="Normal"/>
    <w:rsid w:val="00FB3951"/>
    <w:pPr>
      <w:spacing w:before="240"/>
    </w:pPr>
    <w:rPr>
      <w:szCs w:val="24"/>
      <w:lang w:val="en-GB"/>
    </w:rPr>
  </w:style>
  <w:style w:type="paragraph" w:customStyle="1" w:styleId="Normal12a">
    <w:name w:val="Normal12a"/>
    <w:basedOn w:val="Normal"/>
    <w:rsid w:val="00FB3951"/>
    <w:pPr>
      <w:spacing w:after="240"/>
    </w:pPr>
  </w:style>
  <w:style w:type="paragraph" w:customStyle="1" w:styleId="PageHeadingNotTOC">
    <w:name w:val="PageHeadingNotTOC"/>
    <w:basedOn w:val="Normal"/>
    <w:rsid w:val="00FB3951"/>
    <w:pPr>
      <w:keepNext/>
      <w:spacing w:after="480"/>
      <w:jc w:val="center"/>
    </w:pPr>
    <w:rPr>
      <w:rFonts w:ascii="Arial" w:hAnsi="Arial" w:cs="Arial"/>
      <w:b/>
    </w:rPr>
  </w:style>
  <w:style w:type="paragraph" w:customStyle="1" w:styleId="RollCallSymbols14pt">
    <w:name w:val="RollCallSymbols14pt"/>
    <w:basedOn w:val="Normal"/>
    <w:rsid w:val="00FB395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B3951"/>
    <w:pPr>
      <w:tabs>
        <w:tab w:val="center" w:pos="284"/>
        <w:tab w:val="left" w:pos="426"/>
      </w:tabs>
    </w:pPr>
    <w:rPr>
      <w:snapToGrid w:val="0"/>
      <w:lang w:eastAsia="en-US"/>
    </w:rPr>
  </w:style>
  <w:style w:type="paragraph" w:customStyle="1" w:styleId="RollCallVotes">
    <w:name w:val="RollCallVotes"/>
    <w:basedOn w:val="Normal"/>
    <w:rsid w:val="00FB3951"/>
    <w:pPr>
      <w:spacing w:before="120" w:after="120"/>
      <w:jc w:val="center"/>
    </w:pPr>
    <w:rPr>
      <w:b/>
      <w:bCs/>
      <w:snapToGrid w:val="0"/>
      <w:sz w:val="16"/>
      <w:lang w:eastAsia="en-US"/>
    </w:rPr>
  </w:style>
  <w:style w:type="paragraph" w:customStyle="1" w:styleId="RollCallTable">
    <w:name w:val="RollCallTable"/>
    <w:basedOn w:val="Normal"/>
    <w:rsid w:val="00FB3951"/>
    <w:pPr>
      <w:spacing w:before="120" w:after="120"/>
    </w:pPr>
    <w:rPr>
      <w:snapToGrid w:val="0"/>
      <w:sz w:val="16"/>
      <w:lang w:eastAsia="en-US"/>
    </w:rPr>
  </w:style>
  <w:style w:type="character" w:styleId="Hyperlink">
    <w:name w:val="Hyperlink"/>
    <w:basedOn w:val="DefaultParagraphFont"/>
    <w:rsid w:val="00FB3951"/>
    <w:rPr>
      <w:color w:val="0563C1" w:themeColor="hyperlink"/>
      <w:u w:val="single"/>
    </w:rPr>
  </w:style>
  <w:style w:type="paragraph" w:styleId="Revision">
    <w:name w:val="Revision"/>
    <w:hidden/>
    <w:uiPriority w:val="99"/>
    <w:semiHidden/>
    <w:rsid w:val="00633609"/>
    <w:rPr>
      <w:sz w:val="24"/>
      <w:lang w:val="it-IT"/>
    </w:rPr>
  </w:style>
  <w:style w:type="character" w:styleId="UnresolvedMention">
    <w:name w:val="Unresolved Mention"/>
    <w:basedOn w:val="DefaultParagraphFont"/>
    <w:uiPriority w:val="99"/>
    <w:semiHidden/>
    <w:unhideWhenUsed/>
    <w:rsid w:val="00633609"/>
    <w:rPr>
      <w:color w:val="605E5C"/>
      <w:shd w:val="clear" w:color="auto" w:fill="E1DFDD"/>
    </w:rPr>
  </w:style>
  <w:style w:type="character" w:styleId="FollowedHyperlink">
    <w:name w:val="FollowedHyperlink"/>
    <w:basedOn w:val="DefaultParagraphFont"/>
    <w:rsid w:val="00633609"/>
    <w:rPr>
      <w:color w:val="954F72" w:themeColor="followedHyperlink"/>
      <w:u w:val="single"/>
    </w:rPr>
  </w:style>
  <w:style w:type="paragraph" w:customStyle="1" w:styleId="Normal12Hanging">
    <w:name w:val="Normal12Hanging"/>
    <w:basedOn w:val="Normal"/>
    <w:link w:val="CharChar1"/>
    <w:rsid w:val="00603A9C"/>
    <w:pPr>
      <w:spacing w:after="240"/>
      <w:ind w:left="357" w:hanging="357"/>
    </w:pPr>
    <w:rPr>
      <w:snapToGrid w:val="0"/>
    </w:rPr>
  </w:style>
  <w:style w:type="character" w:customStyle="1" w:styleId="CharChar1">
    <w:name w:val="Char Char1"/>
    <w:link w:val="Normal12Hanging"/>
    <w:locked/>
    <w:rsid w:val="00603A9C"/>
    <w:rPr>
      <w:snapToGrid w:val="0"/>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587E00"/>
    <w:rPr>
      <w:sz w:val="22"/>
      <w:lang w:val="fr-FR" w:eastAsia="en-GB" w:bidi="ar-SA"/>
    </w:rPr>
  </w:style>
  <w:style w:type="paragraph" w:styleId="Footer">
    <w:name w:val="footer"/>
    <w:basedOn w:val="Normal"/>
    <w:link w:val="FooterChar"/>
    <w:uiPriority w:val="99"/>
    <w:rsid w:val="00587E00"/>
    <w:pPr>
      <w:tabs>
        <w:tab w:val="center" w:pos="4513"/>
        <w:tab w:val="right" w:pos="9026"/>
      </w:tabs>
    </w:pPr>
  </w:style>
  <w:style w:type="character" w:customStyle="1" w:styleId="FooterChar">
    <w:name w:val="Footer Char"/>
    <w:basedOn w:val="DefaultParagraphFont"/>
    <w:link w:val="Footer"/>
    <w:uiPriority w:val="99"/>
    <w:rsid w:val="00587E00"/>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2025-10-20T14:42:00Z</dcterms:created>
  <dcterms:modified xsi:type="dcterms:W3CDTF">2025-10-20T14:42:00Z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P10_TA(2025)0178_</vt:lpwstr>
  </property>
  <property fmtid="{D5CDD505-2E9C-101B-9397-08002B2CF9AE}" pid="4" name="&lt;Type&gt;">
    <vt:lpwstr>RR</vt:lpwstr>
  </property>
</Properties>
</file>