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1A20" w14:paraId="2CB392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A4B288" w14:textId="77777777" w:rsidR="00751A4A" w:rsidRPr="00691A20" w:rsidRDefault="006C5FAE" w:rsidP="0010095E">
            <w:pPr>
              <w:pStyle w:val="EPName"/>
            </w:pPr>
            <w:r w:rsidRPr="00691A20">
              <w:t>Euroopa Parlament</w:t>
            </w:r>
          </w:p>
          <w:p w14:paraId="7961F128" w14:textId="77777777" w:rsidR="00751A4A" w:rsidRPr="00691A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1A20">
              <w:t>2024</w:t>
            </w:r>
            <w:r w:rsidR="00817416" w:rsidRPr="00691A20">
              <w:t>-202</w:t>
            </w:r>
            <w:r w:rsidRPr="00691A20">
              <w:t>9</w:t>
            </w:r>
          </w:p>
        </w:tc>
        <w:tc>
          <w:tcPr>
            <w:tcW w:w="2268" w:type="dxa"/>
            <w:shd w:val="clear" w:color="auto" w:fill="auto"/>
          </w:tcPr>
          <w:p w14:paraId="3D6D7F25" w14:textId="77777777" w:rsidR="00751A4A" w:rsidRPr="00691A20" w:rsidRDefault="00187494" w:rsidP="0010095E">
            <w:pPr>
              <w:pStyle w:val="EPLogo"/>
            </w:pPr>
            <w:r w:rsidRPr="00691A20">
              <w:rPr>
                <w:noProof/>
                <w:lang w:eastAsia="ja-JP"/>
              </w:rPr>
              <w:drawing>
                <wp:inline distT="0" distB="0" distL="0" distR="0" wp14:anchorId="38838A4F" wp14:editId="295DDA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1271BA" w14:textId="77777777" w:rsidR="00D058B8" w:rsidRPr="00691A20" w:rsidRDefault="00D058B8" w:rsidP="004C5D52">
      <w:pPr>
        <w:pStyle w:val="LineTop"/>
      </w:pPr>
    </w:p>
    <w:p w14:paraId="5EA19E19" w14:textId="77777777" w:rsidR="00680577" w:rsidRPr="00691A20" w:rsidRDefault="006C5FAE" w:rsidP="00680577">
      <w:pPr>
        <w:pStyle w:val="EPBodyTA1"/>
      </w:pPr>
      <w:r w:rsidRPr="00691A20">
        <w:t>VASTUVÕETUD TEKSTID</w:t>
      </w:r>
    </w:p>
    <w:p w14:paraId="793B0164" w14:textId="77777777" w:rsidR="00D058B8" w:rsidRPr="00691A20" w:rsidRDefault="00D058B8" w:rsidP="00D058B8">
      <w:pPr>
        <w:pStyle w:val="LineBottom"/>
      </w:pPr>
    </w:p>
    <w:p w14:paraId="67B15EC6" w14:textId="4BD2B367" w:rsidR="006C5FAE" w:rsidRPr="00691A20" w:rsidRDefault="006C5FAE" w:rsidP="006C5FAE">
      <w:pPr>
        <w:pStyle w:val="ATHeading1"/>
      </w:pPr>
      <w:bookmarkStart w:id="0" w:name="TANumber"/>
      <w:r w:rsidRPr="00691A20">
        <w:t>P10_TA(2025)0</w:t>
      </w:r>
      <w:bookmarkEnd w:id="0"/>
      <w:r w:rsidR="006F4E36" w:rsidRPr="00691A20">
        <w:t>179</w:t>
      </w:r>
    </w:p>
    <w:p w14:paraId="1A8DBF1A" w14:textId="78933A8A" w:rsidR="006C5FAE" w:rsidRPr="00691A20" w:rsidRDefault="006C5FAE" w:rsidP="006C5FAE">
      <w:pPr>
        <w:pStyle w:val="ATHeading2"/>
      </w:pPr>
      <w:bookmarkStart w:id="1" w:name="title"/>
      <w:r w:rsidRPr="00691A20">
        <w:t xml:space="preserve">Väärtpaberiarveldus ELis ja väärtpaberite </w:t>
      </w:r>
      <w:proofErr w:type="spellStart"/>
      <w:r w:rsidRPr="00691A20">
        <w:t>keskdepositooriumid</w:t>
      </w:r>
      <w:proofErr w:type="spellEnd"/>
      <w:r w:rsidRPr="00691A20">
        <w:t>: lühem arveldustsükkel liidus</w:t>
      </w:r>
      <w:bookmarkEnd w:id="1"/>
    </w:p>
    <w:p w14:paraId="4AE914DF" w14:textId="77777777" w:rsidR="006C5FAE" w:rsidRPr="00691A20" w:rsidRDefault="006C5FAE" w:rsidP="006C5FAE">
      <w:pPr>
        <w:rPr>
          <w:i/>
          <w:vanish/>
        </w:rPr>
      </w:pPr>
      <w:r w:rsidRPr="00691A20">
        <w:rPr>
          <w:i/>
        </w:rPr>
        <w:fldChar w:fldCharType="begin"/>
      </w:r>
      <w:r w:rsidRPr="00691A20">
        <w:rPr>
          <w:i/>
        </w:rPr>
        <w:instrText xml:space="preserve"> TC"(</w:instrText>
      </w:r>
      <w:bookmarkStart w:id="2" w:name="DocNumber"/>
      <w:r w:rsidRPr="00691A20">
        <w:rPr>
          <w:i/>
        </w:rPr>
        <w:instrText>A10-0095/2025</w:instrText>
      </w:r>
      <w:bookmarkEnd w:id="2"/>
      <w:r w:rsidRPr="00691A20">
        <w:rPr>
          <w:i/>
        </w:rPr>
        <w:instrText xml:space="preserve"> - Raportöör: Johan Van Overtveldt)"\l3 \n&gt; \* MERGEFORMAT </w:instrText>
      </w:r>
      <w:r w:rsidRPr="00691A20">
        <w:rPr>
          <w:i/>
        </w:rPr>
        <w:fldChar w:fldCharType="end"/>
      </w:r>
    </w:p>
    <w:p w14:paraId="6AD29357" w14:textId="77777777" w:rsidR="006C5FAE" w:rsidRPr="00691A20" w:rsidRDefault="006C5FAE" w:rsidP="006C5FAE">
      <w:pPr>
        <w:rPr>
          <w:vanish/>
        </w:rPr>
      </w:pPr>
      <w:bookmarkStart w:id="3" w:name="Commission"/>
      <w:r w:rsidRPr="00691A20">
        <w:rPr>
          <w:vanish/>
        </w:rPr>
        <w:t>Majandus- ja rahanduskomisjon</w:t>
      </w:r>
      <w:bookmarkEnd w:id="3"/>
    </w:p>
    <w:p w14:paraId="2B6B52C3" w14:textId="77777777" w:rsidR="006C5FAE" w:rsidRPr="00691A20" w:rsidRDefault="006C5FAE" w:rsidP="006C5FAE">
      <w:pPr>
        <w:rPr>
          <w:vanish/>
        </w:rPr>
      </w:pPr>
      <w:bookmarkStart w:id="4" w:name="PE"/>
      <w:r w:rsidRPr="00691A20">
        <w:rPr>
          <w:vanish/>
        </w:rPr>
        <w:t>PE770.091</w:t>
      </w:r>
      <w:bookmarkEnd w:id="4"/>
    </w:p>
    <w:p w14:paraId="4F52DAE1" w14:textId="60F2ECB1" w:rsidR="006C5FAE" w:rsidRPr="00691A20" w:rsidRDefault="006C5FAE" w:rsidP="006C5FAE">
      <w:pPr>
        <w:pStyle w:val="ATHeading3"/>
      </w:pPr>
      <w:bookmarkStart w:id="5" w:name="Sujet"/>
      <w:r w:rsidRPr="00691A20">
        <w:t xml:space="preserve">Euroopa Parlamendi </w:t>
      </w:r>
      <w:r w:rsidR="00ED6127" w:rsidRPr="00691A20">
        <w:t>10</w:t>
      </w:r>
      <w:r w:rsidRPr="00691A20">
        <w:t>.</w:t>
      </w:r>
      <w:r w:rsidR="00ED6127" w:rsidRPr="00691A20">
        <w:t> septembri</w:t>
      </w:r>
      <w:r w:rsidRPr="00691A20">
        <w:t xml:space="preserve"> 2025.</w:t>
      </w:r>
      <w:r w:rsidR="00ED6127" w:rsidRPr="00691A20">
        <w:t> </w:t>
      </w:r>
      <w:r w:rsidRPr="00691A20">
        <w:t>aasta seadusandlik resolutsioon ettepaneku kohta võtta vastu Euroopa Parlamendi ja nõukogu määrus, millega muudetakse määrust</w:t>
      </w:r>
      <w:r w:rsidR="00ED6127" w:rsidRPr="00691A20">
        <w:t xml:space="preserve"> </w:t>
      </w:r>
      <w:r w:rsidRPr="00691A20">
        <w:t>(EL) nr 909/2014 seoses lühema arveldustsükliga liidus</w:t>
      </w:r>
      <w:bookmarkEnd w:id="5"/>
      <w:r w:rsidRPr="00691A20">
        <w:t xml:space="preserve"> </w:t>
      </w:r>
      <w:bookmarkStart w:id="6" w:name="References"/>
      <w:r w:rsidRPr="00691A20">
        <w:t>(COM(2025)0038 – C10-0011/2025 – 2025/0022(COD))</w:t>
      </w:r>
      <w:bookmarkEnd w:id="6"/>
    </w:p>
    <w:p w14:paraId="1B44DE31" w14:textId="77777777" w:rsidR="00634C83" w:rsidRPr="00691A20" w:rsidRDefault="00634C83" w:rsidP="00634C83">
      <w:pPr>
        <w:pStyle w:val="NormalBold"/>
      </w:pPr>
      <w:bookmarkStart w:id="7" w:name="TextBodyBegin"/>
      <w:bookmarkEnd w:id="7"/>
      <w:r w:rsidRPr="00691A20">
        <w:t>(Seadusandlik tavamenetlus: esimene lugemine)</w:t>
      </w:r>
    </w:p>
    <w:p w14:paraId="3C0CACB5" w14:textId="77777777" w:rsidR="00634C83" w:rsidRPr="00691A20" w:rsidRDefault="00634C83" w:rsidP="00634C83">
      <w:pPr>
        <w:pStyle w:val="EPComma"/>
      </w:pPr>
      <w:r w:rsidRPr="00691A20">
        <w:rPr>
          <w:i/>
        </w:rPr>
        <w:t>Euroopa Parlament</w:t>
      </w:r>
      <w:r w:rsidRPr="00691A20">
        <w:t>,</w:t>
      </w:r>
    </w:p>
    <w:p w14:paraId="4D4A6A5A" w14:textId="7777777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komisjoni ettepanekut Euroopa Parlamendile ja nõukogule (COM(2025)0038),</w:t>
      </w:r>
    </w:p>
    <w:p w14:paraId="3ADEED4A" w14:textId="7777777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Euroopa Liidu toimimise lepingu artikli 294 lõiget 2 ja artiklit 114, mille alusel komisjon esitas ettepaneku Euroopa Parlamendile (C10</w:t>
      </w:r>
      <w:r w:rsidRPr="00691A20">
        <w:noBreakHyphen/>
        <w:t>0011/2025),</w:t>
      </w:r>
    </w:p>
    <w:p w14:paraId="15420D9F" w14:textId="7777777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Euroopa Liidu toimimise lepingu artikli 294 lõiget 3,</w:t>
      </w:r>
    </w:p>
    <w:p w14:paraId="22114928" w14:textId="7777777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Euroopa Keskpanga 31. märtsi 2025. aasta arvamust</w:t>
      </w:r>
      <w:r w:rsidRPr="00691A20">
        <w:rPr>
          <w:rStyle w:val="FootnoteReference"/>
        </w:rPr>
        <w:footnoteReference w:id="1"/>
      </w:r>
      <w:r w:rsidRPr="00691A20">
        <w:t>,</w:t>
      </w:r>
    </w:p>
    <w:p w14:paraId="0C304672" w14:textId="7777777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Euroopa Majandus- ja Sotsiaalkomitee 30. aprilli 2025. aasta arvamust</w:t>
      </w:r>
      <w:r w:rsidRPr="00691A20">
        <w:rPr>
          <w:rStyle w:val="FootnoteReference"/>
        </w:rPr>
        <w:footnoteReference w:id="2"/>
      </w:r>
      <w:r w:rsidRPr="00691A20">
        <w:t>,</w:t>
      </w:r>
    </w:p>
    <w:p w14:paraId="048342A6" w14:textId="093BA1DC" w:rsidR="002410BB" w:rsidRPr="00691A20" w:rsidRDefault="002410BB" w:rsidP="00634C83">
      <w:pPr>
        <w:pStyle w:val="NormalHanging12a"/>
      </w:pPr>
      <w:r w:rsidRPr="00691A20">
        <w:t>–</w:t>
      </w:r>
      <w:r w:rsidRPr="00691A20">
        <w:tab/>
        <w:t>võttes arvesse vastutava komisjoni poolt kodukorra artikli 75 lõike 4 alusel heaks kiidetud esialgset kokkulepet ja nõukogu esindaja poolt 27. juuni 2025. aasta kirjas võetud kohustust kiita Euroopa Parlamendi seisukoht heaks vastavalt Euroopa Liidu toimimise lepingu artikli 294 lõikele 4,</w:t>
      </w:r>
    </w:p>
    <w:p w14:paraId="330B3EC2" w14:textId="5D776D2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kodukorra artiklit</w:t>
      </w:r>
      <w:r w:rsidR="00ED6127" w:rsidRPr="00691A20">
        <w:t> </w:t>
      </w:r>
      <w:r w:rsidRPr="00691A20">
        <w:t>60,</w:t>
      </w:r>
    </w:p>
    <w:p w14:paraId="51736CEC" w14:textId="77777777" w:rsidR="00634C83" w:rsidRPr="00691A20" w:rsidRDefault="00634C83" w:rsidP="00634C83">
      <w:pPr>
        <w:pStyle w:val="NormalHanging12a"/>
      </w:pPr>
      <w:r w:rsidRPr="00691A20">
        <w:t>–</w:t>
      </w:r>
      <w:r w:rsidRPr="00691A20">
        <w:tab/>
        <w:t>võttes arvesse majandus- ja rahanduskomisjoni raportit (A10</w:t>
      </w:r>
      <w:r w:rsidRPr="00691A20">
        <w:noBreakHyphen/>
        <w:t>0095/2025),</w:t>
      </w:r>
    </w:p>
    <w:p w14:paraId="54266868" w14:textId="77777777" w:rsidR="00634C83" w:rsidRPr="00691A20" w:rsidRDefault="00634C83" w:rsidP="00634C83">
      <w:pPr>
        <w:pStyle w:val="NormalHanging12a"/>
      </w:pPr>
      <w:r w:rsidRPr="00691A20">
        <w:lastRenderedPageBreak/>
        <w:t>1.</w:t>
      </w:r>
      <w:r w:rsidRPr="00691A20">
        <w:tab/>
        <w:t>võtab vastu allpool toodud esimese lugemise seisukoha;</w:t>
      </w:r>
    </w:p>
    <w:p w14:paraId="60805358" w14:textId="77777777" w:rsidR="00634C83" w:rsidRPr="00691A20" w:rsidRDefault="00634C83" w:rsidP="00634C83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691A20">
        <w:t>2.</w:t>
      </w:r>
      <w:r w:rsidRPr="00691A20">
        <w:tab/>
        <w:t>palub komisjonil ettepaneku uuesti Euroopa Parlamendile saata, kui komisjon asendab selle uue ettepanekuga, muudab seda oluliselt või kavatseb seda oluliselt muuta;</w:t>
      </w:r>
    </w:p>
    <w:p w14:paraId="689655D2" w14:textId="77777777" w:rsidR="00691A20" w:rsidRPr="00691A20" w:rsidRDefault="00634C83" w:rsidP="00ED6127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691A20">
        <w:t>3.</w:t>
      </w:r>
      <w:r w:rsidRPr="00691A20">
        <w:tab/>
        <w:t>teeb presidendile ülesandeks edastada Euroopa Parlamendi seisukoht nõukogule ja komisjonile ning liikmesriikide parlamentidele.</w:t>
      </w:r>
    </w:p>
    <w:p w14:paraId="6AEA0D05" w14:textId="77777777" w:rsidR="00691A20" w:rsidRPr="00691A20" w:rsidRDefault="00691A20" w:rsidP="00ED6127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sectPr w:rsidR="00691A20" w:rsidRPr="00691A20" w:rsidSect="00DE3E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679E80" w14:textId="77777777" w:rsidR="002410BB" w:rsidRPr="00691A20" w:rsidRDefault="002410BB" w:rsidP="002410B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91A20">
        <w:rPr>
          <w:rFonts w:eastAsia="Calibri"/>
          <w:b/>
          <w:bCs/>
          <w:color w:val="000000"/>
          <w:szCs w:val="24"/>
        </w:rPr>
        <w:lastRenderedPageBreak/>
        <w:t>P10_TC1-COD(2025)0022</w:t>
      </w:r>
    </w:p>
    <w:p w14:paraId="5B75F621" w14:textId="1D183C09" w:rsidR="00E365E1" w:rsidRPr="00691A20" w:rsidRDefault="002410BB" w:rsidP="002410BB">
      <w:pPr>
        <w:rPr>
          <w:b/>
          <w:bCs/>
        </w:rPr>
      </w:pPr>
      <w:r w:rsidRPr="00691A20">
        <w:rPr>
          <w:b/>
          <w:bCs/>
        </w:rPr>
        <w:t>Euroopa Parlamendi seisukoht, vastu võetud esimesel lugemisel 10. septembril 2025. aastal eesmärgiga võtta vastu Euroopa Parlamendi ja nõukogu määrus (EL) 2025/..., millega muudetakse määrust (EL) nr 909/2014 seoses lühema arveldustsükliga liidus</w:t>
      </w:r>
    </w:p>
    <w:p w14:paraId="2D3F0813" w14:textId="1CC678BE" w:rsidR="00163036" w:rsidRPr="003621D3" w:rsidRDefault="00163036" w:rsidP="00163036">
      <w:pPr>
        <w:spacing w:before="240"/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2075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2D519CAE" w14:textId="77777777" w:rsidR="002410BB" w:rsidRPr="00691A20" w:rsidRDefault="002410BB" w:rsidP="00163036">
      <w:pPr>
        <w:spacing w:before="120" w:after="120" w:line="360" w:lineRule="auto"/>
        <w:jc w:val="center"/>
      </w:pPr>
    </w:p>
    <w:sectPr w:rsidR="002410BB" w:rsidRPr="00691A20" w:rsidSect="00DE3E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187F1" w14:textId="77777777" w:rsidR="006C5FAE" w:rsidRPr="00DE3EA5" w:rsidRDefault="006C5FAE">
      <w:r w:rsidRPr="00DE3EA5">
        <w:separator/>
      </w:r>
    </w:p>
  </w:endnote>
  <w:endnote w:type="continuationSeparator" w:id="0">
    <w:p w14:paraId="01C4DDFD" w14:textId="77777777" w:rsidR="006C5FAE" w:rsidRPr="00DE3EA5" w:rsidRDefault="006C5FAE">
      <w:r w:rsidRPr="00DE3E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E522" w14:textId="77777777" w:rsidR="00064002" w:rsidRPr="00DE3E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E95F1" w14:textId="77777777" w:rsidR="00064002" w:rsidRPr="00DE3E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CB11" w14:textId="77777777" w:rsidR="00064002" w:rsidRPr="00DE3E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2BBF" w14:textId="77777777" w:rsidR="006C5FAE" w:rsidRPr="00DE3EA5" w:rsidRDefault="006C5FAE">
      <w:r w:rsidRPr="00DE3EA5">
        <w:separator/>
      </w:r>
    </w:p>
  </w:footnote>
  <w:footnote w:type="continuationSeparator" w:id="0">
    <w:p w14:paraId="63DB0D1B" w14:textId="77777777" w:rsidR="006C5FAE" w:rsidRPr="00DE3EA5" w:rsidRDefault="006C5FAE">
      <w:r w:rsidRPr="00DE3EA5">
        <w:continuationSeparator/>
      </w:r>
    </w:p>
  </w:footnote>
  <w:footnote w:id="1">
    <w:p w14:paraId="7826CB62" w14:textId="634DB436" w:rsidR="00634C83" w:rsidRPr="00B106E1" w:rsidRDefault="00634C83" w:rsidP="00DE3EA5">
      <w:pPr>
        <w:pStyle w:val="FootnoteText"/>
        <w:ind w:left="567" w:hanging="567"/>
        <w:rPr>
          <w:sz w:val="24"/>
          <w:szCs w:val="24"/>
          <w:lang w:val="et-EE"/>
        </w:rPr>
      </w:pPr>
      <w:r w:rsidRPr="00B106E1">
        <w:rPr>
          <w:rStyle w:val="FootnoteReference"/>
          <w:sz w:val="24"/>
          <w:szCs w:val="24"/>
          <w:lang w:val="et-EE"/>
        </w:rPr>
        <w:footnoteRef/>
      </w:r>
      <w:r w:rsidR="00DE3EA5" w:rsidRPr="00B106E1">
        <w:rPr>
          <w:sz w:val="24"/>
          <w:szCs w:val="24"/>
          <w:lang w:val="et-EE"/>
        </w:rPr>
        <w:t xml:space="preserve"> </w:t>
      </w:r>
      <w:r w:rsidR="00DE3EA5" w:rsidRPr="00B106E1">
        <w:rPr>
          <w:sz w:val="24"/>
          <w:szCs w:val="24"/>
          <w:lang w:val="et-EE"/>
        </w:rPr>
        <w:tab/>
      </w:r>
      <w:r w:rsidRPr="00B106E1">
        <w:rPr>
          <w:sz w:val="24"/>
          <w:szCs w:val="24"/>
          <w:lang w:val="et-EE"/>
        </w:rPr>
        <w:t>ELT</w:t>
      </w:r>
      <w:r w:rsidR="00ED6127" w:rsidRPr="00B106E1">
        <w:rPr>
          <w:sz w:val="24"/>
          <w:szCs w:val="24"/>
          <w:lang w:val="et-EE"/>
        </w:rPr>
        <w:t> </w:t>
      </w:r>
      <w:r w:rsidRPr="00B106E1">
        <w:rPr>
          <w:sz w:val="24"/>
          <w:szCs w:val="24"/>
          <w:lang w:val="et-EE"/>
        </w:rPr>
        <w:t>C, C/2025/2274, 14.4.2025, ELI: </w:t>
      </w:r>
      <w:hyperlink r:id="rId1" w:tooltip="Juurdepääs dokumendile ELI URI kaudu." w:history="1">
        <w:r w:rsidRPr="00B106E1">
          <w:rPr>
            <w:rStyle w:val="Hyperlink"/>
            <w:sz w:val="24"/>
            <w:szCs w:val="24"/>
            <w:lang w:val="et-EE"/>
          </w:rPr>
          <w:t>http://data.europa.eu/eli/C/2025/2274/oj</w:t>
        </w:r>
      </w:hyperlink>
      <w:r w:rsidRPr="00B106E1">
        <w:rPr>
          <w:sz w:val="24"/>
          <w:szCs w:val="24"/>
          <w:lang w:val="et-EE"/>
        </w:rPr>
        <w:t>.</w:t>
      </w:r>
    </w:p>
  </w:footnote>
  <w:footnote w:id="2">
    <w:p w14:paraId="03557687" w14:textId="3B9DD239" w:rsidR="00634C83" w:rsidRPr="00B106E1" w:rsidRDefault="00634C83" w:rsidP="00DE3EA5">
      <w:pPr>
        <w:pStyle w:val="FootnoteText"/>
        <w:ind w:left="567" w:hanging="567"/>
        <w:rPr>
          <w:sz w:val="24"/>
          <w:szCs w:val="24"/>
          <w:lang w:val="et-EE"/>
        </w:rPr>
      </w:pPr>
      <w:r w:rsidRPr="00B106E1">
        <w:rPr>
          <w:rStyle w:val="FootnoteReference"/>
          <w:sz w:val="24"/>
          <w:szCs w:val="24"/>
          <w:lang w:val="et-EE"/>
        </w:rPr>
        <w:footnoteRef/>
      </w:r>
      <w:r w:rsidR="00DE3EA5" w:rsidRPr="00B106E1">
        <w:rPr>
          <w:i/>
          <w:iCs/>
          <w:sz w:val="24"/>
          <w:szCs w:val="24"/>
          <w:lang w:val="et-EE"/>
        </w:rPr>
        <w:t xml:space="preserve"> </w:t>
      </w:r>
      <w:r w:rsidR="00DE3EA5" w:rsidRPr="00B106E1">
        <w:rPr>
          <w:i/>
          <w:iCs/>
          <w:sz w:val="24"/>
          <w:szCs w:val="24"/>
          <w:lang w:val="et-EE"/>
        </w:rPr>
        <w:tab/>
      </w:r>
      <w:r w:rsidR="00740164">
        <w:rPr>
          <w:sz w:val="24"/>
          <w:szCs w:val="24"/>
          <w:lang w:val="et-EE"/>
        </w:rPr>
        <w:t>ELT</w:t>
      </w:r>
      <w:r w:rsidR="00ED6127" w:rsidRPr="00B106E1">
        <w:rPr>
          <w:sz w:val="24"/>
          <w:szCs w:val="24"/>
          <w:lang w:val="et-EE"/>
        </w:rPr>
        <w:t> C, C/2025/3203, 2.7.2025, ELI: </w:t>
      </w:r>
      <w:hyperlink r:id="rId2" w:history="1">
        <w:r w:rsidR="00ED6127" w:rsidRPr="00740164">
          <w:rPr>
            <w:rStyle w:val="Hyperlink"/>
            <w:sz w:val="24"/>
            <w:szCs w:val="24"/>
            <w:lang w:val="et-EE"/>
          </w:rPr>
          <w:t>http://data.europa.eu/eli/C/2025/3203/oj</w:t>
        </w:r>
      </w:hyperlink>
      <w:r w:rsidRPr="00B106E1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72516" w14:textId="77777777" w:rsidR="00064002" w:rsidRPr="00DE3E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985A8" w14:textId="77777777" w:rsidR="00064002" w:rsidRPr="00DE3E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4E13" w14:textId="77777777" w:rsidR="00064002" w:rsidRPr="00DE3E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1501886">
    <w:abstractNumId w:val="9"/>
  </w:num>
  <w:num w:numId="2" w16cid:durableId="721321102">
    <w:abstractNumId w:val="9"/>
  </w:num>
  <w:num w:numId="3" w16cid:durableId="1542866652">
    <w:abstractNumId w:val="7"/>
  </w:num>
  <w:num w:numId="4" w16cid:durableId="2108043292">
    <w:abstractNumId w:val="7"/>
  </w:num>
  <w:num w:numId="5" w16cid:durableId="1685547678">
    <w:abstractNumId w:val="6"/>
  </w:num>
  <w:num w:numId="6" w16cid:durableId="1991862067">
    <w:abstractNumId w:val="6"/>
  </w:num>
  <w:num w:numId="7" w16cid:durableId="481503506">
    <w:abstractNumId w:val="5"/>
  </w:num>
  <w:num w:numId="8" w16cid:durableId="1460227909">
    <w:abstractNumId w:val="5"/>
  </w:num>
  <w:num w:numId="9" w16cid:durableId="1652831341">
    <w:abstractNumId w:val="4"/>
  </w:num>
  <w:num w:numId="10" w16cid:durableId="21444455">
    <w:abstractNumId w:val="4"/>
  </w:num>
  <w:num w:numId="11" w16cid:durableId="2008166715">
    <w:abstractNumId w:val="8"/>
  </w:num>
  <w:num w:numId="12" w16cid:durableId="688993500">
    <w:abstractNumId w:val="8"/>
  </w:num>
  <w:num w:numId="13" w16cid:durableId="560944293">
    <w:abstractNumId w:val="3"/>
  </w:num>
  <w:num w:numId="14" w16cid:durableId="43603349">
    <w:abstractNumId w:val="3"/>
  </w:num>
  <w:num w:numId="15" w16cid:durableId="554925860">
    <w:abstractNumId w:val="2"/>
  </w:num>
  <w:num w:numId="16" w16cid:durableId="1283729571">
    <w:abstractNumId w:val="2"/>
  </w:num>
  <w:num w:numId="17" w16cid:durableId="1437748329">
    <w:abstractNumId w:val="1"/>
  </w:num>
  <w:num w:numId="18" w16cid:durableId="1037700225">
    <w:abstractNumId w:val="1"/>
  </w:num>
  <w:num w:numId="19" w16cid:durableId="2033451278">
    <w:abstractNumId w:val="0"/>
  </w:num>
  <w:num w:numId="20" w16cid:durableId="1057127201">
    <w:abstractNumId w:val="0"/>
  </w:num>
  <w:num w:numId="21" w16cid:durableId="1267234248">
    <w:abstractNumId w:val="9"/>
  </w:num>
  <w:num w:numId="22" w16cid:durableId="552084093">
    <w:abstractNumId w:val="7"/>
  </w:num>
  <w:num w:numId="23" w16cid:durableId="77214405">
    <w:abstractNumId w:val="6"/>
  </w:num>
  <w:num w:numId="24" w16cid:durableId="2122458304">
    <w:abstractNumId w:val="5"/>
  </w:num>
  <w:num w:numId="25" w16cid:durableId="1620138521">
    <w:abstractNumId w:val="4"/>
  </w:num>
  <w:num w:numId="26" w16cid:durableId="937953933">
    <w:abstractNumId w:val="8"/>
  </w:num>
  <w:num w:numId="27" w16cid:durableId="1768620487">
    <w:abstractNumId w:val="3"/>
  </w:num>
  <w:num w:numId="28" w16cid:durableId="1583485444">
    <w:abstractNumId w:val="2"/>
  </w:num>
  <w:num w:numId="29" w16cid:durableId="64764813">
    <w:abstractNumId w:val="1"/>
  </w:num>
  <w:num w:numId="30" w16cid:durableId="655494030">
    <w:abstractNumId w:val="0"/>
  </w:num>
  <w:num w:numId="31" w16cid:durableId="1360543012">
    <w:abstractNumId w:val="9"/>
  </w:num>
  <w:num w:numId="32" w16cid:durableId="1749232155">
    <w:abstractNumId w:val="7"/>
  </w:num>
  <w:num w:numId="33" w16cid:durableId="196357755">
    <w:abstractNumId w:val="6"/>
  </w:num>
  <w:num w:numId="34" w16cid:durableId="656618664">
    <w:abstractNumId w:val="5"/>
  </w:num>
  <w:num w:numId="35" w16cid:durableId="1900289827">
    <w:abstractNumId w:val="4"/>
  </w:num>
  <w:num w:numId="36" w16cid:durableId="2037608865">
    <w:abstractNumId w:val="8"/>
  </w:num>
  <w:num w:numId="37" w16cid:durableId="2035568244">
    <w:abstractNumId w:val="3"/>
  </w:num>
  <w:num w:numId="38" w16cid:durableId="229073866">
    <w:abstractNumId w:val="2"/>
  </w:num>
  <w:num w:numId="39" w16cid:durableId="1960062160">
    <w:abstractNumId w:val="1"/>
  </w:num>
  <w:num w:numId="40" w16cid:durableId="781917406">
    <w:abstractNumId w:val="0"/>
  </w:num>
  <w:num w:numId="41" w16cid:durableId="605237354">
    <w:abstractNumId w:val="10"/>
  </w:num>
  <w:num w:numId="42" w16cid:durableId="456221375">
    <w:abstractNumId w:val="10"/>
  </w:num>
  <w:num w:numId="43" w16cid:durableId="674575864">
    <w:abstractNumId w:val="10"/>
  </w:num>
  <w:num w:numId="44" w16cid:durableId="1563756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ET"/>
    <w:docVar w:name="dvnumam" w:val="0"/>
    <w:docVar w:name="dvpe" w:val="770.091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 (EL) nr 909/2014 seoses lühema arveldustsükliga liidus(COM(2025)0038 – C10-0011/2025 – 2025/0022(COD))"/>
  </w:docVars>
  <w:rsids>
    <w:rsidRoot w:val="006C5FAE"/>
    <w:rsid w:val="00002272"/>
    <w:rsid w:val="00064002"/>
    <w:rsid w:val="000677B9"/>
    <w:rsid w:val="000831BA"/>
    <w:rsid w:val="000A42CC"/>
    <w:rsid w:val="000E7DD9"/>
    <w:rsid w:val="0010095E"/>
    <w:rsid w:val="00125B37"/>
    <w:rsid w:val="00163036"/>
    <w:rsid w:val="00187494"/>
    <w:rsid w:val="001F32AE"/>
    <w:rsid w:val="002410B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C83"/>
    <w:rsid w:val="0064544D"/>
    <w:rsid w:val="006631B6"/>
    <w:rsid w:val="00680577"/>
    <w:rsid w:val="00691A20"/>
    <w:rsid w:val="006A28F9"/>
    <w:rsid w:val="006C5FAE"/>
    <w:rsid w:val="006F4E36"/>
    <w:rsid w:val="006F74FA"/>
    <w:rsid w:val="00731ADD"/>
    <w:rsid w:val="00734777"/>
    <w:rsid w:val="00740164"/>
    <w:rsid w:val="00747932"/>
    <w:rsid w:val="00751A4A"/>
    <w:rsid w:val="00756632"/>
    <w:rsid w:val="00762C74"/>
    <w:rsid w:val="00786EC0"/>
    <w:rsid w:val="007A6DA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67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06E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55F"/>
    <w:rsid w:val="00C941CB"/>
    <w:rsid w:val="00CC2357"/>
    <w:rsid w:val="00CE13DB"/>
    <w:rsid w:val="00CE54A7"/>
    <w:rsid w:val="00CF071A"/>
    <w:rsid w:val="00D058B8"/>
    <w:rsid w:val="00D56C11"/>
    <w:rsid w:val="00D834A0"/>
    <w:rsid w:val="00D872DF"/>
    <w:rsid w:val="00D91E21"/>
    <w:rsid w:val="00DA7FCD"/>
    <w:rsid w:val="00DE3EA5"/>
    <w:rsid w:val="00E365E1"/>
    <w:rsid w:val="00E820A4"/>
    <w:rsid w:val="00EB006A"/>
    <w:rsid w:val="00EB4772"/>
    <w:rsid w:val="00ED169E"/>
    <w:rsid w:val="00ED4235"/>
    <w:rsid w:val="00ED612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34327"/>
  <w15:chartTrackingRefBased/>
  <w15:docId w15:val="{F93E124D-A153-47DE-B53E-D04E861F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4C83"/>
    <w:pPr>
      <w:spacing w:before="480" w:after="240"/>
    </w:pPr>
  </w:style>
  <w:style w:type="paragraph" w:customStyle="1" w:styleId="NormalBold">
    <w:name w:val="NormalBold"/>
    <w:basedOn w:val="Normal"/>
    <w:rsid w:val="00634C83"/>
    <w:rPr>
      <w:b/>
    </w:rPr>
  </w:style>
  <w:style w:type="paragraph" w:customStyle="1" w:styleId="NormalHanging12a">
    <w:name w:val="NormalHanging12a"/>
    <w:basedOn w:val="Normal"/>
    <w:rsid w:val="00634C8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34C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nhideWhenUsed/>
    <w:rsid w:val="00634C83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634C8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634C83"/>
  </w:style>
  <w:style w:type="paragraph" w:styleId="CommentText">
    <w:name w:val="annotation text"/>
    <w:basedOn w:val="Normal"/>
    <w:link w:val="CommentTextChar"/>
    <w:uiPriority w:val="99"/>
    <w:unhideWhenUsed/>
    <w:rsid w:val="00634C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4C83"/>
    <w:rPr>
      <w:lang w:val="et-EE"/>
    </w:rPr>
  </w:style>
  <w:style w:type="paragraph" w:styleId="Revision">
    <w:name w:val="Revision"/>
    <w:hidden/>
    <w:uiPriority w:val="99"/>
    <w:semiHidden/>
    <w:rsid w:val="00ED6127"/>
    <w:rPr>
      <w:sz w:val="24"/>
      <w:lang w:val="et-EE"/>
    </w:rPr>
  </w:style>
  <w:style w:type="paragraph" w:customStyle="1" w:styleId="NormalCenter12a">
    <w:name w:val="NormalCenter12a"/>
    <w:basedOn w:val="Normal"/>
    <w:rsid w:val="00CE54A7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CE54A7"/>
    <w:pPr>
      <w:spacing w:before="720" w:after="240"/>
      <w:jc w:val="center"/>
    </w:pPr>
    <w:rPr>
      <w:lang w:val="en-GB"/>
    </w:rPr>
  </w:style>
  <w:style w:type="paragraph" w:customStyle="1" w:styleId="FootnoteTextForceStyle">
    <w:name w:val="Footnote Text ForceStyle"/>
    <w:rsid w:val="002410BB"/>
    <w:pPr>
      <w:keepLines/>
      <w:widowControl w:val="0"/>
      <w:spacing w:line="240" w:lineRule="exact"/>
      <w:ind w:left="850" w:hanging="850"/>
    </w:pPr>
    <w:rPr>
      <w:sz w:val="24"/>
      <w:lang w:val="et-EE" w:eastAsia="en-US"/>
    </w:rPr>
  </w:style>
  <w:style w:type="character" w:customStyle="1" w:styleId="Hyperlink1">
    <w:name w:val="Hyperlink1"/>
    <w:basedOn w:val="DefaultParagraphFont"/>
    <w:uiPriority w:val="99"/>
    <w:unhideWhenUsed/>
    <w:rsid w:val="002410B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2025-10-24T10:03:00Z</dcterms:created>
  <dcterms:modified xsi:type="dcterms:W3CDTF">2025-10-24T10:03:00Z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