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228E" w14:paraId="5F44A5E9" w14:textId="77777777" w:rsidTr="0010095E">
        <w:trPr>
          <w:trHeight w:hRule="exact" w:val="1418"/>
        </w:trPr>
        <w:tc>
          <w:tcPr>
            <w:tcW w:w="6804" w:type="dxa"/>
            <w:shd w:val="clear" w:color="auto" w:fill="auto"/>
            <w:vAlign w:val="center"/>
          </w:tcPr>
          <w:p w14:paraId="49A2427A" w14:textId="77777777" w:rsidR="00751A4A" w:rsidRPr="0018228E" w:rsidRDefault="009C7578" w:rsidP="0010095E">
            <w:pPr>
              <w:pStyle w:val="EPName"/>
            </w:pPr>
            <w:r w:rsidRPr="0018228E">
              <w:t>Eiropas Parlaments</w:t>
            </w:r>
          </w:p>
          <w:p w14:paraId="70DD1F01" w14:textId="77777777" w:rsidR="00751A4A" w:rsidRPr="0018228E" w:rsidRDefault="005F1B17" w:rsidP="005F1B17">
            <w:pPr>
              <w:pStyle w:val="EPTerm"/>
              <w:rPr>
                <w:rStyle w:val="HideTWBExt"/>
                <w:noProof w:val="0"/>
                <w:vanish w:val="0"/>
                <w:color w:val="auto"/>
              </w:rPr>
            </w:pPr>
            <w:r w:rsidRPr="0018228E">
              <w:t>2024</w:t>
            </w:r>
            <w:r w:rsidR="00817416" w:rsidRPr="0018228E">
              <w:t>-202</w:t>
            </w:r>
            <w:r w:rsidRPr="0018228E">
              <w:t>9</w:t>
            </w:r>
          </w:p>
        </w:tc>
        <w:tc>
          <w:tcPr>
            <w:tcW w:w="2268" w:type="dxa"/>
            <w:shd w:val="clear" w:color="auto" w:fill="auto"/>
          </w:tcPr>
          <w:p w14:paraId="6DFB5DA6" w14:textId="77777777" w:rsidR="00751A4A" w:rsidRPr="0018228E" w:rsidRDefault="00187494" w:rsidP="0010095E">
            <w:pPr>
              <w:pStyle w:val="EPLogo"/>
            </w:pPr>
            <w:r w:rsidRPr="0018228E">
              <w:rPr>
                <w:noProof/>
                <w:lang w:val="en-GB"/>
              </w:rPr>
              <w:drawing>
                <wp:inline distT="0" distB="0" distL="0" distR="0" wp14:anchorId="7D1FCF52" wp14:editId="486175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9DB82E" w14:textId="77777777" w:rsidR="00D058B8" w:rsidRPr="0018228E" w:rsidRDefault="00D058B8" w:rsidP="004C5D52">
      <w:pPr>
        <w:pStyle w:val="LineTop"/>
      </w:pPr>
    </w:p>
    <w:p w14:paraId="28AFA311" w14:textId="77777777" w:rsidR="00680577" w:rsidRPr="0018228E" w:rsidRDefault="009C7578" w:rsidP="00680577">
      <w:pPr>
        <w:pStyle w:val="EPBodyTA1"/>
      </w:pPr>
      <w:r w:rsidRPr="0018228E">
        <w:t>PIEŅEMTIE TEKSTI</w:t>
      </w:r>
    </w:p>
    <w:p w14:paraId="750F7B4B" w14:textId="77777777" w:rsidR="00D058B8" w:rsidRPr="0018228E" w:rsidRDefault="00D058B8" w:rsidP="00D058B8">
      <w:pPr>
        <w:pStyle w:val="LineBottom"/>
      </w:pPr>
    </w:p>
    <w:p w14:paraId="6DF9EE52" w14:textId="2E18C666" w:rsidR="009C7578" w:rsidRPr="0018228E" w:rsidRDefault="009C7578" w:rsidP="009C7578">
      <w:pPr>
        <w:pStyle w:val="ATHeading1"/>
      </w:pPr>
      <w:bookmarkStart w:id="0" w:name="TANumber"/>
      <w:r w:rsidRPr="0018228E">
        <w:t>P10_TA(2025)0</w:t>
      </w:r>
      <w:bookmarkEnd w:id="0"/>
      <w:r w:rsidR="0018228E" w:rsidRPr="0018228E">
        <w:t>179</w:t>
      </w:r>
    </w:p>
    <w:p w14:paraId="204D7183" w14:textId="5008819D" w:rsidR="009C7578" w:rsidRPr="0018228E" w:rsidRDefault="009C7578" w:rsidP="009C7578">
      <w:pPr>
        <w:pStyle w:val="ATHeading2"/>
      </w:pPr>
      <w:bookmarkStart w:id="1" w:name="title"/>
      <w:r w:rsidRPr="0018228E">
        <w:t>Vērtspapīru norēķini Eiropas Savienībā un centrālie vērtspapīru depozitāriji (CVD): īsāks norēķinu cikls</w:t>
      </w:r>
      <w:r w:rsidR="005550D2" w:rsidRPr="0018228E">
        <w:t xml:space="preserve"> </w:t>
      </w:r>
      <w:r w:rsidRPr="0018228E">
        <w:t>Savienībā</w:t>
      </w:r>
      <w:bookmarkEnd w:id="1"/>
    </w:p>
    <w:p w14:paraId="560866C9" w14:textId="77777777" w:rsidR="009C7578" w:rsidRPr="0018228E" w:rsidRDefault="009C7578" w:rsidP="009C7578">
      <w:pPr>
        <w:rPr>
          <w:i/>
          <w:vanish/>
        </w:rPr>
      </w:pPr>
      <w:r w:rsidRPr="0018228E">
        <w:rPr>
          <w:i/>
        </w:rPr>
        <w:fldChar w:fldCharType="begin"/>
      </w:r>
      <w:r w:rsidRPr="0018228E">
        <w:rPr>
          <w:i/>
        </w:rPr>
        <w:instrText xml:space="preserve"> TC"(</w:instrText>
      </w:r>
      <w:bookmarkStart w:id="2" w:name="DocNumber"/>
      <w:r w:rsidRPr="0018228E">
        <w:rPr>
          <w:i/>
        </w:rPr>
        <w:instrText>A10-0095/2025</w:instrText>
      </w:r>
      <w:bookmarkEnd w:id="2"/>
      <w:r w:rsidRPr="0018228E">
        <w:rPr>
          <w:i/>
        </w:rPr>
        <w:instrText xml:space="preserve"> - Referents: Johan </w:instrText>
      </w:r>
      <w:proofErr w:type="spellStart"/>
      <w:r w:rsidRPr="0018228E">
        <w:rPr>
          <w:i/>
        </w:rPr>
        <w:instrText>Van</w:instrText>
      </w:r>
      <w:proofErr w:type="spellEnd"/>
      <w:r w:rsidRPr="0018228E">
        <w:rPr>
          <w:i/>
        </w:rPr>
        <w:instrText> </w:instrText>
      </w:r>
      <w:proofErr w:type="spellStart"/>
      <w:r w:rsidRPr="0018228E">
        <w:rPr>
          <w:i/>
        </w:rPr>
        <w:instrText>Overtveldt</w:instrText>
      </w:r>
      <w:proofErr w:type="spellEnd"/>
      <w:r w:rsidRPr="0018228E">
        <w:rPr>
          <w:i/>
        </w:rPr>
        <w:instrText xml:space="preserve">)"\l3 \n&gt; \* MERGEFORMAT </w:instrText>
      </w:r>
      <w:r w:rsidRPr="0018228E">
        <w:rPr>
          <w:i/>
        </w:rPr>
        <w:fldChar w:fldCharType="end"/>
      </w:r>
    </w:p>
    <w:p w14:paraId="1B5C0FB4" w14:textId="77777777" w:rsidR="009C7578" w:rsidRPr="0018228E" w:rsidRDefault="009C7578" w:rsidP="009C7578">
      <w:pPr>
        <w:rPr>
          <w:vanish/>
        </w:rPr>
      </w:pPr>
      <w:bookmarkStart w:id="3" w:name="Commission"/>
      <w:r w:rsidRPr="0018228E">
        <w:rPr>
          <w:vanish/>
        </w:rPr>
        <w:t>Ekonomikas un monetārā komiteja</w:t>
      </w:r>
      <w:bookmarkEnd w:id="3"/>
    </w:p>
    <w:p w14:paraId="35D32856" w14:textId="77777777" w:rsidR="009C7578" w:rsidRPr="0018228E" w:rsidRDefault="009C7578" w:rsidP="009C7578">
      <w:pPr>
        <w:rPr>
          <w:vanish/>
        </w:rPr>
      </w:pPr>
      <w:bookmarkStart w:id="4" w:name="PE"/>
      <w:r w:rsidRPr="0018228E">
        <w:rPr>
          <w:vanish/>
        </w:rPr>
        <w:t>PE770.091</w:t>
      </w:r>
      <w:bookmarkEnd w:id="4"/>
    </w:p>
    <w:p w14:paraId="3FECB25E" w14:textId="07A7131B" w:rsidR="005511AA" w:rsidRPr="0018228E" w:rsidRDefault="009C7578" w:rsidP="005550D2">
      <w:pPr>
        <w:pStyle w:val="ATHeading3"/>
      </w:pPr>
      <w:bookmarkStart w:id="5" w:name="Sujet"/>
      <w:r w:rsidRPr="0018228E">
        <w:t xml:space="preserve">Eiropas Parlamenta 2025. gada </w:t>
      </w:r>
      <w:r w:rsidR="005550D2" w:rsidRPr="0018228E">
        <w:t>10</w:t>
      </w:r>
      <w:r w:rsidRPr="0018228E">
        <w:t xml:space="preserve">. </w:t>
      </w:r>
      <w:r w:rsidR="005550D2" w:rsidRPr="0018228E">
        <w:t>septembra</w:t>
      </w:r>
      <w:r w:rsidRPr="0018228E">
        <w:t xml:space="preserve"> normatīvā rezolūcija par priekšlikumu Eiropas Parlamenta un Padomes regulai</w:t>
      </w:r>
      <w:bookmarkEnd w:id="5"/>
      <w:r w:rsidR="005F074A">
        <w:t xml:space="preserve">, </w:t>
      </w:r>
      <w:r w:rsidR="005F074A" w:rsidRPr="004B7280">
        <w:rPr>
          <w:noProof/>
        </w:rPr>
        <w:t>ar ko Regulu (ES) Nr. 909/2014 groza attiecībā uz īsāku norēķinu ciklu Savienībā</w:t>
      </w:r>
      <w:r w:rsidRPr="0018228E">
        <w:t xml:space="preserve"> </w:t>
      </w:r>
      <w:bookmarkStart w:id="6" w:name="References"/>
      <w:r w:rsidRPr="0018228E">
        <w:t>(COM(2025)0038 – C10-0011/2025 – 2025/0022(COD))</w:t>
      </w:r>
      <w:bookmarkStart w:id="7" w:name="TextBodyBegin"/>
      <w:bookmarkEnd w:id="6"/>
      <w:bookmarkEnd w:id="7"/>
    </w:p>
    <w:p w14:paraId="76839BEF" w14:textId="77777777" w:rsidR="005511AA" w:rsidRPr="0018228E" w:rsidRDefault="005511AA" w:rsidP="005511AA">
      <w:pPr>
        <w:pStyle w:val="NormalBold"/>
      </w:pPr>
      <w:r w:rsidRPr="0018228E">
        <w:t>(Parastā likumdošanas procedūra: pirmais lasījums)</w:t>
      </w:r>
    </w:p>
    <w:p w14:paraId="32020D38" w14:textId="77777777" w:rsidR="005511AA" w:rsidRPr="0018228E" w:rsidRDefault="005511AA" w:rsidP="005511AA">
      <w:pPr>
        <w:pStyle w:val="EPComma"/>
      </w:pPr>
      <w:r w:rsidRPr="0018228E">
        <w:rPr>
          <w:i/>
        </w:rPr>
        <w:t>Eiropas Parlaments</w:t>
      </w:r>
      <w:r w:rsidRPr="0018228E">
        <w:t>,</w:t>
      </w:r>
    </w:p>
    <w:p w14:paraId="13C1FEAE" w14:textId="77777777" w:rsidR="005511AA" w:rsidRPr="0018228E" w:rsidRDefault="005511AA" w:rsidP="005511AA">
      <w:pPr>
        <w:pStyle w:val="NormalHanging12a"/>
      </w:pPr>
      <w:r w:rsidRPr="0018228E">
        <w:t>–</w:t>
      </w:r>
      <w:r w:rsidRPr="0018228E">
        <w:tab/>
        <w:t>ņemot vērā Komisijas priekšlikumu Eiropas Parlamentam un Padomei (COM(2025)0038),</w:t>
      </w:r>
    </w:p>
    <w:p w14:paraId="14540AD1" w14:textId="77777777" w:rsidR="005511AA" w:rsidRPr="0018228E" w:rsidRDefault="005511AA" w:rsidP="005511AA">
      <w:pPr>
        <w:pStyle w:val="NormalHanging12a"/>
      </w:pPr>
      <w:r w:rsidRPr="0018228E">
        <w:t>–</w:t>
      </w:r>
      <w:r w:rsidRPr="0018228E">
        <w:tab/>
        <w:t>ņemot vērā Līguma par Eiropas Savienības darbību 294. panta 2. punktu un 114. pantu, saskaņā ar kuriem Komisija tam ir iesniegusi priekšlikumu (C10</w:t>
      </w:r>
      <w:r w:rsidRPr="0018228E">
        <w:noBreakHyphen/>
        <w:t>0011/2025),</w:t>
      </w:r>
    </w:p>
    <w:p w14:paraId="772FB0D7" w14:textId="77777777" w:rsidR="005511AA" w:rsidRPr="0018228E" w:rsidRDefault="005511AA" w:rsidP="005511AA">
      <w:pPr>
        <w:pStyle w:val="NormalHanging12a"/>
      </w:pPr>
      <w:r w:rsidRPr="0018228E">
        <w:t>–</w:t>
      </w:r>
      <w:r w:rsidRPr="0018228E">
        <w:tab/>
        <w:t>ņemot vērā Līguma par Eiropas Savienības darbību 294. panta 3. punktu,</w:t>
      </w:r>
    </w:p>
    <w:p w14:paraId="7BA01BCB" w14:textId="77777777" w:rsidR="005511AA" w:rsidRPr="0018228E" w:rsidRDefault="005511AA" w:rsidP="005511AA">
      <w:pPr>
        <w:pStyle w:val="NormalHanging12a"/>
      </w:pPr>
      <w:r w:rsidRPr="0018228E">
        <w:t>–</w:t>
      </w:r>
      <w:r w:rsidRPr="0018228E">
        <w:tab/>
        <w:t>ņemot vērā Eiropas Centrālās bankas 2025. gada 31. marta atzinumu</w:t>
      </w:r>
      <w:r w:rsidRPr="0018228E">
        <w:rPr>
          <w:rStyle w:val="FootnoteReference"/>
        </w:rPr>
        <w:footnoteReference w:id="1"/>
      </w:r>
      <w:r w:rsidRPr="0018228E">
        <w:t>,</w:t>
      </w:r>
    </w:p>
    <w:p w14:paraId="485725F8" w14:textId="77777777" w:rsidR="005511AA" w:rsidRPr="0018228E" w:rsidRDefault="005511AA" w:rsidP="005511AA">
      <w:pPr>
        <w:pStyle w:val="NormalHanging12a"/>
      </w:pPr>
      <w:r w:rsidRPr="0018228E">
        <w:t>–</w:t>
      </w:r>
      <w:r w:rsidRPr="0018228E">
        <w:tab/>
        <w:t>ņemot vērā Eiropas Ekonomikas un sociālo lietu komitejas 2025. gada 30. aprīļa atzinumu</w:t>
      </w:r>
      <w:r w:rsidRPr="0018228E">
        <w:rPr>
          <w:rStyle w:val="FootnoteReference"/>
        </w:rPr>
        <w:footnoteReference w:id="2"/>
      </w:r>
      <w:r w:rsidRPr="0018228E">
        <w:t>,</w:t>
      </w:r>
    </w:p>
    <w:p w14:paraId="2C51E8F5" w14:textId="77777777" w:rsidR="00E65F9D" w:rsidRPr="0018228E" w:rsidRDefault="00E65F9D" w:rsidP="00E65F9D">
      <w:pPr>
        <w:pStyle w:val="NormalHanging12a"/>
      </w:pPr>
      <w:r w:rsidRPr="0018228E">
        <w:t>–</w:t>
      </w:r>
      <w:r w:rsidRPr="0018228E">
        <w:tab/>
        <w:t>ņemot vērā provizorisko vienošanos, ko atbildīgā komiteja apstiprināja saskaņā ar Reglamenta 75. panta 4. punktu, un Padomes pārstāvja 2025. gada 27. jūnija vēstulē pausto apņemšanos apstiprināt Parlamenta nostāju saskaņā ar Līguma par Eiropas Savienības darbību 294. panta 4. punktu,</w:t>
      </w:r>
    </w:p>
    <w:p w14:paraId="5258723C" w14:textId="77777777" w:rsidR="005511AA" w:rsidRPr="0018228E" w:rsidRDefault="005511AA" w:rsidP="005511AA">
      <w:pPr>
        <w:pStyle w:val="NormalHanging12a"/>
      </w:pPr>
      <w:r w:rsidRPr="0018228E">
        <w:t>–</w:t>
      </w:r>
      <w:r w:rsidRPr="0018228E">
        <w:tab/>
        <w:t>ņemot vērā Reglamenta 60. pantu,</w:t>
      </w:r>
    </w:p>
    <w:p w14:paraId="26234B27" w14:textId="77777777" w:rsidR="005511AA" w:rsidRPr="0018228E" w:rsidRDefault="005511AA" w:rsidP="005511AA">
      <w:pPr>
        <w:pStyle w:val="NormalHanging12a"/>
      </w:pPr>
      <w:r w:rsidRPr="0018228E">
        <w:t>–</w:t>
      </w:r>
      <w:r w:rsidRPr="0018228E">
        <w:tab/>
        <w:t>ņemot vērā Ekonomikas un monetārās komitejas ziņojumu (A10-0095/2025),</w:t>
      </w:r>
    </w:p>
    <w:p w14:paraId="3306EB77" w14:textId="77777777" w:rsidR="005511AA" w:rsidRPr="0018228E" w:rsidRDefault="005511AA" w:rsidP="005511AA">
      <w:pPr>
        <w:pStyle w:val="NormalHanging12a"/>
      </w:pPr>
      <w:r w:rsidRPr="0018228E">
        <w:lastRenderedPageBreak/>
        <w:t>1.</w:t>
      </w:r>
      <w:r w:rsidRPr="0018228E">
        <w:tab/>
        <w:t>pieņem pirmajā lasījumā turpmāk izklāstīto nostāju;</w:t>
      </w:r>
    </w:p>
    <w:p w14:paraId="2B83F4F8" w14:textId="77777777" w:rsidR="005511AA" w:rsidRPr="0018228E" w:rsidRDefault="005511AA" w:rsidP="005511AA">
      <w:pPr>
        <w:tabs>
          <w:tab w:val="left" w:pos="-774"/>
          <w:tab w:val="left" w:pos="-114"/>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120"/>
        <w:ind w:left="567" w:hanging="567"/>
      </w:pPr>
      <w:r w:rsidRPr="0018228E">
        <w:t>2.</w:t>
      </w:r>
      <w:r w:rsidRPr="0018228E">
        <w:tab/>
        <w:t>prasa Komisijai priekšlikumu Parlamentam iesniegt vēlreiz, ja tā savu priekšlikumu aizstāj, būtiski groza vai ir paredzējusi to būtiski grozīt;</w:t>
      </w:r>
    </w:p>
    <w:p w14:paraId="0059A58A" w14:textId="77777777" w:rsidR="005511AA" w:rsidRPr="0018228E" w:rsidRDefault="005511AA" w:rsidP="005511AA">
      <w:pPr>
        <w:widowControl/>
        <w:ind w:left="567" w:hanging="567"/>
      </w:pPr>
      <w:r w:rsidRPr="0018228E">
        <w:t>3.</w:t>
      </w:r>
      <w:r w:rsidRPr="0018228E">
        <w:tab/>
        <w:t>uzdod priekšsēdētājai Parlamenta nostāju nosūtīt Padomei, Komisijai, kā arī dalībvalstu parlamentiem.</w:t>
      </w:r>
    </w:p>
    <w:p w14:paraId="7898F2C3" w14:textId="77777777" w:rsidR="00FE43B9" w:rsidRDefault="00FE43B9" w:rsidP="00E65F9D">
      <w:pPr>
        <w:pStyle w:val="Normal12Hanging"/>
        <w:tabs>
          <w:tab w:val="clear" w:pos="4679"/>
          <w:tab w:val="left" w:pos="357"/>
          <w:tab w:val="left" w:pos="2551"/>
        </w:tabs>
        <w:ind w:left="0" w:firstLine="0"/>
        <w:rPr>
          <w:b/>
        </w:rPr>
        <w:sectPr w:rsidR="00FE43B9" w:rsidSect="003833A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F2675D1" w14:textId="2823C3F2" w:rsidR="00E65F9D" w:rsidRPr="0018228E" w:rsidRDefault="00E65F9D" w:rsidP="00E65F9D">
      <w:pPr>
        <w:pStyle w:val="Normal12Hanging"/>
        <w:tabs>
          <w:tab w:val="clear" w:pos="4679"/>
          <w:tab w:val="left" w:pos="357"/>
          <w:tab w:val="left" w:pos="2551"/>
        </w:tabs>
        <w:ind w:left="0" w:firstLine="0"/>
        <w:rPr>
          <w:b/>
        </w:rPr>
      </w:pPr>
      <w:r w:rsidRPr="0018228E">
        <w:rPr>
          <w:b/>
        </w:rPr>
        <w:lastRenderedPageBreak/>
        <w:t>P</w:t>
      </w:r>
      <w:r w:rsidR="00A07BC6" w:rsidRPr="0018228E">
        <w:rPr>
          <w:b/>
        </w:rPr>
        <w:t>10</w:t>
      </w:r>
      <w:r w:rsidRPr="0018228E">
        <w:rPr>
          <w:b/>
        </w:rPr>
        <w:t>_TC1-COD</w:t>
      </w:r>
      <w:r w:rsidRPr="0018228E">
        <w:rPr>
          <w:b/>
          <w:bCs/>
          <w:color w:val="000000"/>
        </w:rPr>
        <w:t>(2025)0022</w:t>
      </w:r>
    </w:p>
    <w:p w14:paraId="3182C172" w14:textId="6E6F04DD" w:rsidR="00E65F9D" w:rsidRDefault="00E65F9D" w:rsidP="00E65F9D">
      <w:pPr>
        <w:pStyle w:val="Normal12Hanging"/>
        <w:tabs>
          <w:tab w:val="clear" w:pos="4679"/>
          <w:tab w:val="left" w:pos="2551"/>
        </w:tabs>
        <w:ind w:left="0" w:firstLine="0"/>
        <w:rPr>
          <w:b/>
          <w:szCs w:val="22"/>
          <w:lang w:eastAsia="en-US"/>
        </w:rPr>
      </w:pPr>
      <w:r w:rsidRPr="0018228E">
        <w:rPr>
          <w:b/>
        </w:rPr>
        <w:t xml:space="preserve">Eiropas Parlamenta nostāja, pieņemta pirmajā lasījumā 2025. gada 10. septembrī, lai pieņemtu Eiropas Parlamenta un Padomes Regulu (ES) 2025/..., </w:t>
      </w:r>
      <w:r w:rsidR="005F074A" w:rsidRPr="005F074A">
        <w:rPr>
          <w:b/>
          <w:bCs/>
          <w:szCs w:val="22"/>
          <w:lang w:eastAsia="en-US"/>
        </w:rPr>
        <w:t>ar ko groza Regulu (ES) Nr. 909/2014 attiecībā uz īsāku norēķinu ciklu Savienībā</w:t>
      </w:r>
    </w:p>
    <w:p w14:paraId="5014038A" w14:textId="0294E5FE" w:rsidR="005F074A" w:rsidRDefault="005F074A" w:rsidP="005F074A">
      <w:pPr>
        <w:rPr>
          <w:i/>
        </w:rPr>
      </w:pPr>
      <w:r w:rsidRPr="003E6639">
        <w:rPr>
          <w:i/>
        </w:rPr>
        <w:t xml:space="preserve">(Tā kā starp Parlamentu un Padomi tika panākta vienošanās, Parlamenta nostāja atbilst galīgajam tiesību aktam </w:t>
      </w:r>
      <w:r w:rsidRPr="005F074A">
        <w:rPr>
          <w:i/>
        </w:rPr>
        <w:t>Regulai (ES) 2025/</w:t>
      </w:r>
      <w:r w:rsidRPr="005F074A">
        <w:rPr>
          <w:i/>
        </w:rPr>
        <w:t>2075</w:t>
      </w:r>
      <w:r w:rsidRPr="005F074A">
        <w:rPr>
          <w:i/>
        </w:rPr>
        <w:t>.)</w:t>
      </w:r>
    </w:p>
    <w:p w14:paraId="58EE7BE6" w14:textId="77777777" w:rsidR="005F074A" w:rsidRPr="0018228E" w:rsidRDefault="005F074A" w:rsidP="00E65F9D">
      <w:pPr>
        <w:pStyle w:val="Normal12Hanging"/>
        <w:tabs>
          <w:tab w:val="clear" w:pos="4679"/>
          <w:tab w:val="left" w:pos="2551"/>
        </w:tabs>
        <w:ind w:left="0" w:firstLine="0"/>
        <w:rPr>
          <w:rFonts w:eastAsia="Calibri"/>
          <w:b/>
          <w:color w:val="000000"/>
          <w:szCs w:val="22"/>
          <w:lang w:eastAsia="en-US"/>
        </w:rPr>
      </w:pPr>
    </w:p>
    <w:sectPr w:rsidR="005F074A" w:rsidRPr="0018228E" w:rsidSect="003833A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7D082" w14:textId="77777777" w:rsidR="009C7578" w:rsidRPr="003833AC" w:rsidRDefault="009C7578">
      <w:r w:rsidRPr="003833AC">
        <w:separator/>
      </w:r>
    </w:p>
  </w:endnote>
  <w:endnote w:type="continuationSeparator" w:id="0">
    <w:p w14:paraId="31E49962" w14:textId="77777777" w:rsidR="009C7578" w:rsidRPr="003833AC" w:rsidRDefault="009C7578">
      <w:r w:rsidRPr="003833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9D1F" w14:textId="77777777" w:rsidR="00064002" w:rsidRPr="003833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AD898" w14:textId="77777777" w:rsidR="00064002" w:rsidRPr="003833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690A9" w14:textId="77777777" w:rsidR="00064002" w:rsidRPr="003833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AB91C" w14:textId="77777777" w:rsidR="009C7578" w:rsidRPr="003833AC" w:rsidRDefault="009C7578">
      <w:r w:rsidRPr="003833AC">
        <w:separator/>
      </w:r>
    </w:p>
  </w:footnote>
  <w:footnote w:type="continuationSeparator" w:id="0">
    <w:p w14:paraId="4C6DBB5E" w14:textId="77777777" w:rsidR="009C7578" w:rsidRPr="003833AC" w:rsidRDefault="009C7578">
      <w:r w:rsidRPr="003833AC">
        <w:continuationSeparator/>
      </w:r>
    </w:p>
  </w:footnote>
  <w:footnote w:id="1">
    <w:p w14:paraId="6DC53CC2" w14:textId="7941BFA7" w:rsidR="005511AA" w:rsidRPr="003833AC" w:rsidRDefault="005511AA" w:rsidP="003833AC">
      <w:pPr>
        <w:pStyle w:val="FootnoteText"/>
        <w:ind w:left="567" w:hanging="567"/>
        <w:rPr>
          <w:sz w:val="24"/>
          <w:lang w:val="lv-LV"/>
        </w:rPr>
      </w:pPr>
      <w:r w:rsidRPr="003833AC">
        <w:rPr>
          <w:rStyle w:val="FootnoteReference"/>
          <w:sz w:val="24"/>
          <w:lang w:val="lv-LV"/>
        </w:rPr>
        <w:footnoteRef/>
      </w:r>
      <w:r w:rsidR="003833AC" w:rsidRPr="003833AC">
        <w:rPr>
          <w:sz w:val="24"/>
          <w:lang w:val="lv-LV"/>
        </w:rPr>
        <w:t xml:space="preserve"> </w:t>
      </w:r>
      <w:r w:rsidR="003833AC" w:rsidRPr="003833AC">
        <w:rPr>
          <w:sz w:val="24"/>
          <w:lang w:val="lv-LV"/>
        </w:rPr>
        <w:tab/>
      </w:r>
      <w:r w:rsidRPr="003833AC">
        <w:rPr>
          <w:sz w:val="24"/>
          <w:lang w:val="lv-LV"/>
        </w:rPr>
        <w:t>OV C, C/2025/2274, 14.4.2025., ELI: </w:t>
      </w:r>
      <w:hyperlink r:id="rId1" w:tooltip="Dod piekļuvi šim dokumentam, izmantojot tā ELI URI." w:history="1">
        <w:r w:rsidRPr="003833AC">
          <w:rPr>
            <w:rStyle w:val="Hyperlink"/>
            <w:sz w:val="24"/>
            <w:lang w:val="lv-LV"/>
          </w:rPr>
          <w:t>http://data.europa.eu/eli/C/2025/2274/oj</w:t>
        </w:r>
      </w:hyperlink>
      <w:r w:rsidRPr="003833AC">
        <w:rPr>
          <w:sz w:val="24"/>
          <w:lang w:val="lv-LV"/>
        </w:rPr>
        <w:t>.</w:t>
      </w:r>
    </w:p>
  </w:footnote>
  <w:footnote w:id="2">
    <w:p w14:paraId="42B8D40A" w14:textId="2A630C69" w:rsidR="005511AA" w:rsidRPr="005550D2" w:rsidRDefault="005511AA" w:rsidP="003833AC">
      <w:pPr>
        <w:pStyle w:val="FootnoteText"/>
        <w:ind w:left="567" w:hanging="567"/>
        <w:rPr>
          <w:sz w:val="24"/>
          <w:lang w:val="lv-LV"/>
        </w:rPr>
      </w:pPr>
      <w:r w:rsidRPr="003833AC">
        <w:rPr>
          <w:rStyle w:val="FootnoteReference"/>
          <w:sz w:val="24"/>
          <w:lang w:val="lv-LV"/>
        </w:rPr>
        <w:footnoteRef/>
      </w:r>
      <w:r w:rsidR="003833AC" w:rsidRPr="003833AC">
        <w:rPr>
          <w:i/>
          <w:iCs/>
          <w:sz w:val="24"/>
          <w:lang w:val="lv-LV"/>
        </w:rPr>
        <w:t xml:space="preserve"> </w:t>
      </w:r>
      <w:r w:rsidR="003833AC" w:rsidRPr="003833AC">
        <w:rPr>
          <w:i/>
          <w:iCs/>
          <w:sz w:val="24"/>
          <w:lang w:val="lv-LV"/>
        </w:rPr>
        <w:tab/>
      </w:r>
      <w:r w:rsidR="005550D2" w:rsidRPr="00487072">
        <w:rPr>
          <w:sz w:val="24"/>
          <w:lang w:val="lv-LV"/>
        </w:rPr>
        <w:t>O</w:t>
      </w:r>
      <w:r w:rsidR="005550D2">
        <w:rPr>
          <w:sz w:val="24"/>
          <w:lang w:val="lv-LV"/>
        </w:rPr>
        <w:t>V</w:t>
      </w:r>
      <w:r w:rsidR="005550D2" w:rsidRPr="00487072">
        <w:rPr>
          <w:sz w:val="24"/>
          <w:lang w:val="lv-LV"/>
        </w:rPr>
        <w:t xml:space="preserve"> C, C/2025/3203, 2.7.2025</w:t>
      </w:r>
      <w:r w:rsidR="005550D2">
        <w:rPr>
          <w:sz w:val="24"/>
          <w:lang w:val="lv-LV"/>
        </w:rPr>
        <w:t>.</w:t>
      </w:r>
      <w:r w:rsidR="005550D2" w:rsidRPr="00487072">
        <w:rPr>
          <w:sz w:val="24"/>
          <w:lang w:val="lv-LV"/>
        </w:rPr>
        <w:t xml:space="preserve">, ELI: </w:t>
      </w:r>
      <w:hyperlink r:id="rId2" w:tgtFrame="_blank" w:tooltip="Gives access to this document through its ELI URI." w:history="1">
        <w:r w:rsidR="00FE43B9" w:rsidRPr="00FE43B9">
          <w:rPr>
            <w:rStyle w:val="Hyperlink"/>
            <w:sz w:val="24"/>
            <w:szCs w:val="24"/>
            <w:lang w:val="fi-FI"/>
          </w:rPr>
          <w:t>http://data.europa.eu/eli/C/2025/3203/oj</w:t>
        </w:r>
      </w:hyperlink>
      <w:r w:rsidRPr="005550D2">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81AC5" w14:textId="77777777" w:rsidR="00064002" w:rsidRPr="003833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58C61" w14:textId="77777777" w:rsidR="00064002" w:rsidRPr="003833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F7C29" w14:textId="77777777" w:rsidR="00064002" w:rsidRPr="003833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7162582">
    <w:abstractNumId w:val="9"/>
  </w:num>
  <w:num w:numId="2" w16cid:durableId="1697920338">
    <w:abstractNumId w:val="9"/>
  </w:num>
  <w:num w:numId="3" w16cid:durableId="118845224">
    <w:abstractNumId w:val="7"/>
  </w:num>
  <w:num w:numId="4" w16cid:durableId="1020084536">
    <w:abstractNumId w:val="7"/>
  </w:num>
  <w:num w:numId="5" w16cid:durableId="825435226">
    <w:abstractNumId w:val="6"/>
  </w:num>
  <w:num w:numId="6" w16cid:durableId="221646024">
    <w:abstractNumId w:val="6"/>
  </w:num>
  <w:num w:numId="7" w16cid:durableId="1160461636">
    <w:abstractNumId w:val="5"/>
  </w:num>
  <w:num w:numId="8" w16cid:durableId="759832100">
    <w:abstractNumId w:val="5"/>
  </w:num>
  <w:num w:numId="9" w16cid:durableId="890767088">
    <w:abstractNumId w:val="4"/>
  </w:num>
  <w:num w:numId="10" w16cid:durableId="2109349665">
    <w:abstractNumId w:val="4"/>
  </w:num>
  <w:num w:numId="11" w16cid:durableId="359286334">
    <w:abstractNumId w:val="8"/>
  </w:num>
  <w:num w:numId="12" w16cid:durableId="1522160720">
    <w:abstractNumId w:val="8"/>
  </w:num>
  <w:num w:numId="13" w16cid:durableId="610091627">
    <w:abstractNumId w:val="3"/>
  </w:num>
  <w:num w:numId="14" w16cid:durableId="1144855204">
    <w:abstractNumId w:val="3"/>
  </w:num>
  <w:num w:numId="15" w16cid:durableId="127476984">
    <w:abstractNumId w:val="2"/>
  </w:num>
  <w:num w:numId="16" w16cid:durableId="1862628159">
    <w:abstractNumId w:val="2"/>
  </w:num>
  <w:num w:numId="17" w16cid:durableId="335767263">
    <w:abstractNumId w:val="1"/>
  </w:num>
  <w:num w:numId="18" w16cid:durableId="1683900651">
    <w:abstractNumId w:val="1"/>
  </w:num>
  <w:num w:numId="19" w16cid:durableId="253590766">
    <w:abstractNumId w:val="0"/>
  </w:num>
  <w:num w:numId="20" w16cid:durableId="1191214419">
    <w:abstractNumId w:val="0"/>
  </w:num>
  <w:num w:numId="21" w16cid:durableId="555242758">
    <w:abstractNumId w:val="9"/>
  </w:num>
  <w:num w:numId="22" w16cid:durableId="1098409044">
    <w:abstractNumId w:val="7"/>
  </w:num>
  <w:num w:numId="23" w16cid:durableId="1002929244">
    <w:abstractNumId w:val="6"/>
  </w:num>
  <w:num w:numId="24" w16cid:durableId="542862977">
    <w:abstractNumId w:val="5"/>
  </w:num>
  <w:num w:numId="25" w16cid:durableId="372927978">
    <w:abstractNumId w:val="4"/>
  </w:num>
  <w:num w:numId="26" w16cid:durableId="679545948">
    <w:abstractNumId w:val="8"/>
  </w:num>
  <w:num w:numId="27" w16cid:durableId="88699051">
    <w:abstractNumId w:val="3"/>
  </w:num>
  <w:num w:numId="28" w16cid:durableId="366953565">
    <w:abstractNumId w:val="2"/>
  </w:num>
  <w:num w:numId="29" w16cid:durableId="866213636">
    <w:abstractNumId w:val="1"/>
  </w:num>
  <w:num w:numId="30" w16cid:durableId="1898467683">
    <w:abstractNumId w:val="0"/>
  </w:num>
  <w:num w:numId="31" w16cid:durableId="1323898655">
    <w:abstractNumId w:val="9"/>
  </w:num>
  <w:num w:numId="32" w16cid:durableId="210774488">
    <w:abstractNumId w:val="7"/>
  </w:num>
  <w:num w:numId="33" w16cid:durableId="299700700">
    <w:abstractNumId w:val="6"/>
  </w:num>
  <w:num w:numId="34" w16cid:durableId="11421524">
    <w:abstractNumId w:val="5"/>
  </w:num>
  <w:num w:numId="35" w16cid:durableId="1251039006">
    <w:abstractNumId w:val="4"/>
  </w:num>
  <w:num w:numId="36" w16cid:durableId="735713124">
    <w:abstractNumId w:val="8"/>
  </w:num>
  <w:num w:numId="37" w16cid:durableId="2145541627">
    <w:abstractNumId w:val="3"/>
  </w:num>
  <w:num w:numId="38" w16cid:durableId="1549148876">
    <w:abstractNumId w:val="2"/>
  </w:num>
  <w:num w:numId="39" w16cid:durableId="444232499">
    <w:abstractNumId w:val="1"/>
  </w:num>
  <w:num w:numId="40" w16cid:durableId="1621186048">
    <w:abstractNumId w:val="0"/>
  </w:num>
  <w:num w:numId="41" w16cid:durableId="388916263">
    <w:abstractNumId w:val="10"/>
  </w:num>
  <w:num w:numId="42" w16cid:durableId="342441596">
    <w:abstractNumId w:val="10"/>
  </w:num>
  <w:num w:numId="43" w16cid:durableId="1357388882">
    <w:abstractNumId w:val="10"/>
  </w:num>
  <w:num w:numId="44" w16cid:durableId="8395840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5/2025"/>
    <w:docVar w:name="dvlangue" w:val="LV"/>
    <w:docVar w:name="dvnumam" w:val="0"/>
    <w:docVar w:name="dvpe" w:val="770.091"/>
    <w:docVar w:name="dvrapporteur" w:val="Referents: "/>
    <w:docVar w:name="dvstar" w:val="***I"/>
    <w:docVar w:name="dvtitre" w:val="Eiropas Parlamenta 2025. gada XX. XXX normatīvā rezolūcija par priekšlikumu Eiropas Parlamenta un Padomes regulai, ar ko Regulu (ES) Nr. 909/2014 groza attiecībā uz īsāku norēķinu ciklu Savienībā(COM(2025)0038 – C10-0011/2025 – 2025/0022(COD))"/>
  </w:docVars>
  <w:rsids>
    <w:rsidRoot w:val="009C7578"/>
    <w:rsid w:val="00002272"/>
    <w:rsid w:val="00025B81"/>
    <w:rsid w:val="00064002"/>
    <w:rsid w:val="000677B9"/>
    <w:rsid w:val="000831BA"/>
    <w:rsid w:val="000A42CC"/>
    <w:rsid w:val="000E7DD9"/>
    <w:rsid w:val="0010095E"/>
    <w:rsid w:val="00125B37"/>
    <w:rsid w:val="0018228E"/>
    <w:rsid w:val="00187494"/>
    <w:rsid w:val="001F32AE"/>
    <w:rsid w:val="002767FF"/>
    <w:rsid w:val="00290A01"/>
    <w:rsid w:val="002B18FE"/>
    <w:rsid w:val="002B5493"/>
    <w:rsid w:val="002E2802"/>
    <w:rsid w:val="00343214"/>
    <w:rsid w:val="00361C00"/>
    <w:rsid w:val="003833AC"/>
    <w:rsid w:val="00386172"/>
    <w:rsid w:val="00395FA1"/>
    <w:rsid w:val="003E15D4"/>
    <w:rsid w:val="00411CCE"/>
    <w:rsid w:val="0041666E"/>
    <w:rsid w:val="00421060"/>
    <w:rsid w:val="00471C19"/>
    <w:rsid w:val="004867E3"/>
    <w:rsid w:val="00487072"/>
    <w:rsid w:val="00494A28"/>
    <w:rsid w:val="004C0004"/>
    <w:rsid w:val="004C5D52"/>
    <w:rsid w:val="004C62B1"/>
    <w:rsid w:val="0050519A"/>
    <w:rsid w:val="005072A1"/>
    <w:rsid w:val="00514517"/>
    <w:rsid w:val="00545827"/>
    <w:rsid w:val="005511AA"/>
    <w:rsid w:val="005550D2"/>
    <w:rsid w:val="00560270"/>
    <w:rsid w:val="005C2568"/>
    <w:rsid w:val="005F074A"/>
    <w:rsid w:val="005F1B17"/>
    <w:rsid w:val="006037C0"/>
    <w:rsid w:val="006631B6"/>
    <w:rsid w:val="00680577"/>
    <w:rsid w:val="006B51D0"/>
    <w:rsid w:val="006F74FA"/>
    <w:rsid w:val="00731ADD"/>
    <w:rsid w:val="00734777"/>
    <w:rsid w:val="00747932"/>
    <w:rsid w:val="00751A4A"/>
    <w:rsid w:val="00756632"/>
    <w:rsid w:val="00762C74"/>
    <w:rsid w:val="00786EC0"/>
    <w:rsid w:val="007A68A4"/>
    <w:rsid w:val="007D1690"/>
    <w:rsid w:val="007E22AD"/>
    <w:rsid w:val="00817416"/>
    <w:rsid w:val="00842779"/>
    <w:rsid w:val="00865F67"/>
    <w:rsid w:val="00881A7B"/>
    <w:rsid w:val="008840E5"/>
    <w:rsid w:val="00887B3E"/>
    <w:rsid w:val="008C2AC6"/>
    <w:rsid w:val="00930C23"/>
    <w:rsid w:val="0093193B"/>
    <w:rsid w:val="00937D57"/>
    <w:rsid w:val="009509D8"/>
    <w:rsid w:val="00950B64"/>
    <w:rsid w:val="00981893"/>
    <w:rsid w:val="009C7578"/>
    <w:rsid w:val="00A07BC6"/>
    <w:rsid w:val="00A1687D"/>
    <w:rsid w:val="00A43E52"/>
    <w:rsid w:val="00A4678D"/>
    <w:rsid w:val="00A778C7"/>
    <w:rsid w:val="00AB441E"/>
    <w:rsid w:val="00AB6293"/>
    <w:rsid w:val="00AE0928"/>
    <w:rsid w:val="00AF3B82"/>
    <w:rsid w:val="00B07037"/>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07E"/>
    <w:rsid w:val="00E365E1"/>
    <w:rsid w:val="00E65F9D"/>
    <w:rsid w:val="00E820A4"/>
    <w:rsid w:val="00EB006A"/>
    <w:rsid w:val="00EB2128"/>
    <w:rsid w:val="00EB4772"/>
    <w:rsid w:val="00ED169E"/>
    <w:rsid w:val="00ED4235"/>
    <w:rsid w:val="00F04346"/>
    <w:rsid w:val="00F075DC"/>
    <w:rsid w:val="00F149E9"/>
    <w:rsid w:val="00F5134D"/>
    <w:rsid w:val="00F74202"/>
    <w:rsid w:val="00F871F1"/>
    <w:rsid w:val="00F87713"/>
    <w:rsid w:val="00FB4360"/>
    <w:rsid w:val="00FD0C70"/>
    <w:rsid w:val="00FE43B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7D31B"/>
  <w15:chartTrackingRefBased/>
  <w15:docId w15:val="{AB038105-5C00-4185-9990-9EC7E2DA0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11AA"/>
    <w:pPr>
      <w:spacing w:before="480" w:after="240"/>
    </w:pPr>
  </w:style>
  <w:style w:type="paragraph" w:customStyle="1" w:styleId="NormalBold">
    <w:name w:val="NormalBold"/>
    <w:basedOn w:val="Normal"/>
    <w:rsid w:val="005511AA"/>
    <w:rPr>
      <w:b/>
    </w:rPr>
  </w:style>
  <w:style w:type="paragraph" w:customStyle="1" w:styleId="NormalBold12a">
    <w:name w:val="NormalBold12a"/>
    <w:basedOn w:val="Normal"/>
    <w:rsid w:val="005511AA"/>
    <w:pPr>
      <w:spacing w:after="240"/>
    </w:pPr>
    <w:rPr>
      <w:b/>
    </w:rPr>
  </w:style>
  <w:style w:type="paragraph" w:customStyle="1" w:styleId="NormalHanging12a">
    <w:name w:val="NormalHanging12a"/>
    <w:basedOn w:val="Normal"/>
    <w:link w:val="NormalHanging12aChar"/>
    <w:rsid w:val="005511AA"/>
    <w:pPr>
      <w:spacing w:after="240"/>
      <w:ind w:left="567" w:hanging="567"/>
    </w:pPr>
  </w:style>
  <w:style w:type="character" w:styleId="Hyperlink">
    <w:name w:val="Hyperlink"/>
    <w:basedOn w:val="DefaultParagraphFont"/>
    <w:rsid w:val="005511AA"/>
    <w:rPr>
      <w:color w:val="0563C1" w:themeColor="hyperlink"/>
      <w:u w:val="single"/>
    </w:rPr>
  </w:style>
  <w:style w:type="paragraph" w:customStyle="1" w:styleId="AmNumberTabs">
    <w:name w:val="AmNumberTabs"/>
    <w:basedOn w:val="Normal"/>
    <w:rsid w:val="005511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ManualConsidrant">
    <w:name w:val="Manual Considérant"/>
    <w:basedOn w:val="Normal"/>
    <w:rsid w:val="005511AA"/>
    <w:pPr>
      <w:widowControl/>
      <w:spacing w:before="120" w:after="120"/>
      <w:ind w:left="709" w:hanging="709"/>
      <w:jc w:val="both"/>
    </w:pPr>
    <w:rPr>
      <w:rFonts w:eastAsiaTheme="minorHAnsi"/>
      <w:szCs w:val="22"/>
      <w:lang w:eastAsia="en-US"/>
    </w:rPr>
  </w:style>
  <w:style w:type="character" w:customStyle="1" w:styleId="normaltextrun">
    <w:name w:val="normaltextrun"/>
    <w:basedOn w:val="DefaultParagraphFont"/>
    <w:rsid w:val="005511AA"/>
  </w:style>
  <w:style w:type="paragraph" w:styleId="CommentText">
    <w:name w:val="annotation text"/>
    <w:basedOn w:val="Normal"/>
    <w:link w:val="CommentTextChar"/>
    <w:uiPriority w:val="99"/>
    <w:unhideWhenUsed/>
    <w:rsid w:val="005511AA"/>
    <w:rPr>
      <w:sz w:val="20"/>
    </w:rPr>
  </w:style>
  <w:style w:type="character" w:customStyle="1" w:styleId="CommentTextChar">
    <w:name w:val="Comment Text Char"/>
    <w:basedOn w:val="DefaultParagraphFont"/>
    <w:link w:val="CommentText"/>
    <w:uiPriority w:val="99"/>
    <w:rsid w:val="005511AA"/>
    <w:rPr>
      <w:lang w:val="lv-LV"/>
    </w:rPr>
  </w:style>
  <w:style w:type="paragraph" w:styleId="Revision">
    <w:name w:val="Revision"/>
    <w:hidden/>
    <w:uiPriority w:val="99"/>
    <w:semiHidden/>
    <w:rsid w:val="005550D2"/>
    <w:rPr>
      <w:sz w:val="24"/>
      <w:lang w:val="lv-LV"/>
    </w:rPr>
  </w:style>
  <w:style w:type="paragraph" w:customStyle="1" w:styleId="NormalCenter12a">
    <w:name w:val="NormalCenter12a"/>
    <w:basedOn w:val="Normal"/>
    <w:rsid w:val="005550D2"/>
    <w:pPr>
      <w:spacing w:after="240"/>
      <w:jc w:val="center"/>
    </w:pPr>
    <w:rPr>
      <w:lang w:val="en-GB"/>
    </w:rPr>
  </w:style>
  <w:style w:type="paragraph" w:customStyle="1" w:styleId="AmHeadingConsam">
    <w:name w:val="AmHeadingConsam"/>
    <w:basedOn w:val="Normal"/>
    <w:next w:val="NormalCenter12a"/>
    <w:rsid w:val="005550D2"/>
    <w:pPr>
      <w:spacing w:before="720" w:after="240"/>
      <w:jc w:val="center"/>
    </w:pPr>
    <w:rPr>
      <w:lang w:val="en-GB"/>
    </w:rPr>
  </w:style>
  <w:style w:type="paragraph" w:styleId="BalloonText">
    <w:name w:val="Balloon Text"/>
    <w:basedOn w:val="Normal"/>
    <w:link w:val="BalloonTextChar"/>
    <w:rsid w:val="006B51D0"/>
    <w:rPr>
      <w:rFonts w:ascii="Segoe UI" w:hAnsi="Segoe UI" w:cs="Segoe UI"/>
      <w:sz w:val="18"/>
      <w:szCs w:val="18"/>
    </w:rPr>
  </w:style>
  <w:style w:type="character" w:customStyle="1" w:styleId="BalloonTextChar">
    <w:name w:val="Balloon Text Char"/>
    <w:basedOn w:val="DefaultParagraphFont"/>
    <w:link w:val="BalloonText"/>
    <w:rsid w:val="006B51D0"/>
    <w:rPr>
      <w:rFonts w:ascii="Segoe UI" w:hAnsi="Segoe UI" w:cs="Segoe UI"/>
      <w:sz w:val="18"/>
      <w:szCs w:val="18"/>
      <w:lang w:val="lv-LV"/>
    </w:rPr>
  </w:style>
  <w:style w:type="paragraph" w:customStyle="1" w:styleId="FootnoteTextForceStyle">
    <w:name w:val="Footnote Text ForceStyle"/>
    <w:rsid w:val="00E65F9D"/>
    <w:pPr>
      <w:keepLines/>
      <w:widowControl w:val="0"/>
      <w:spacing w:line="240" w:lineRule="exact"/>
      <w:ind w:left="850" w:hanging="850"/>
    </w:pPr>
    <w:rPr>
      <w:sz w:val="24"/>
      <w:lang w:val="lv-LV" w:eastAsia="en-US"/>
    </w:rPr>
  </w:style>
  <w:style w:type="character" w:customStyle="1" w:styleId="NormalHanging12aChar">
    <w:name w:val="NormalHanging12a Char"/>
    <w:basedOn w:val="DefaultParagraphFont"/>
    <w:link w:val="NormalHanging12a"/>
    <w:locked/>
    <w:rsid w:val="00E65F9D"/>
    <w:rPr>
      <w:sz w:val="24"/>
      <w:lang w:val="lv-LV"/>
    </w:rPr>
  </w:style>
  <w:style w:type="paragraph" w:customStyle="1" w:styleId="Normal12Hanging">
    <w:name w:val="Normal12Hanging"/>
    <w:basedOn w:val="Normal"/>
    <w:link w:val="Normal12HangingChar"/>
    <w:rsid w:val="00E65F9D"/>
    <w:pPr>
      <w:tabs>
        <w:tab w:val="num" w:pos="4679"/>
      </w:tabs>
      <w:spacing w:after="240"/>
      <w:ind w:left="4679" w:hanging="567"/>
    </w:pPr>
    <w:rPr>
      <w:snapToGrid w:val="0"/>
    </w:rPr>
  </w:style>
  <w:style w:type="character" w:customStyle="1" w:styleId="Normal12HangingChar">
    <w:name w:val="Normal12Hanging Char"/>
    <w:link w:val="Normal12Hanging"/>
    <w:rsid w:val="00E65F9D"/>
    <w:rPr>
      <w:snapToGrid w:val="0"/>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203/oj" TargetMode="External"/><Relationship Id="rId1" Type="http://schemas.openxmlformats.org/officeDocument/2006/relationships/hyperlink" Target="http://data.europa.eu/eli/C/2025/22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A1A92-5442-4BBB-A5F4-35FBB0F32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267</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2025-10-27T17:02:00Z</dcterms:created>
  <dcterms:modified xsi:type="dcterms:W3CDTF">2025-10-27T17:02:00Z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P10_TA(2025)0179_</vt:lpwstr>
  </property>
  <property fmtid="{D5CDD505-2E9C-101B-9397-08002B2CF9AE}" pid="4" name="&lt;Type&gt;">
    <vt:lpwstr>RR</vt:lpwstr>
  </property>
</Properties>
</file>