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B5F" w14:paraId="150B71A8" w14:textId="77777777" w:rsidTr="0010095E">
        <w:trPr>
          <w:trHeight w:hRule="exact" w:val="1418"/>
        </w:trPr>
        <w:tc>
          <w:tcPr>
            <w:tcW w:w="6804" w:type="dxa"/>
            <w:shd w:val="clear" w:color="auto" w:fill="auto"/>
            <w:vAlign w:val="center"/>
          </w:tcPr>
          <w:p w14:paraId="52A2B2FD" w14:textId="77777777" w:rsidR="00751A4A" w:rsidRPr="00E66B5F" w:rsidRDefault="00433851" w:rsidP="0010095E">
            <w:pPr>
              <w:pStyle w:val="EPName"/>
            </w:pPr>
            <w:r w:rsidRPr="00E66B5F">
              <w:t>Parlament Europejski</w:t>
            </w:r>
          </w:p>
          <w:p w14:paraId="46B96A4D" w14:textId="77777777" w:rsidR="00751A4A" w:rsidRPr="00E66B5F" w:rsidRDefault="005F1B17" w:rsidP="005F1B17">
            <w:pPr>
              <w:pStyle w:val="EPTerm"/>
              <w:rPr>
                <w:rStyle w:val="HideTWBExt"/>
                <w:noProof w:val="0"/>
                <w:vanish w:val="0"/>
                <w:color w:val="auto"/>
              </w:rPr>
            </w:pPr>
            <w:r w:rsidRPr="00E66B5F">
              <w:t>2024</w:t>
            </w:r>
            <w:r w:rsidR="00817416" w:rsidRPr="00E66B5F">
              <w:t>-202</w:t>
            </w:r>
            <w:r w:rsidRPr="00E66B5F">
              <w:t>9</w:t>
            </w:r>
          </w:p>
        </w:tc>
        <w:tc>
          <w:tcPr>
            <w:tcW w:w="2268" w:type="dxa"/>
            <w:shd w:val="clear" w:color="auto" w:fill="auto"/>
          </w:tcPr>
          <w:p w14:paraId="522FF65F" w14:textId="77777777" w:rsidR="00751A4A" w:rsidRPr="00E66B5F" w:rsidRDefault="00187494" w:rsidP="0010095E">
            <w:pPr>
              <w:pStyle w:val="EPLogo"/>
            </w:pPr>
            <w:r w:rsidRPr="00E66B5F">
              <w:rPr>
                <w:noProof/>
                <w:lang w:eastAsia="ja-JP"/>
              </w:rPr>
              <w:drawing>
                <wp:inline distT="0" distB="0" distL="0" distR="0" wp14:anchorId="37511604" wp14:editId="3CC676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13F705" w14:textId="77777777" w:rsidR="00D058B8" w:rsidRPr="00E66B5F" w:rsidRDefault="00D058B8" w:rsidP="004C5D52">
      <w:pPr>
        <w:pStyle w:val="LineTop"/>
      </w:pPr>
    </w:p>
    <w:p w14:paraId="5FF87579" w14:textId="77777777" w:rsidR="00680577" w:rsidRPr="00E66B5F" w:rsidRDefault="00433851" w:rsidP="00680577">
      <w:pPr>
        <w:pStyle w:val="EPBodyTA1"/>
      </w:pPr>
      <w:r w:rsidRPr="00E66B5F">
        <w:t>TEKSTY PRZYJĘTE</w:t>
      </w:r>
    </w:p>
    <w:p w14:paraId="59BF8A22" w14:textId="77777777" w:rsidR="00D058B8" w:rsidRPr="00E66B5F" w:rsidRDefault="00D058B8" w:rsidP="00D058B8">
      <w:pPr>
        <w:pStyle w:val="LineBottom"/>
      </w:pPr>
    </w:p>
    <w:p w14:paraId="242318C3" w14:textId="75AFF5B2" w:rsidR="00433851" w:rsidRPr="00E66B5F" w:rsidRDefault="00433851" w:rsidP="00433851">
      <w:pPr>
        <w:pStyle w:val="ATHeading1"/>
      </w:pPr>
      <w:bookmarkStart w:id="0" w:name="TANumber"/>
      <w:r w:rsidRPr="00E66B5F">
        <w:t>P10_TA(2025)0</w:t>
      </w:r>
      <w:bookmarkEnd w:id="0"/>
      <w:r w:rsidR="00EC714E">
        <w:t>179</w:t>
      </w:r>
    </w:p>
    <w:p w14:paraId="679DCFAD" w14:textId="01E28C1B" w:rsidR="00433851" w:rsidRPr="00E66B5F" w:rsidRDefault="00433851" w:rsidP="00433851">
      <w:pPr>
        <w:pStyle w:val="ATHeading2"/>
      </w:pPr>
      <w:bookmarkStart w:id="1" w:name="title"/>
      <w:r w:rsidRPr="00E66B5F">
        <w:t>Rozrachunek papierów wartościowych w UE i centralne depozyty papierów wartościowych (CDPW):</w:t>
      </w:r>
      <w:r w:rsidR="000960FE">
        <w:t xml:space="preserve"> </w:t>
      </w:r>
      <w:r w:rsidRPr="00E66B5F">
        <w:t>krótszy cykl rozrachunku w Unii</w:t>
      </w:r>
      <w:bookmarkEnd w:id="1"/>
    </w:p>
    <w:p w14:paraId="2C350514" w14:textId="77777777" w:rsidR="00433851" w:rsidRPr="00E66B5F" w:rsidRDefault="00433851" w:rsidP="00433851">
      <w:pPr>
        <w:rPr>
          <w:i/>
          <w:vanish/>
        </w:rPr>
      </w:pPr>
      <w:r w:rsidRPr="00E66B5F">
        <w:rPr>
          <w:i/>
        </w:rPr>
        <w:fldChar w:fldCharType="begin"/>
      </w:r>
      <w:r w:rsidRPr="00E66B5F">
        <w:rPr>
          <w:i/>
        </w:rPr>
        <w:instrText xml:space="preserve"> TC"(</w:instrText>
      </w:r>
      <w:bookmarkStart w:id="2" w:name="DocNumber"/>
      <w:r w:rsidRPr="00E66B5F">
        <w:rPr>
          <w:i/>
        </w:rPr>
        <w:instrText>A10-0095/2025</w:instrText>
      </w:r>
      <w:bookmarkEnd w:id="2"/>
      <w:r w:rsidRPr="00E66B5F">
        <w:rPr>
          <w:i/>
        </w:rPr>
        <w:instrText xml:space="preserve"> - Sprawozdawca: Johan Van Overtveldt)"\l3 \n&gt; \* MERGEFORMAT </w:instrText>
      </w:r>
      <w:r w:rsidRPr="00E66B5F">
        <w:rPr>
          <w:i/>
        </w:rPr>
        <w:fldChar w:fldCharType="end"/>
      </w:r>
    </w:p>
    <w:p w14:paraId="091092F5" w14:textId="77777777" w:rsidR="00433851" w:rsidRPr="00E66B5F" w:rsidRDefault="00433851" w:rsidP="00433851">
      <w:pPr>
        <w:rPr>
          <w:vanish/>
        </w:rPr>
      </w:pPr>
      <w:bookmarkStart w:id="3" w:name="Commission"/>
      <w:r w:rsidRPr="00E66B5F">
        <w:rPr>
          <w:vanish/>
        </w:rPr>
        <w:t>Komisja Gospodarcza i Monetarna</w:t>
      </w:r>
      <w:bookmarkEnd w:id="3"/>
    </w:p>
    <w:p w14:paraId="5BE26771" w14:textId="77777777" w:rsidR="00433851" w:rsidRPr="00E66B5F" w:rsidRDefault="00433851" w:rsidP="00433851">
      <w:pPr>
        <w:rPr>
          <w:vanish/>
        </w:rPr>
      </w:pPr>
      <w:bookmarkStart w:id="4" w:name="PE"/>
      <w:r w:rsidRPr="00E66B5F">
        <w:rPr>
          <w:vanish/>
        </w:rPr>
        <w:t>PE770.091</w:t>
      </w:r>
      <w:bookmarkEnd w:id="4"/>
    </w:p>
    <w:p w14:paraId="17A73ADC" w14:textId="356015AC" w:rsidR="00433851" w:rsidRPr="00E66B5F" w:rsidRDefault="00433851" w:rsidP="00433851">
      <w:pPr>
        <w:pStyle w:val="ATHeading3"/>
      </w:pPr>
      <w:bookmarkStart w:id="5" w:name="Sujet"/>
      <w:r w:rsidRPr="00E66B5F">
        <w:t xml:space="preserve">Rezolucja ustawodawcza Parlamentu Europejskiego z dnia </w:t>
      </w:r>
      <w:r w:rsidR="00A11C9A">
        <w:t xml:space="preserve">10 września </w:t>
      </w:r>
      <w:r w:rsidRPr="00E66B5F">
        <w:t>2025 r. w sprawie wniosku dotyczącego rozporządzenia Parlamentu Europejskiego i Rady zmieniającego rozporządzenie (UE) nr 909/2014 w odniesieniu do krótszego cyklu rozrachunku w Unii</w:t>
      </w:r>
      <w:bookmarkEnd w:id="5"/>
      <w:r w:rsidRPr="00E66B5F">
        <w:t xml:space="preserve"> </w:t>
      </w:r>
      <w:bookmarkStart w:id="6" w:name="References"/>
      <w:r w:rsidRPr="00E66B5F">
        <w:t>(COM(2025)0038 – C10-0011/2025 – 2025/0022(COD))</w:t>
      </w:r>
      <w:bookmarkEnd w:id="6"/>
    </w:p>
    <w:p w14:paraId="0589D77A" w14:textId="77777777" w:rsidR="00433851" w:rsidRPr="00E66B5F" w:rsidRDefault="00433851" w:rsidP="00433851"/>
    <w:p w14:paraId="2BCF9466" w14:textId="77777777" w:rsidR="004A1410" w:rsidRPr="00E66B5F" w:rsidRDefault="004A1410" w:rsidP="004A1410">
      <w:pPr>
        <w:pStyle w:val="NormalBold"/>
      </w:pPr>
      <w:bookmarkStart w:id="7" w:name="TextBodyBegin"/>
      <w:bookmarkEnd w:id="7"/>
      <w:r w:rsidRPr="00E66B5F">
        <w:t>(Zwykła procedura ustawodawcza: pierwsze czytanie)</w:t>
      </w:r>
    </w:p>
    <w:p w14:paraId="557CE0F9" w14:textId="77777777" w:rsidR="004A1410" w:rsidRPr="00E66B5F" w:rsidRDefault="004A1410" w:rsidP="004A1410">
      <w:pPr>
        <w:pStyle w:val="EPComma"/>
      </w:pPr>
      <w:r w:rsidRPr="00E66B5F">
        <w:rPr>
          <w:i/>
        </w:rPr>
        <w:t>Parlament Europejski</w:t>
      </w:r>
      <w:r w:rsidRPr="00E66B5F">
        <w:t>,</w:t>
      </w:r>
    </w:p>
    <w:p w14:paraId="32CF9B15" w14:textId="77777777" w:rsidR="004A1410" w:rsidRPr="00E66B5F" w:rsidRDefault="004A1410" w:rsidP="004A1410">
      <w:pPr>
        <w:pStyle w:val="NormalHanging12a"/>
      </w:pPr>
      <w:r w:rsidRPr="00E66B5F">
        <w:t>–</w:t>
      </w:r>
      <w:r w:rsidRPr="00E66B5F">
        <w:tab/>
        <w:t>uwzględniając wniosek Komisji przedstawiony Parlamentowi Europejskiemu i Radzie (COM(2025)0038),</w:t>
      </w:r>
    </w:p>
    <w:p w14:paraId="617D3A4F" w14:textId="1DC01C86" w:rsidR="004A1410" w:rsidRPr="00E66B5F" w:rsidRDefault="004A1410" w:rsidP="004A1410">
      <w:pPr>
        <w:pStyle w:val="NormalHanging12a"/>
      </w:pPr>
      <w:r w:rsidRPr="00E66B5F">
        <w:t>–</w:t>
      </w:r>
      <w:r w:rsidRPr="00E66B5F">
        <w:tab/>
        <w:t xml:space="preserve">uwzględniając art. 294 ust. 2 </w:t>
      </w:r>
      <w:r w:rsidR="00676BF3">
        <w:t>i</w:t>
      </w:r>
      <w:r w:rsidRPr="00E66B5F">
        <w:t xml:space="preserve"> art. 114 Traktatu o funkcjonowaniu Unii Europejskiej, zgodnie z którymi wniosek został przedstawiony Parlamentowi przez Komisję (C10</w:t>
      </w:r>
      <w:r w:rsidRPr="00E66B5F">
        <w:noBreakHyphen/>
        <w:t>0011/2025),</w:t>
      </w:r>
    </w:p>
    <w:p w14:paraId="1C32E60F" w14:textId="77777777" w:rsidR="004A1410" w:rsidRPr="00E66B5F" w:rsidRDefault="004A1410" w:rsidP="004A1410">
      <w:pPr>
        <w:pStyle w:val="NormalHanging12a"/>
      </w:pPr>
      <w:r w:rsidRPr="00E66B5F">
        <w:t>–</w:t>
      </w:r>
      <w:r w:rsidRPr="00E66B5F">
        <w:tab/>
        <w:t>uwzględniając art. 294 ust. 3 Traktatu o funkcjonowaniu Unii Europejskiej,</w:t>
      </w:r>
    </w:p>
    <w:p w14:paraId="67B07C81" w14:textId="2A0C4587" w:rsidR="004A1410" w:rsidRPr="00E66B5F" w:rsidRDefault="004A1410" w:rsidP="004A1410">
      <w:pPr>
        <w:pStyle w:val="NormalHanging12a"/>
      </w:pPr>
      <w:r w:rsidRPr="00E66B5F">
        <w:t>–</w:t>
      </w:r>
      <w:r w:rsidRPr="00E66B5F">
        <w:tab/>
        <w:t xml:space="preserve">uwzględniając opinię Europejskiego Banku Centralnego z </w:t>
      </w:r>
      <w:r w:rsidR="00676BF3">
        <w:t xml:space="preserve">dnia </w:t>
      </w:r>
      <w:r w:rsidRPr="00E66B5F">
        <w:t>31 marca 2025 r.</w:t>
      </w:r>
      <w:r w:rsidRPr="00E66B5F">
        <w:rPr>
          <w:rStyle w:val="FootnoteReference"/>
        </w:rPr>
        <w:footnoteReference w:id="1"/>
      </w:r>
      <w:r w:rsidRPr="00E66B5F">
        <w:t>,</w:t>
      </w:r>
    </w:p>
    <w:p w14:paraId="78A53D66" w14:textId="39AECE64" w:rsidR="004A1410" w:rsidRDefault="004A1410" w:rsidP="004A1410">
      <w:pPr>
        <w:pStyle w:val="NormalHanging12a"/>
      </w:pPr>
      <w:r w:rsidRPr="00E66B5F">
        <w:t>–</w:t>
      </w:r>
      <w:r w:rsidRPr="00E66B5F">
        <w:tab/>
        <w:t xml:space="preserve">uwzględniając opinię Europejskiego Komitetu Ekonomiczno-Społecznego z </w:t>
      </w:r>
      <w:r w:rsidR="00676BF3">
        <w:t xml:space="preserve">dnia </w:t>
      </w:r>
      <w:r w:rsidRPr="00E66B5F">
        <w:t>30 kwietnia 2025 r.</w:t>
      </w:r>
      <w:r w:rsidRPr="00E66B5F">
        <w:rPr>
          <w:rStyle w:val="FootnoteReference"/>
        </w:rPr>
        <w:footnoteReference w:id="2"/>
      </w:r>
      <w:r w:rsidRPr="00E66B5F">
        <w:t>,</w:t>
      </w:r>
    </w:p>
    <w:p w14:paraId="2E5C8249" w14:textId="4AC9DFA2" w:rsidR="003D6211" w:rsidRPr="003D6211" w:rsidRDefault="003D6211" w:rsidP="003D6211">
      <w:pPr>
        <w:pStyle w:val="NormalHanging12a"/>
        <w:widowControl/>
      </w:pPr>
      <w:r w:rsidRPr="003D6211">
        <w:rPr>
          <w:szCs w:val="24"/>
        </w:rPr>
        <w:t>–</w:t>
      </w:r>
      <w:r w:rsidRPr="003D6211">
        <w:rPr>
          <w:szCs w:val="24"/>
        </w:rPr>
        <w:tab/>
      </w:r>
      <w:r w:rsidRPr="003D6211">
        <w:t>uwzględniając wstępne porozumienie zatwierdzone przez komisję przedmiotowo</w:t>
      </w:r>
      <w:r>
        <w:t xml:space="preserve"> właściwą </w:t>
      </w:r>
      <w:r w:rsidRPr="0090212C">
        <w:t xml:space="preserve">na podstawie art. </w:t>
      </w:r>
      <w:r>
        <w:t>75</w:t>
      </w:r>
      <w:r w:rsidRPr="0090212C">
        <w:t xml:space="preserve"> ust. 4 Regulaminu oraz </w:t>
      </w:r>
      <w:r>
        <w:t>przekazane pismem z dnia 27 czerwca 2025</w:t>
      </w:r>
      <w:r w:rsidRPr="0090212C">
        <w:t xml:space="preserve"> r.</w:t>
      </w:r>
      <w:r>
        <w:t xml:space="preserve"> zobowiązanie przedstawiciela Rady</w:t>
      </w:r>
      <w:r w:rsidRPr="0090212C">
        <w:t xml:space="preserve"> do zatwierdzenia stanowiska Parlament</w:t>
      </w:r>
      <w:r>
        <w:t>u</w:t>
      </w:r>
      <w:r w:rsidRPr="0090212C">
        <w:t>, zgodnie z art. 294 ust. 4 Traktatu o funkcjonowaniu Unii Europejskiej,</w:t>
      </w:r>
    </w:p>
    <w:p w14:paraId="76315867" w14:textId="77777777" w:rsidR="004A1410" w:rsidRPr="00E66B5F" w:rsidRDefault="004A1410" w:rsidP="004A1410">
      <w:pPr>
        <w:pStyle w:val="NormalHanging12a"/>
      </w:pPr>
      <w:r w:rsidRPr="00E66B5F">
        <w:t>–</w:t>
      </w:r>
      <w:r w:rsidRPr="00E66B5F">
        <w:tab/>
        <w:t>uwzględniając art. 60 Regulaminu,</w:t>
      </w:r>
    </w:p>
    <w:p w14:paraId="5E196C6A" w14:textId="77777777" w:rsidR="004A1410" w:rsidRPr="00E66B5F" w:rsidRDefault="004A1410" w:rsidP="004A1410">
      <w:pPr>
        <w:pStyle w:val="NormalHanging12a"/>
      </w:pPr>
      <w:r w:rsidRPr="00E66B5F">
        <w:lastRenderedPageBreak/>
        <w:t>–</w:t>
      </w:r>
      <w:r w:rsidRPr="00E66B5F">
        <w:tab/>
        <w:t>uwzględniając sprawozdanie Komisji Gospodarczej i Monetarnej (A10-0095/2025),</w:t>
      </w:r>
    </w:p>
    <w:p w14:paraId="1061083C" w14:textId="77777777" w:rsidR="004A1410" w:rsidRPr="00E66B5F" w:rsidRDefault="004A1410" w:rsidP="004A1410">
      <w:pPr>
        <w:pStyle w:val="NormalHanging12a"/>
      </w:pPr>
      <w:r w:rsidRPr="00E66B5F">
        <w:t>1.</w:t>
      </w:r>
      <w:r w:rsidRPr="00E66B5F">
        <w:tab/>
        <w:t>przyjmuje poniższe stanowisko w pierwszym czytaniu;</w:t>
      </w:r>
    </w:p>
    <w:p w14:paraId="7585A495" w14:textId="77777777" w:rsidR="004A1410" w:rsidRPr="00E66B5F" w:rsidRDefault="004A1410" w:rsidP="004A1410">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E66B5F">
        <w:t>2.</w:t>
      </w:r>
      <w:r w:rsidRPr="00E66B5F">
        <w:tab/>
        <w:t>zwraca się do Komisji o ponowne przekazanie mu sprawy, jeśli zastąpi ona pierwotny wniosek, wprowadzi w nim istotne zmiany lub planuje ich wprowadzenie;</w:t>
      </w:r>
    </w:p>
    <w:p w14:paraId="2307F093" w14:textId="77777777" w:rsidR="004A1410" w:rsidRPr="00E66B5F" w:rsidRDefault="004A1410" w:rsidP="004A1410">
      <w:pPr>
        <w:widowControl/>
        <w:ind w:left="567" w:hanging="567"/>
      </w:pPr>
      <w:r w:rsidRPr="00E66B5F">
        <w:t>3.</w:t>
      </w:r>
      <w:r w:rsidRPr="00E66B5F">
        <w:tab/>
        <w:t>zobowiązuje swoją przewodniczącą do przekazania stanowiska Parlamentu Radzie i Komisji oraz parlamentom narodowym.</w:t>
      </w:r>
    </w:p>
    <w:p w14:paraId="52320BE3" w14:textId="77777777" w:rsidR="003D6211" w:rsidRDefault="003D6211" w:rsidP="004A1410">
      <w:pPr>
        <w:widowControl/>
        <w:rPr>
          <w:szCs w:val="24"/>
        </w:rPr>
        <w:sectPr w:rsidR="003D6211" w:rsidSect="00E66B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58A291" w14:textId="77777777" w:rsidR="003D6211" w:rsidRPr="00676BF3" w:rsidRDefault="003D6211" w:rsidP="003D6211">
      <w:pPr>
        <w:autoSpaceDE w:val="0"/>
        <w:autoSpaceDN w:val="0"/>
        <w:adjustRightInd w:val="0"/>
        <w:spacing w:after="240"/>
        <w:rPr>
          <w:rFonts w:eastAsia="Calibri"/>
          <w:b/>
          <w:bCs/>
          <w:color w:val="000000"/>
          <w:szCs w:val="24"/>
        </w:rPr>
      </w:pPr>
      <w:r w:rsidRPr="00676BF3">
        <w:rPr>
          <w:rFonts w:eastAsia="Calibri"/>
          <w:b/>
          <w:bCs/>
          <w:color w:val="000000"/>
          <w:szCs w:val="24"/>
        </w:rPr>
        <w:lastRenderedPageBreak/>
        <w:t>P10_TC1-COD(2025)0022</w:t>
      </w:r>
    </w:p>
    <w:p w14:paraId="46616958" w14:textId="131FB4C8" w:rsidR="003D6211" w:rsidRDefault="003D6211" w:rsidP="003D6211">
      <w:pPr>
        <w:rPr>
          <w:b/>
          <w:szCs w:val="22"/>
          <w:lang w:eastAsia="en-US"/>
        </w:rPr>
      </w:pPr>
      <w:r>
        <w:rPr>
          <w:b/>
        </w:rPr>
        <w:t xml:space="preserve">Stanowisko Parlamentu Europejskiego </w:t>
      </w:r>
      <w:r w:rsidRPr="00291A00">
        <w:rPr>
          <w:b/>
        </w:rPr>
        <w:t xml:space="preserve">przyjęte w pierwszym czytaniu w dniu </w:t>
      </w:r>
      <w:r>
        <w:rPr>
          <w:b/>
        </w:rPr>
        <w:t>10 września 2025 r.</w:t>
      </w:r>
      <w:r w:rsidRPr="00291A00">
        <w:rPr>
          <w:b/>
        </w:rPr>
        <w:t xml:space="preserve"> </w:t>
      </w:r>
      <w:r w:rsidRPr="00741191">
        <w:rPr>
          <w:b/>
        </w:rPr>
        <w:t>w celu przyjęcia rozporządzenia Parlamentu Europ</w:t>
      </w:r>
      <w:r>
        <w:rPr>
          <w:b/>
        </w:rPr>
        <w:t>ejskiego i Rady (UE) 2025/...</w:t>
      </w:r>
      <w:r w:rsidRPr="00741191">
        <w:rPr>
          <w:b/>
        </w:rPr>
        <w:t xml:space="preserve"> </w:t>
      </w:r>
      <w:r w:rsidRPr="00D13B24">
        <w:rPr>
          <w:b/>
          <w:szCs w:val="22"/>
          <w:lang w:eastAsia="en-US"/>
        </w:rPr>
        <w:t>zmieniające</w:t>
      </w:r>
      <w:r>
        <w:rPr>
          <w:b/>
          <w:szCs w:val="22"/>
          <w:lang w:eastAsia="en-US"/>
        </w:rPr>
        <w:t>go</w:t>
      </w:r>
      <w:r w:rsidRPr="00D13B24">
        <w:rPr>
          <w:b/>
          <w:szCs w:val="22"/>
          <w:lang w:eastAsia="en-US"/>
        </w:rPr>
        <w:t xml:space="preserve"> rozporządzenie (UE) nr 909/2014 w odniesieniu do krótszego cyklu rozrachunku w Unii</w:t>
      </w:r>
    </w:p>
    <w:p w14:paraId="6992C264" w14:textId="77777777" w:rsidR="00DC1362" w:rsidRDefault="00DC1362" w:rsidP="003D6211">
      <w:pPr>
        <w:rPr>
          <w:b/>
          <w:szCs w:val="22"/>
          <w:lang w:eastAsia="en-US"/>
        </w:rPr>
      </w:pPr>
    </w:p>
    <w:p w14:paraId="157BC45A" w14:textId="157789A6" w:rsidR="00DC1362" w:rsidRPr="003D6211" w:rsidRDefault="00DC1362" w:rsidP="003D6211">
      <w:pPr>
        <w:rPr>
          <w:bCs/>
          <w:szCs w:val="24"/>
          <w:lang w:eastAsia="en-US"/>
        </w:rPr>
      </w:pPr>
      <w:r w:rsidRPr="0044243D">
        <w:rPr>
          <w:i/>
        </w:rPr>
        <w:t>(Jako że pomiędzy Parlamentem i Radą osiągnięte zostało porozumienie, stanowisko Parlamentu odpowiada ostatecznej wersji aktu prawnego</w:t>
      </w:r>
      <w:r>
        <w:rPr>
          <w:i/>
        </w:rPr>
        <w:t>, rozporządzenia (UE) 20</w:t>
      </w:r>
      <w:r>
        <w:rPr>
          <w:i/>
        </w:rPr>
        <w:t>25</w:t>
      </w:r>
      <w:r>
        <w:rPr>
          <w:i/>
        </w:rPr>
        <w:t>/</w:t>
      </w:r>
      <w:r>
        <w:rPr>
          <w:i/>
        </w:rPr>
        <w:t>2075</w:t>
      </w:r>
      <w:r>
        <w:rPr>
          <w:i/>
        </w:rPr>
        <w:t>.)</w:t>
      </w:r>
    </w:p>
    <w:sectPr w:rsidR="00DC1362" w:rsidRPr="003D6211" w:rsidSect="00E66B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524D" w14:textId="77777777" w:rsidR="00433851" w:rsidRPr="00E66B5F" w:rsidRDefault="00433851">
      <w:r w:rsidRPr="00E66B5F">
        <w:separator/>
      </w:r>
    </w:p>
  </w:endnote>
  <w:endnote w:type="continuationSeparator" w:id="0">
    <w:p w14:paraId="0D5ED9DC" w14:textId="77777777" w:rsidR="00433851" w:rsidRPr="00E66B5F" w:rsidRDefault="00433851">
      <w:r w:rsidRPr="00E66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35A0" w14:textId="77777777" w:rsidR="00064002" w:rsidRPr="00E66B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2D5EF" w14:textId="77777777" w:rsidR="00064002" w:rsidRPr="00E66B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FFFD2" w14:textId="77777777" w:rsidR="00064002" w:rsidRPr="00E66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0EEE0" w14:textId="77777777" w:rsidR="00433851" w:rsidRPr="00E66B5F" w:rsidRDefault="00433851">
      <w:r w:rsidRPr="00E66B5F">
        <w:separator/>
      </w:r>
    </w:p>
  </w:footnote>
  <w:footnote w:type="continuationSeparator" w:id="0">
    <w:p w14:paraId="0E60FA2E" w14:textId="77777777" w:rsidR="00433851" w:rsidRPr="00E66B5F" w:rsidRDefault="00433851">
      <w:r w:rsidRPr="00E66B5F">
        <w:continuationSeparator/>
      </w:r>
    </w:p>
  </w:footnote>
  <w:footnote w:id="1">
    <w:p w14:paraId="6F9D1321" w14:textId="02B08D7E" w:rsidR="004A1410" w:rsidRPr="00E66B5F" w:rsidRDefault="004A1410" w:rsidP="00EC714E">
      <w:pPr>
        <w:pStyle w:val="FootnoteText"/>
        <w:ind w:left="567" w:hanging="567"/>
        <w:rPr>
          <w:sz w:val="24"/>
          <w:lang w:val="pl-PL"/>
        </w:rPr>
      </w:pPr>
      <w:r w:rsidRPr="00E66B5F">
        <w:rPr>
          <w:rStyle w:val="FootnoteReference"/>
          <w:sz w:val="24"/>
          <w:lang w:val="pl-PL"/>
        </w:rPr>
        <w:footnoteRef/>
      </w:r>
      <w:r w:rsidR="00E66B5F" w:rsidRPr="00E66B5F">
        <w:rPr>
          <w:sz w:val="24"/>
          <w:lang w:val="pl-PL"/>
        </w:rPr>
        <w:t xml:space="preserve"> </w:t>
      </w:r>
      <w:r w:rsidR="00E66B5F" w:rsidRPr="00E66B5F">
        <w:rPr>
          <w:sz w:val="24"/>
          <w:lang w:val="pl-PL"/>
        </w:rPr>
        <w:tab/>
      </w:r>
      <w:r w:rsidRPr="00E66B5F">
        <w:rPr>
          <w:sz w:val="24"/>
          <w:lang w:val="pl-PL"/>
        </w:rPr>
        <w:t xml:space="preserve">Dz.U. C, C/2025/2274, </w:t>
      </w:r>
      <w:proofErr w:type="gramStart"/>
      <w:r w:rsidRPr="00E66B5F">
        <w:rPr>
          <w:sz w:val="24"/>
          <w:lang w:val="pl-PL"/>
        </w:rPr>
        <w:t>14.4.2025</w:t>
      </w:r>
      <w:proofErr w:type="gramEnd"/>
      <w:r w:rsidRPr="00E66B5F">
        <w:rPr>
          <w:sz w:val="24"/>
          <w:lang w:val="pl-PL"/>
        </w:rPr>
        <w:t>, ELI: </w:t>
      </w:r>
      <w:hyperlink r:id="rId1" w:tooltip="Dostęp do dokumentu poprzez identyfikator URI w systemie ELI." w:history="1">
        <w:r w:rsidRPr="00E66B5F">
          <w:rPr>
            <w:rStyle w:val="Hyperlink"/>
            <w:sz w:val="24"/>
            <w:lang w:val="pl-PL"/>
          </w:rPr>
          <w:t>http://data.europa.eu/eli/C/2025/2274/oj</w:t>
        </w:r>
      </w:hyperlink>
      <w:r w:rsidRPr="00E66B5F">
        <w:rPr>
          <w:sz w:val="24"/>
          <w:lang w:val="pl-PL"/>
        </w:rPr>
        <w:t>.</w:t>
      </w:r>
    </w:p>
  </w:footnote>
  <w:footnote w:id="2">
    <w:p w14:paraId="77F3C256" w14:textId="04045B3E" w:rsidR="004A1410" w:rsidRPr="00E66B5F" w:rsidRDefault="004A1410" w:rsidP="00EC714E">
      <w:pPr>
        <w:pStyle w:val="FootnoteText"/>
        <w:ind w:left="567" w:hanging="567"/>
        <w:rPr>
          <w:sz w:val="24"/>
          <w:lang w:val="pl-PL"/>
        </w:rPr>
      </w:pPr>
      <w:r w:rsidRPr="00A11C9A">
        <w:rPr>
          <w:rStyle w:val="FootnoteReference"/>
          <w:sz w:val="24"/>
          <w:lang w:val="pl-PL"/>
        </w:rPr>
        <w:footnoteRef/>
      </w:r>
      <w:r w:rsidR="00E66B5F" w:rsidRPr="00A11C9A">
        <w:rPr>
          <w:sz w:val="24"/>
          <w:lang w:val="pl-PL"/>
        </w:rPr>
        <w:t xml:space="preserve"> </w:t>
      </w:r>
      <w:r w:rsidR="00E66B5F" w:rsidRPr="00A11C9A">
        <w:rPr>
          <w:sz w:val="24"/>
          <w:lang w:val="pl-PL"/>
        </w:rPr>
        <w:tab/>
      </w:r>
      <w:r w:rsidR="00A11C9A" w:rsidRPr="00E66B5F">
        <w:rPr>
          <w:sz w:val="24"/>
          <w:lang w:val="pl-PL"/>
        </w:rPr>
        <w:t xml:space="preserve">Dz.U. </w:t>
      </w:r>
      <w:r w:rsidR="00A11C9A" w:rsidRPr="00146354">
        <w:rPr>
          <w:sz w:val="24"/>
          <w:lang w:val="pl-PL"/>
        </w:rPr>
        <w:t xml:space="preserve">C, C/2025/3203, </w:t>
      </w:r>
      <w:proofErr w:type="gramStart"/>
      <w:r w:rsidR="00A11C9A" w:rsidRPr="00146354">
        <w:rPr>
          <w:sz w:val="24"/>
          <w:lang w:val="pl-PL"/>
        </w:rPr>
        <w:t>2.7.2025</w:t>
      </w:r>
      <w:proofErr w:type="gramEnd"/>
      <w:r w:rsidR="00A11C9A" w:rsidRPr="00146354">
        <w:rPr>
          <w:sz w:val="24"/>
          <w:lang w:val="pl-PL"/>
        </w:rPr>
        <w:t>, ELI: </w:t>
      </w:r>
      <w:r w:rsidR="00DC1362">
        <w:fldChar w:fldCharType="begin"/>
      </w:r>
      <w:r w:rsidR="00DC1362" w:rsidRPr="00DC1362">
        <w:rPr>
          <w:lang w:val="pl-PL"/>
        </w:rPr>
        <w:instrText>HYPERLINK "http://data.europa.eu/eli/C/2025/3203/oj" \t "_blank" \o "Gives access to this document through its ELI URI."</w:instrText>
      </w:r>
      <w:r w:rsidR="00DC1362">
        <w:fldChar w:fldCharType="separate"/>
      </w:r>
      <w:r w:rsidR="00A11C9A" w:rsidRPr="00146354">
        <w:rPr>
          <w:rStyle w:val="Hyperlink"/>
          <w:sz w:val="24"/>
          <w:lang w:val="pl-PL"/>
        </w:rPr>
        <w:t>http://data.europa.eu/eli/C/2025/3203/oj</w:t>
      </w:r>
      <w:r w:rsidR="00DC1362">
        <w:rPr>
          <w:rStyle w:val="Hyperlink"/>
          <w:sz w:val="24"/>
          <w:lang w:val="pl-PL"/>
        </w:rPr>
        <w:fldChar w:fldCharType="end"/>
      </w:r>
      <w:r w:rsidRPr="00A11C9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DAFD" w14:textId="77777777" w:rsidR="00064002" w:rsidRPr="00E66B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CD30" w14:textId="77777777" w:rsidR="00064002" w:rsidRPr="00E66B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539AE" w14:textId="77777777" w:rsidR="00064002" w:rsidRPr="00E66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4713024">
    <w:abstractNumId w:val="9"/>
  </w:num>
  <w:num w:numId="2" w16cid:durableId="575866736">
    <w:abstractNumId w:val="9"/>
  </w:num>
  <w:num w:numId="3" w16cid:durableId="529221120">
    <w:abstractNumId w:val="7"/>
  </w:num>
  <w:num w:numId="4" w16cid:durableId="1895316407">
    <w:abstractNumId w:val="7"/>
  </w:num>
  <w:num w:numId="5" w16cid:durableId="1537280265">
    <w:abstractNumId w:val="6"/>
  </w:num>
  <w:num w:numId="6" w16cid:durableId="481317335">
    <w:abstractNumId w:val="6"/>
  </w:num>
  <w:num w:numId="7" w16cid:durableId="2015647237">
    <w:abstractNumId w:val="5"/>
  </w:num>
  <w:num w:numId="8" w16cid:durableId="1141993861">
    <w:abstractNumId w:val="5"/>
  </w:num>
  <w:num w:numId="9" w16cid:durableId="1593467626">
    <w:abstractNumId w:val="4"/>
  </w:num>
  <w:num w:numId="10" w16cid:durableId="1218668988">
    <w:abstractNumId w:val="4"/>
  </w:num>
  <w:num w:numId="11" w16cid:durableId="1339501653">
    <w:abstractNumId w:val="8"/>
  </w:num>
  <w:num w:numId="12" w16cid:durableId="275185869">
    <w:abstractNumId w:val="8"/>
  </w:num>
  <w:num w:numId="13" w16cid:durableId="1454593380">
    <w:abstractNumId w:val="3"/>
  </w:num>
  <w:num w:numId="14" w16cid:durableId="2047639380">
    <w:abstractNumId w:val="3"/>
  </w:num>
  <w:num w:numId="15" w16cid:durableId="1427187884">
    <w:abstractNumId w:val="2"/>
  </w:num>
  <w:num w:numId="16" w16cid:durableId="2146850570">
    <w:abstractNumId w:val="2"/>
  </w:num>
  <w:num w:numId="17" w16cid:durableId="588151179">
    <w:abstractNumId w:val="1"/>
  </w:num>
  <w:num w:numId="18" w16cid:durableId="2121684395">
    <w:abstractNumId w:val="1"/>
  </w:num>
  <w:num w:numId="19" w16cid:durableId="1043140464">
    <w:abstractNumId w:val="0"/>
  </w:num>
  <w:num w:numId="20" w16cid:durableId="679702640">
    <w:abstractNumId w:val="0"/>
  </w:num>
  <w:num w:numId="21" w16cid:durableId="217522713">
    <w:abstractNumId w:val="9"/>
  </w:num>
  <w:num w:numId="22" w16cid:durableId="386539401">
    <w:abstractNumId w:val="7"/>
  </w:num>
  <w:num w:numId="23" w16cid:durableId="162554211">
    <w:abstractNumId w:val="6"/>
  </w:num>
  <w:num w:numId="24" w16cid:durableId="1591543483">
    <w:abstractNumId w:val="5"/>
  </w:num>
  <w:num w:numId="25" w16cid:durableId="1030570956">
    <w:abstractNumId w:val="4"/>
  </w:num>
  <w:num w:numId="26" w16cid:durableId="1052998185">
    <w:abstractNumId w:val="8"/>
  </w:num>
  <w:num w:numId="27" w16cid:durableId="377899205">
    <w:abstractNumId w:val="3"/>
  </w:num>
  <w:num w:numId="28" w16cid:durableId="10125">
    <w:abstractNumId w:val="2"/>
  </w:num>
  <w:num w:numId="29" w16cid:durableId="995037242">
    <w:abstractNumId w:val="1"/>
  </w:num>
  <w:num w:numId="30" w16cid:durableId="1041325250">
    <w:abstractNumId w:val="0"/>
  </w:num>
  <w:num w:numId="31" w16cid:durableId="926423613">
    <w:abstractNumId w:val="9"/>
  </w:num>
  <w:num w:numId="32" w16cid:durableId="1307129150">
    <w:abstractNumId w:val="7"/>
  </w:num>
  <w:num w:numId="33" w16cid:durableId="778764948">
    <w:abstractNumId w:val="6"/>
  </w:num>
  <w:num w:numId="34" w16cid:durableId="849374751">
    <w:abstractNumId w:val="5"/>
  </w:num>
  <w:num w:numId="35" w16cid:durableId="1936326938">
    <w:abstractNumId w:val="4"/>
  </w:num>
  <w:num w:numId="36" w16cid:durableId="167208986">
    <w:abstractNumId w:val="8"/>
  </w:num>
  <w:num w:numId="37" w16cid:durableId="1299068603">
    <w:abstractNumId w:val="3"/>
  </w:num>
  <w:num w:numId="38" w16cid:durableId="851800234">
    <w:abstractNumId w:val="2"/>
  </w:num>
  <w:num w:numId="39" w16cid:durableId="2113474715">
    <w:abstractNumId w:val="1"/>
  </w:num>
  <w:num w:numId="40" w16cid:durableId="998388166">
    <w:abstractNumId w:val="0"/>
  </w:num>
  <w:num w:numId="41" w16cid:durableId="1320110507">
    <w:abstractNumId w:val="10"/>
  </w:num>
  <w:num w:numId="42" w16cid:durableId="408381714">
    <w:abstractNumId w:val="10"/>
  </w:num>
  <w:num w:numId="43" w16cid:durableId="885217737">
    <w:abstractNumId w:val="10"/>
  </w:num>
  <w:num w:numId="44" w16cid:durableId="407115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5/2025"/>
    <w:docVar w:name="dvlangue" w:val="PL"/>
    <w:docVar w:name="dvnumam" w:val="0"/>
    <w:docVar w:name="dvpe" w:val="770.091"/>
    <w:docVar w:name="dvrapporteur" w:val="Sprawozdawca: "/>
    <w:docVar w:name="dvstar" w:val="***I"/>
    <w:docVar w:name="dvtitre" w:val="Rezolucja ustawodawcza Parlamentu Europejskiego z dnia  2025 r. w sprawie wniosku dotyczącego rozporządzenia Parlamentu Europejskiego i Rady zmieniającego rozporządzenie (UE) nr 909/2014 w odniesieniu do krótszego cyklu rozrachunku w Unii(COM(2025)0038 – C10-0011/2025 – 2025/0022(COD))"/>
  </w:docVars>
  <w:rsids>
    <w:rsidRoot w:val="00433851"/>
    <w:rsid w:val="00002272"/>
    <w:rsid w:val="00064002"/>
    <w:rsid w:val="000677B9"/>
    <w:rsid w:val="000831BA"/>
    <w:rsid w:val="000960FE"/>
    <w:rsid w:val="000A42CC"/>
    <w:rsid w:val="000E7DD9"/>
    <w:rsid w:val="0010095E"/>
    <w:rsid w:val="00116E6C"/>
    <w:rsid w:val="00125B37"/>
    <w:rsid w:val="00146354"/>
    <w:rsid w:val="00187494"/>
    <w:rsid w:val="001A5AD6"/>
    <w:rsid w:val="001F32AE"/>
    <w:rsid w:val="002767FF"/>
    <w:rsid w:val="002B18FE"/>
    <w:rsid w:val="002B5493"/>
    <w:rsid w:val="00343214"/>
    <w:rsid w:val="00361C00"/>
    <w:rsid w:val="00395FA1"/>
    <w:rsid w:val="003D6211"/>
    <w:rsid w:val="003D7AE2"/>
    <w:rsid w:val="003E15D4"/>
    <w:rsid w:val="00411CCE"/>
    <w:rsid w:val="0041666E"/>
    <w:rsid w:val="00421060"/>
    <w:rsid w:val="00433851"/>
    <w:rsid w:val="00471C19"/>
    <w:rsid w:val="004867E3"/>
    <w:rsid w:val="00494A28"/>
    <w:rsid w:val="004A1410"/>
    <w:rsid w:val="004C0004"/>
    <w:rsid w:val="004C5D52"/>
    <w:rsid w:val="0050519A"/>
    <w:rsid w:val="005072A1"/>
    <w:rsid w:val="00514517"/>
    <w:rsid w:val="00545827"/>
    <w:rsid w:val="00560270"/>
    <w:rsid w:val="005C2568"/>
    <w:rsid w:val="005F1B17"/>
    <w:rsid w:val="006037C0"/>
    <w:rsid w:val="006631B6"/>
    <w:rsid w:val="00676BF3"/>
    <w:rsid w:val="00680577"/>
    <w:rsid w:val="006F74FA"/>
    <w:rsid w:val="00731ADD"/>
    <w:rsid w:val="00734777"/>
    <w:rsid w:val="00747932"/>
    <w:rsid w:val="00751A4A"/>
    <w:rsid w:val="00756632"/>
    <w:rsid w:val="00762C74"/>
    <w:rsid w:val="00786EC0"/>
    <w:rsid w:val="007D1690"/>
    <w:rsid w:val="007D3ED6"/>
    <w:rsid w:val="007E22AD"/>
    <w:rsid w:val="00817416"/>
    <w:rsid w:val="00842779"/>
    <w:rsid w:val="00865F67"/>
    <w:rsid w:val="00881A7B"/>
    <w:rsid w:val="008840E5"/>
    <w:rsid w:val="00887B3E"/>
    <w:rsid w:val="008C2AC6"/>
    <w:rsid w:val="00927FE3"/>
    <w:rsid w:val="00930C23"/>
    <w:rsid w:val="0093193B"/>
    <w:rsid w:val="009509D8"/>
    <w:rsid w:val="00950B64"/>
    <w:rsid w:val="00981893"/>
    <w:rsid w:val="00A11C9A"/>
    <w:rsid w:val="00A1687D"/>
    <w:rsid w:val="00A43E52"/>
    <w:rsid w:val="00A4678D"/>
    <w:rsid w:val="00A778C7"/>
    <w:rsid w:val="00AA3AD9"/>
    <w:rsid w:val="00AB441E"/>
    <w:rsid w:val="00AB6293"/>
    <w:rsid w:val="00AE0928"/>
    <w:rsid w:val="00AF3B82"/>
    <w:rsid w:val="00B12E95"/>
    <w:rsid w:val="00B22876"/>
    <w:rsid w:val="00B37907"/>
    <w:rsid w:val="00B558F0"/>
    <w:rsid w:val="00B5772F"/>
    <w:rsid w:val="00BD48FE"/>
    <w:rsid w:val="00BD7BD8"/>
    <w:rsid w:val="00BE6ADC"/>
    <w:rsid w:val="00C05BFE"/>
    <w:rsid w:val="00C23CD4"/>
    <w:rsid w:val="00C50B22"/>
    <w:rsid w:val="00C61C0C"/>
    <w:rsid w:val="00C941CB"/>
    <w:rsid w:val="00CC2357"/>
    <w:rsid w:val="00CF071A"/>
    <w:rsid w:val="00D058B8"/>
    <w:rsid w:val="00D56C11"/>
    <w:rsid w:val="00D64B16"/>
    <w:rsid w:val="00D834A0"/>
    <w:rsid w:val="00D872DF"/>
    <w:rsid w:val="00D91E21"/>
    <w:rsid w:val="00DA7FCD"/>
    <w:rsid w:val="00DC1362"/>
    <w:rsid w:val="00E365E1"/>
    <w:rsid w:val="00E66B5F"/>
    <w:rsid w:val="00E820A4"/>
    <w:rsid w:val="00EB006A"/>
    <w:rsid w:val="00EB4772"/>
    <w:rsid w:val="00EC714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C29D1"/>
  <w15:chartTrackingRefBased/>
  <w15:docId w15:val="{9DB26F9E-94E5-4399-A221-440F9144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14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1410"/>
    <w:pPr>
      <w:spacing w:before="480" w:after="240"/>
    </w:pPr>
  </w:style>
  <w:style w:type="paragraph" w:customStyle="1" w:styleId="PageHeading">
    <w:name w:val="PageHeading"/>
    <w:basedOn w:val="Normal"/>
    <w:rsid w:val="004A1410"/>
    <w:pPr>
      <w:keepNext/>
      <w:spacing w:after="480"/>
      <w:jc w:val="center"/>
    </w:pPr>
    <w:rPr>
      <w:rFonts w:ascii="Arial" w:hAnsi="Arial" w:cs="Arial"/>
      <w:b/>
    </w:rPr>
  </w:style>
  <w:style w:type="paragraph" w:customStyle="1" w:styleId="NormalBold">
    <w:name w:val="NormalBold"/>
    <w:basedOn w:val="Normal"/>
    <w:rsid w:val="004A1410"/>
    <w:rPr>
      <w:b/>
    </w:rPr>
  </w:style>
  <w:style w:type="paragraph" w:customStyle="1" w:styleId="NormalHanging12a">
    <w:name w:val="NormalHanging12a"/>
    <w:basedOn w:val="Normal"/>
    <w:rsid w:val="004A1410"/>
    <w:pPr>
      <w:spacing w:after="240"/>
      <w:ind w:left="567" w:hanging="567"/>
    </w:pPr>
  </w:style>
  <w:style w:type="paragraph" w:styleId="Header">
    <w:name w:val="header"/>
    <w:basedOn w:val="Normal"/>
    <w:link w:val="HeaderChar"/>
    <w:rsid w:val="004A1410"/>
    <w:pPr>
      <w:tabs>
        <w:tab w:val="center" w:pos="4513"/>
        <w:tab w:val="right" w:pos="9026"/>
      </w:tabs>
    </w:pPr>
  </w:style>
  <w:style w:type="character" w:customStyle="1" w:styleId="HeaderChar">
    <w:name w:val="Header Char"/>
    <w:basedOn w:val="DefaultParagraphFont"/>
    <w:link w:val="Header"/>
    <w:rsid w:val="004A1410"/>
    <w:rPr>
      <w:sz w:val="24"/>
      <w:lang w:val="pl-PL"/>
    </w:rPr>
  </w:style>
  <w:style w:type="paragraph" w:customStyle="1" w:styleId="AmNumberTabs">
    <w:name w:val="AmNumberTabs"/>
    <w:basedOn w:val="Normal"/>
    <w:rsid w:val="004A14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A141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4A1410"/>
    <w:rPr>
      <w:color w:val="0563C1" w:themeColor="hyperlink"/>
      <w:u w:val="single"/>
    </w:rPr>
  </w:style>
  <w:style w:type="paragraph" w:customStyle="1" w:styleId="ManualConsidrant">
    <w:name w:val="Manual Considérant"/>
    <w:basedOn w:val="Normal"/>
    <w:rsid w:val="004A1410"/>
    <w:pPr>
      <w:widowControl/>
      <w:spacing w:before="120" w:after="120"/>
      <w:ind w:left="709" w:hanging="709"/>
      <w:jc w:val="both"/>
    </w:pPr>
    <w:rPr>
      <w:rFonts w:eastAsiaTheme="minorHAnsi"/>
      <w:szCs w:val="22"/>
      <w:lang w:eastAsia="en-US"/>
    </w:rPr>
  </w:style>
  <w:style w:type="paragraph" w:customStyle="1" w:styleId="Normal12a">
    <w:name w:val="Normal12a"/>
    <w:basedOn w:val="Normal"/>
    <w:rsid w:val="004A1410"/>
    <w:pPr>
      <w:spacing w:after="240"/>
    </w:pPr>
  </w:style>
  <w:style w:type="character" w:customStyle="1" w:styleId="normaltextrun">
    <w:name w:val="normaltextrun"/>
    <w:basedOn w:val="DefaultParagraphFont"/>
    <w:rsid w:val="004A1410"/>
  </w:style>
  <w:style w:type="paragraph" w:styleId="CommentText">
    <w:name w:val="annotation text"/>
    <w:basedOn w:val="Normal"/>
    <w:link w:val="CommentTextChar"/>
    <w:uiPriority w:val="99"/>
    <w:unhideWhenUsed/>
    <w:rsid w:val="004A1410"/>
    <w:rPr>
      <w:sz w:val="20"/>
    </w:rPr>
  </w:style>
  <w:style w:type="character" w:customStyle="1" w:styleId="CommentTextChar">
    <w:name w:val="Comment Text Char"/>
    <w:basedOn w:val="DefaultParagraphFont"/>
    <w:link w:val="CommentText"/>
    <w:uiPriority w:val="99"/>
    <w:rsid w:val="004A1410"/>
    <w:rPr>
      <w:lang w:val="pl-PL"/>
    </w:rPr>
  </w:style>
  <w:style w:type="character" w:styleId="UnresolvedMention">
    <w:name w:val="Unresolved Mention"/>
    <w:basedOn w:val="DefaultParagraphFont"/>
    <w:uiPriority w:val="99"/>
    <w:semiHidden/>
    <w:unhideWhenUsed/>
    <w:rsid w:val="00A11C9A"/>
    <w:rPr>
      <w:color w:val="605E5C"/>
      <w:shd w:val="clear" w:color="auto" w:fill="E1DFDD"/>
    </w:rPr>
  </w:style>
  <w:style w:type="paragraph" w:styleId="Footer">
    <w:name w:val="footer"/>
    <w:basedOn w:val="Normal"/>
    <w:link w:val="FooterChar"/>
    <w:rsid w:val="00C50B22"/>
    <w:pPr>
      <w:tabs>
        <w:tab w:val="center" w:pos="4513"/>
        <w:tab w:val="right" w:pos="9026"/>
      </w:tabs>
    </w:pPr>
  </w:style>
  <w:style w:type="character" w:customStyle="1" w:styleId="FooterChar">
    <w:name w:val="Footer Char"/>
    <w:basedOn w:val="DefaultParagraphFont"/>
    <w:link w:val="Footer"/>
    <w:rsid w:val="00C50B22"/>
    <w:rPr>
      <w:sz w:val="24"/>
      <w:lang w:val="pl-PL"/>
    </w:rPr>
  </w:style>
  <w:style w:type="paragraph" w:customStyle="1" w:styleId="FootnoteTextForceStyle">
    <w:name w:val="Footnote Text ForceStyle"/>
    <w:rsid w:val="003D6211"/>
    <w:pPr>
      <w:keepLines/>
      <w:widowControl w:val="0"/>
      <w:spacing w:line="240" w:lineRule="exact"/>
      <w:ind w:left="850" w:hanging="850"/>
    </w:pPr>
    <w:rPr>
      <w:sz w:val="24"/>
      <w:lang w:val="pl-PL" w:eastAsia="en-US"/>
    </w:rPr>
  </w:style>
  <w:style w:type="paragraph" w:customStyle="1" w:styleId="Default">
    <w:name w:val="Default"/>
    <w:rsid w:val="003D621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284</Words>
  <Characters>2167</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2025-10-31T10:24:00Z</dcterms:created>
  <dcterms:modified xsi:type="dcterms:W3CDTF">2025-10-31T10:24:00Z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P10_TA(2025)0179_</vt:lpwstr>
  </property>
  <property fmtid="{D5CDD505-2E9C-101B-9397-08002B2CF9AE}" pid="4" name="&lt;Type&gt;">
    <vt:lpwstr>RR</vt:lpwstr>
  </property>
</Properties>
</file>