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51C0" w14:paraId="594188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D0592E" w14:textId="77777777" w:rsidR="00751A4A" w:rsidRPr="003351C0" w:rsidRDefault="009907BB" w:rsidP="0010095E">
            <w:pPr>
              <w:pStyle w:val="EPName"/>
            </w:pPr>
            <w:r w:rsidRPr="003351C0">
              <w:t xml:space="preserve">Parlamento </w:t>
            </w:r>
            <w:proofErr w:type="gramStart"/>
            <w:r w:rsidRPr="003351C0">
              <w:t>Europeu</w:t>
            </w:r>
            <w:proofErr w:type="gramEnd"/>
          </w:p>
          <w:p w14:paraId="2DFA0A69" w14:textId="77777777" w:rsidR="00751A4A" w:rsidRPr="003351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51C0">
              <w:t>2024</w:t>
            </w:r>
            <w:r w:rsidR="00817416" w:rsidRPr="003351C0">
              <w:t>-202</w:t>
            </w:r>
            <w:r w:rsidRPr="003351C0">
              <w:t>9</w:t>
            </w:r>
          </w:p>
        </w:tc>
        <w:tc>
          <w:tcPr>
            <w:tcW w:w="2268" w:type="dxa"/>
            <w:shd w:val="clear" w:color="auto" w:fill="auto"/>
          </w:tcPr>
          <w:p w14:paraId="6C6E29AB" w14:textId="77777777" w:rsidR="00751A4A" w:rsidRPr="003351C0" w:rsidRDefault="00187494" w:rsidP="0010095E">
            <w:pPr>
              <w:pStyle w:val="EPLogo"/>
            </w:pPr>
            <w:r w:rsidRPr="003351C0">
              <w:rPr>
                <w:noProof/>
                <w:lang w:eastAsia="ja-JP"/>
              </w:rPr>
              <w:drawing>
                <wp:inline distT="0" distB="0" distL="0" distR="0" wp14:anchorId="48F0E296" wp14:editId="5C3165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2E8CB1" w14:textId="77777777" w:rsidR="00D058B8" w:rsidRPr="003351C0" w:rsidRDefault="00D058B8" w:rsidP="004C5D52">
      <w:pPr>
        <w:pStyle w:val="LineTop"/>
      </w:pPr>
    </w:p>
    <w:p w14:paraId="0ED83CAB" w14:textId="77777777" w:rsidR="00680577" w:rsidRPr="003351C0" w:rsidRDefault="009907BB" w:rsidP="00680577">
      <w:pPr>
        <w:pStyle w:val="EPBodyTA1"/>
      </w:pPr>
      <w:r w:rsidRPr="003351C0">
        <w:t>TEXTOS APROVADOS</w:t>
      </w:r>
    </w:p>
    <w:p w14:paraId="189C21D9" w14:textId="77777777" w:rsidR="00D058B8" w:rsidRPr="003351C0" w:rsidRDefault="00D058B8" w:rsidP="00D058B8">
      <w:pPr>
        <w:pStyle w:val="LineBottom"/>
      </w:pPr>
    </w:p>
    <w:p w14:paraId="38CB3E60" w14:textId="0B742692" w:rsidR="009907BB" w:rsidRPr="003351C0" w:rsidRDefault="009907BB" w:rsidP="009907BB">
      <w:pPr>
        <w:pStyle w:val="ATHeading1"/>
      </w:pPr>
      <w:bookmarkStart w:id="0" w:name="TANumber"/>
      <w:r w:rsidRPr="003351C0">
        <w:t>P10_TA(2025)</w:t>
      </w:r>
      <w:bookmarkEnd w:id="0"/>
      <w:r w:rsidR="003351C0" w:rsidRPr="003351C0">
        <w:t>0179</w:t>
      </w:r>
    </w:p>
    <w:p w14:paraId="6824B9B8" w14:textId="77777777" w:rsidR="009907BB" w:rsidRPr="003351C0" w:rsidRDefault="009907BB" w:rsidP="009907BB">
      <w:pPr>
        <w:pStyle w:val="ATHeading2"/>
      </w:pPr>
      <w:bookmarkStart w:id="1" w:name="title"/>
      <w:r w:rsidRPr="003351C0">
        <w:t>Liquidação de valores mobiliários na UE e centrais de valores mobiliários: ciclo de liquidação mais curto na União</w:t>
      </w:r>
      <w:bookmarkEnd w:id="1"/>
    </w:p>
    <w:p w14:paraId="63F5C7AB" w14:textId="77777777" w:rsidR="009907BB" w:rsidRPr="003351C0" w:rsidRDefault="009907BB" w:rsidP="009907BB">
      <w:pPr>
        <w:rPr>
          <w:i/>
          <w:vanish/>
        </w:rPr>
      </w:pPr>
      <w:r w:rsidRPr="003351C0">
        <w:rPr>
          <w:i/>
        </w:rPr>
        <w:fldChar w:fldCharType="begin"/>
      </w:r>
      <w:r w:rsidRPr="003351C0">
        <w:rPr>
          <w:i/>
        </w:rPr>
        <w:instrText xml:space="preserve"> TC"(</w:instrText>
      </w:r>
      <w:bookmarkStart w:id="2" w:name="DocNumber"/>
      <w:r w:rsidRPr="003351C0">
        <w:rPr>
          <w:i/>
        </w:rPr>
        <w:instrText>A10-0095/2025</w:instrText>
      </w:r>
      <w:bookmarkEnd w:id="2"/>
      <w:r w:rsidRPr="003351C0">
        <w:rPr>
          <w:i/>
        </w:rPr>
        <w:instrText xml:space="preserve"> - Relator: Johan Van Overtveldt)"\l3 \n&gt; \* MERGEFORMAT </w:instrText>
      </w:r>
      <w:r w:rsidRPr="003351C0">
        <w:rPr>
          <w:i/>
        </w:rPr>
        <w:fldChar w:fldCharType="end"/>
      </w:r>
    </w:p>
    <w:p w14:paraId="66F9E6AD" w14:textId="77777777" w:rsidR="009907BB" w:rsidRPr="003351C0" w:rsidRDefault="009907BB" w:rsidP="009907BB">
      <w:pPr>
        <w:rPr>
          <w:vanish/>
        </w:rPr>
      </w:pPr>
      <w:bookmarkStart w:id="3" w:name="Commission"/>
      <w:r w:rsidRPr="003351C0">
        <w:rPr>
          <w:vanish/>
        </w:rPr>
        <w:t>Comissão dos Assuntos Económicos e Monetários</w:t>
      </w:r>
      <w:bookmarkEnd w:id="3"/>
    </w:p>
    <w:p w14:paraId="1C1368D8" w14:textId="77777777" w:rsidR="009907BB" w:rsidRPr="003351C0" w:rsidRDefault="009907BB" w:rsidP="009907BB">
      <w:pPr>
        <w:rPr>
          <w:vanish/>
        </w:rPr>
      </w:pPr>
      <w:bookmarkStart w:id="4" w:name="PE"/>
      <w:r w:rsidRPr="003351C0">
        <w:rPr>
          <w:vanish/>
        </w:rPr>
        <w:t>PE770.091</w:t>
      </w:r>
      <w:bookmarkEnd w:id="4"/>
    </w:p>
    <w:p w14:paraId="25D53FA7" w14:textId="17C6076B" w:rsidR="009907BB" w:rsidRPr="003351C0" w:rsidRDefault="009907BB" w:rsidP="009907BB">
      <w:pPr>
        <w:pStyle w:val="ATHeading3"/>
      </w:pPr>
      <w:bookmarkStart w:id="5" w:name="Sujet"/>
      <w:r w:rsidRPr="003351C0">
        <w:t xml:space="preserve">Resolução legislativa do Parlamento Europeu, de </w:t>
      </w:r>
      <w:r w:rsidR="00A85CA6" w:rsidRPr="003351C0">
        <w:t>10</w:t>
      </w:r>
      <w:r w:rsidRPr="003351C0">
        <w:t xml:space="preserve"> de </w:t>
      </w:r>
      <w:r w:rsidR="00A85CA6" w:rsidRPr="003351C0">
        <w:t>setembro</w:t>
      </w:r>
      <w:r w:rsidRPr="003351C0">
        <w:t xml:space="preserve"> de 2025, sobre a proposta de regulamento do Parlamento Europeu e do Conselho que altera o Regulamento (UE) n.º 909/2014 no respeitante a um ciclo de liquidação mais curto na União</w:t>
      </w:r>
      <w:bookmarkEnd w:id="5"/>
      <w:r w:rsidRPr="003351C0">
        <w:t xml:space="preserve"> </w:t>
      </w:r>
      <w:bookmarkStart w:id="6" w:name="References"/>
      <w:r w:rsidRPr="003351C0">
        <w:t>(COM(2025)0038 – C10-0011/2025 – 2025/0022(COD))</w:t>
      </w:r>
      <w:bookmarkEnd w:id="6"/>
    </w:p>
    <w:p w14:paraId="703D3E64" w14:textId="77777777" w:rsidR="002B55B3" w:rsidRPr="003351C0" w:rsidRDefault="002B55B3" w:rsidP="002B55B3">
      <w:pPr>
        <w:pStyle w:val="NormalBold"/>
      </w:pPr>
      <w:bookmarkStart w:id="7" w:name="TextBodyBegin"/>
      <w:bookmarkEnd w:id="7"/>
      <w:r w:rsidRPr="003351C0">
        <w:t>(Processo legislativo ordinário: primeira leitura)</w:t>
      </w:r>
    </w:p>
    <w:p w14:paraId="788F6FF2" w14:textId="77777777" w:rsidR="002B55B3" w:rsidRPr="003351C0" w:rsidRDefault="002B55B3" w:rsidP="002B55B3">
      <w:pPr>
        <w:pStyle w:val="EPComma"/>
      </w:pPr>
      <w:r w:rsidRPr="003351C0">
        <w:rPr>
          <w:i/>
          <w:iCs/>
        </w:rPr>
        <w:t>O Parlamento Europeu</w:t>
      </w:r>
      <w:r w:rsidRPr="003351C0">
        <w:t>,</w:t>
      </w:r>
    </w:p>
    <w:p w14:paraId="31C68D3A" w14:textId="77777777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a proposta da Comissão ao Parlamento e ao Conselho (COM(2025)0038),</w:t>
      </w:r>
    </w:p>
    <w:p w14:paraId="2924BCB8" w14:textId="77777777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o artigo 294.º, n.º 2, e o artigo 114.º do Tratado sobre o Funcionamento da União Europeia, nos termos dos quais a proposta lhe foi apresentada pela Comissão (C10</w:t>
      </w:r>
      <w:r w:rsidRPr="003351C0">
        <w:noBreakHyphen/>
        <w:t>0011/2025),</w:t>
      </w:r>
    </w:p>
    <w:p w14:paraId="01689FBC" w14:textId="77777777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o artigo 294.º, n.º 3, do Tratado sobre o Funcionamento da União Europeia,</w:t>
      </w:r>
    </w:p>
    <w:p w14:paraId="25C4AE50" w14:textId="7BE46CA1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o parecer do Banco Central Europeu</w:t>
      </w:r>
      <w:r w:rsidR="00DC4FCF" w:rsidRPr="003351C0">
        <w:t>,</w:t>
      </w:r>
      <w:r w:rsidRPr="003351C0">
        <w:t xml:space="preserve"> de 31 de março de 2025</w:t>
      </w:r>
      <w:r w:rsidRPr="003351C0">
        <w:rPr>
          <w:rStyle w:val="FootnoteReference"/>
        </w:rPr>
        <w:footnoteReference w:id="1"/>
      </w:r>
      <w:r w:rsidRPr="003351C0">
        <w:t>,</w:t>
      </w:r>
    </w:p>
    <w:p w14:paraId="056003B1" w14:textId="1CAAFA2A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o parecer do Comité Económico e Social Europeu</w:t>
      </w:r>
      <w:r w:rsidR="00DC4FCF" w:rsidRPr="003351C0">
        <w:t>,</w:t>
      </w:r>
      <w:r w:rsidRPr="003351C0">
        <w:t xml:space="preserve"> de 30 de abril de 2025</w:t>
      </w:r>
      <w:r w:rsidRPr="003351C0">
        <w:rPr>
          <w:rStyle w:val="FootnoteReference"/>
        </w:rPr>
        <w:footnoteReference w:id="2"/>
      </w:r>
      <w:r w:rsidRPr="003351C0">
        <w:t>,</w:t>
      </w:r>
    </w:p>
    <w:p w14:paraId="1A3FE2FF" w14:textId="64796C9E" w:rsidR="0098508C" w:rsidRPr="003351C0" w:rsidRDefault="0098508C" w:rsidP="0058107A">
      <w:pPr>
        <w:pStyle w:val="NormalHanging12a"/>
        <w:widowControl/>
      </w:pPr>
      <w:r w:rsidRPr="003351C0">
        <w:t>–</w:t>
      </w:r>
      <w:r w:rsidRPr="003351C0">
        <w:tab/>
      </w:r>
      <w:r w:rsidR="006265D2" w:rsidRPr="003351C0">
        <w:t>Tendo em conta o acordo provisório aprovado pela comissão competente, nos termos do artigo 75.º, n.º 4, do seu Regimento, e o compromisso assumido pelo representante do Conselho, em carta de 27 de junho de 2025, de aprovar a posição do Parlamento, nos termos do artigo 294.º, n.º 4, do Tratado sobre o Funcionamento da União Europeia,</w:t>
      </w:r>
    </w:p>
    <w:p w14:paraId="4F7A46FF" w14:textId="77777777" w:rsidR="002B55B3" w:rsidRPr="003351C0" w:rsidRDefault="002B55B3" w:rsidP="0058107A">
      <w:pPr>
        <w:pStyle w:val="NormalHanging12a"/>
        <w:widowControl/>
      </w:pPr>
      <w:r w:rsidRPr="003351C0">
        <w:t>–</w:t>
      </w:r>
      <w:r w:rsidRPr="003351C0">
        <w:tab/>
        <w:t>Tendo em conta o artigo 60.º do seu Regimento,</w:t>
      </w:r>
    </w:p>
    <w:p w14:paraId="210294D8" w14:textId="77777777" w:rsidR="002B55B3" w:rsidRPr="003351C0" w:rsidRDefault="002B55B3" w:rsidP="0058107A">
      <w:pPr>
        <w:pStyle w:val="NormalHanging12a"/>
        <w:widowControl/>
      </w:pPr>
      <w:r w:rsidRPr="003351C0">
        <w:lastRenderedPageBreak/>
        <w:t>–</w:t>
      </w:r>
      <w:r w:rsidRPr="003351C0">
        <w:tab/>
        <w:t>Tendo em conta o relatório da Comissão dos Assuntos Económicos e Monetários (A10</w:t>
      </w:r>
      <w:r w:rsidRPr="003351C0">
        <w:noBreakHyphen/>
        <w:t>0095/2025),</w:t>
      </w:r>
    </w:p>
    <w:p w14:paraId="7B14E959" w14:textId="77777777" w:rsidR="002B55B3" w:rsidRPr="003351C0" w:rsidRDefault="002B55B3" w:rsidP="0058107A">
      <w:pPr>
        <w:pStyle w:val="NormalHanging12a"/>
        <w:widowControl/>
      </w:pPr>
      <w:r w:rsidRPr="003351C0">
        <w:t>1.</w:t>
      </w:r>
      <w:r w:rsidRPr="003351C0">
        <w:tab/>
        <w:t>Aprova a posição em primeira leitura que se segue;</w:t>
      </w:r>
    </w:p>
    <w:p w14:paraId="6C48F517" w14:textId="77777777" w:rsidR="002B55B3" w:rsidRPr="003351C0" w:rsidRDefault="002B55B3" w:rsidP="0058107A">
      <w:pPr>
        <w:widowControl/>
        <w:tabs>
          <w:tab w:val="left" w:pos="-774"/>
          <w:tab w:val="left" w:pos="-114"/>
        </w:tabs>
        <w:spacing w:after="240"/>
        <w:ind w:left="567" w:hanging="567"/>
      </w:pPr>
      <w:r w:rsidRPr="003351C0">
        <w:t>2.</w:t>
      </w:r>
      <w:r w:rsidRPr="003351C0">
        <w:tab/>
        <w:t>Requer à Comissão que lhe submeta de novo a sua proposta se a substituir, se a alterar substancialmente ou se pretender alterá</w:t>
      </w:r>
      <w:r w:rsidRPr="003351C0">
        <w:noBreakHyphen/>
        <w:t>la substancialmente;</w:t>
      </w:r>
    </w:p>
    <w:p w14:paraId="45EF53A3" w14:textId="77777777" w:rsidR="002B55B3" w:rsidRPr="003351C0" w:rsidRDefault="002B55B3" w:rsidP="0058107A">
      <w:pPr>
        <w:widowControl/>
        <w:spacing w:after="240"/>
        <w:ind w:left="567" w:hanging="567"/>
      </w:pPr>
      <w:r w:rsidRPr="003351C0">
        <w:t>3.</w:t>
      </w:r>
      <w:r w:rsidRPr="003351C0">
        <w:tab/>
        <w:t>Encarrega a sua Presidente de transmitir a posição do Parlamento ao Conselho, à Comissão e aos parlamentos nacionais.</w:t>
      </w:r>
    </w:p>
    <w:p w14:paraId="3002A902" w14:textId="77777777" w:rsidR="0098508C" w:rsidRPr="003351C0" w:rsidRDefault="0098508C" w:rsidP="0058107A">
      <w:pPr>
        <w:widowControl/>
        <w:spacing w:after="240"/>
        <w:ind w:left="567" w:hanging="567"/>
      </w:pPr>
    </w:p>
    <w:p w14:paraId="6A894F94" w14:textId="77777777" w:rsidR="0098508C" w:rsidRPr="003351C0" w:rsidRDefault="0098508C" w:rsidP="0058107A">
      <w:pPr>
        <w:widowControl/>
        <w:spacing w:after="240"/>
        <w:ind w:left="567" w:hanging="567"/>
        <w:sectPr w:rsidR="0098508C" w:rsidRPr="003351C0" w:rsidSect="003144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FE55993" w14:textId="5FC3E140" w:rsidR="0098508C" w:rsidRPr="003351C0" w:rsidRDefault="0098508C" w:rsidP="0098508C">
      <w:pPr>
        <w:spacing w:after="240"/>
        <w:rPr>
          <w:b/>
          <w:bCs/>
        </w:rPr>
      </w:pPr>
      <w:r w:rsidRPr="003351C0">
        <w:rPr>
          <w:b/>
          <w:bCs/>
        </w:rPr>
        <w:lastRenderedPageBreak/>
        <w:t>P10_TC1-COD(2025)0022</w:t>
      </w:r>
    </w:p>
    <w:p w14:paraId="7EB7C8D9" w14:textId="1B7FC56B" w:rsidR="0097764A" w:rsidRDefault="0098508C" w:rsidP="002A6E8C">
      <w:pPr>
        <w:spacing w:after="240"/>
        <w:rPr>
          <w:b/>
          <w:color w:val="000000"/>
          <w:szCs w:val="22"/>
          <w:lang w:eastAsia="en-US"/>
        </w:rPr>
      </w:pPr>
      <w:r w:rsidRPr="003351C0">
        <w:rPr>
          <w:b/>
          <w:bCs/>
        </w:rPr>
        <w:t>Posição do Parlamento Europeu aprovada em primeira leitura em 10 de setembro de 2025 tendo em vista a adoção do</w:t>
      </w:r>
      <w:r w:rsidR="002A6E8C" w:rsidRPr="003351C0">
        <w:t xml:space="preserve"> </w:t>
      </w:r>
      <w:r w:rsidR="002A6E8C" w:rsidRPr="003351C0">
        <w:rPr>
          <w:b/>
          <w:bCs/>
        </w:rPr>
        <w:t>Regulamento (UE) 2025/…</w:t>
      </w:r>
      <w:r w:rsidR="00BA1FF4" w:rsidRPr="003351C0">
        <w:rPr>
          <w:b/>
          <w:bCs/>
        </w:rPr>
        <w:t xml:space="preserve"> </w:t>
      </w:r>
      <w:r w:rsidR="002A6E8C" w:rsidRPr="003351C0">
        <w:rPr>
          <w:b/>
          <w:bCs/>
        </w:rPr>
        <w:t xml:space="preserve">do Parlamento Europeu e do Conselho que altera o </w:t>
      </w:r>
      <w:r w:rsidR="0097764A" w:rsidRPr="003351C0">
        <w:rPr>
          <w:b/>
          <w:color w:val="000000"/>
          <w:szCs w:val="22"/>
          <w:lang w:eastAsia="en-US"/>
        </w:rPr>
        <w:t>Regulamento (UE) n.º 909/2014 no respeitante a um ciclo de liquidação mais curto na União</w:t>
      </w:r>
    </w:p>
    <w:p w14:paraId="75430AA0" w14:textId="73929EAE" w:rsidR="00872BE3" w:rsidRPr="00872BE3" w:rsidRDefault="00872BE3" w:rsidP="002A6E8C">
      <w:pPr>
        <w:spacing w:after="240"/>
        <w:rPr>
          <w:bCs/>
          <w:i/>
          <w:iCs/>
          <w:color w:val="000000"/>
          <w:szCs w:val="24"/>
          <w:lang w:eastAsia="en-US"/>
        </w:rPr>
      </w:pPr>
      <w:r w:rsidRPr="00872BE3">
        <w:rPr>
          <w:bCs/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bCs/>
          <w:i/>
          <w:iCs/>
          <w:color w:val="000000"/>
          <w:szCs w:val="24"/>
          <w:lang w:eastAsia="en-US"/>
        </w:rPr>
        <w:t xml:space="preserve"> </w:t>
      </w:r>
      <w:r w:rsidRPr="00872BE3">
        <w:rPr>
          <w:bCs/>
          <w:i/>
          <w:iCs/>
          <w:color w:val="000000"/>
          <w:szCs w:val="24"/>
          <w:lang w:eastAsia="en-US"/>
        </w:rPr>
        <w:t>(UE) 2025/</w:t>
      </w:r>
      <w:r>
        <w:rPr>
          <w:bCs/>
          <w:i/>
          <w:iCs/>
          <w:color w:val="000000"/>
          <w:szCs w:val="24"/>
          <w:lang w:eastAsia="en-US"/>
        </w:rPr>
        <w:t>2075</w:t>
      </w:r>
      <w:r w:rsidRPr="00872BE3">
        <w:rPr>
          <w:bCs/>
          <w:i/>
          <w:iCs/>
          <w:color w:val="000000"/>
          <w:szCs w:val="24"/>
          <w:lang w:eastAsia="en-US"/>
        </w:rPr>
        <w:t>.)</w:t>
      </w:r>
    </w:p>
    <w:sectPr w:rsidR="00872BE3" w:rsidRPr="00872BE3" w:rsidSect="003144F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39D25" w14:textId="77777777" w:rsidR="009907BB" w:rsidRPr="003144F8" w:rsidRDefault="009907BB">
      <w:r w:rsidRPr="003144F8">
        <w:separator/>
      </w:r>
    </w:p>
  </w:endnote>
  <w:endnote w:type="continuationSeparator" w:id="0">
    <w:p w14:paraId="33CDCDD6" w14:textId="77777777" w:rsidR="009907BB" w:rsidRPr="003144F8" w:rsidRDefault="009907BB">
      <w:r w:rsidRPr="003144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804FD" w14:textId="77777777" w:rsidR="00064002" w:rsidRPr="003144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45151" w14:textId="77777777" w:rsidR="00064002" w:rsidRPr="003144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21F8" w14:textId="77777777" w:rsidR="00064002" w:rsidRPr="003144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8C714" w14:textId="77777777" w:rsidR="009907BB" w:rsidRPr="003144F8" w:rsidRDefault="009907BB">
      <w:r w:rsidRPr="003144F8">
        <w:separator/>
      </w:r>
    </w:p>
  </w:footnote>
  <w:footnote w:type="continuationSeparator" w:id="0">
    <w:p w14:paraId="41968CE6" w14:textId="77777777" w:rsidR="009907BB" w:rsidRPr="003144F8" w:rsidRDefault="009907BB">
      <w:r w:rsidRPr="003144F8">
        <w:continuationSeparator/>
      </w:r>
    </w:p>
  </w:footnote>
  <w:footnote w:id="1">
    <w:p w14:paraId="3D0191CC" w14:textId="044711C1" w:rsidR="002B55B3" w:rsidRPr="00A85CA6" w:rsidRDefault="002B55B3" w:rsidP="003144F8">
      <w:pPr>
        <w:pStyle w:val="FootnoteText"/>
        <w:ind w:left="567" w:hanging="567"/>
        <w:rPr>
          <w:sz w:val="24"/>
          <w:lang w:val="fi-FI"/>
        </w:rPr>
      </w:pPr>
      <w:r w:rsidRPr="003144F8">
        <w:rPr>
          <w:rStyle w:val="FootnoteReference"/>
          <w:sz w:val="24"/>
          <w:lang w:val="pt-PT"/>
        </w:rPr>
        <w:footnoteRef/>
      </w:r>
      <w:r w:rsidR="003144F8" w:rsidRPr="00A85CA6">
        <w:rPr>
          <w:sz w:val="24"/>
          <w:lang w:val="fi-FI"/>
        </w:rPr>
        <w:t xml:space="preserve"> </w:t>
      </w:r>
      <w:r w:rsidR="003144F8" w:rsidRPr="00A85CA6">
        <w:rPr>
          <w:sz w:val="24"/>
          <w:lang w:val="fi-FI"/>
        </w:rPr>
        <w:tab/>
      </w:r>
      <w:r w:rsidRPr="00A85CA6">
        <w:rPr>
          <w:sz w:val="24"/>
          <w:lang w:val="fi-FI"/>
        </w:rPr>
        <w:t>JO C, C/2025/2274, 14.4.2025, ELI: </w:t>
      </w:r>
      <w:hyperlink r:id="rId1" w:tooltip="Dá acesso ao presente documento através do respetivo URI do ELI." w:history="1">
        <w:r w:rsidRPr="00A85CA6">
          <w:rPr>
            <w:rStyle w:val="Hyperlink"/>
            <w:sz w:val="24"/>
            <w:lang w:val="fi-FI"/>
          </w:rPr>
          <w:t>http://data.europa.eu/eli/C/2025/2274/oj</w:t>
        </w:r>
      </w:hyperlink>
      <w:r w:rsidRPr="00A85CA6">
        <w:rPr>
          <w:sz w:val="24"/>
          <w:lang w:val="fi-FI"/>
        </w:rPr>
        <w:t>.</w:t>
      </w:r>
    </w:p>
  </w:footnote>
  <w:footnote w:id="2">
    <w:p w14:paraId="00431E1F" w14:textId="157265F5" w:rsidR="002B55B3" w:rsidRPr="003351C0" w:rsidRDefault="002B55B3" w:rsidP="003144F8">
      <w:pPr>
        <w:pStyle w:val="FootnoteText"/>
        <w:ind w:left="567" w:hanging="567"/>
        <w:rPr>
          <w:sz w:val="24"/>
          <w:lang w:val="fi-FI"/>
        </w:rPr>
      </w:pPr>
      <w:r w:rsidRPr="003144F8">
        <w:rPr>
          <w:rStyle w:val="FootnoteReference"/>
          <w:sz w:val="24"/>
          <w:lang w:val="pt-PT"/>
        </w:rPr>
        <w:footnoteRef/>
      </w:r>
      <w:r w:rsidR="003144F8" w:rsidRPr="003351C0">
        <w:rPr>
          <w:sz w:val="24"/>
          <w:lang w:val="fi-FI"/>
        </w:rPr>
        <w:t xml:space="preserve"> </w:t>
      </w:r>
      <w:r w:rsidR="003144F8" w:rsidRPr="003351C0">
        <w:rPr>
          <w:sz w:val="24"/>
          <w:lang w:val="fi-FI"/>
        </w:rPr>
        <w:tab/>
      </w:r>
      <w:r w:rsidR="00A10638" w:rsidRPr="003351C0">
        <w:rPr>
          <w:sz w:val="24"/>
          <w:lang w:val="fi-FI"/>
        </w:rPr>
        <w:t>JO C, C/2025/3203, 2.7.2025, ELI: </w:t>
      </w:r>
      <w:r w:rsidR="00872BE3">
        <w:fldChar w:fldCharType="begin"/>
      </w:r>
      <w:r w:rsidR="00872BE3" w:rsidRPr="00872BE3">
        <w:rPr>
          <w:lang w:val="fi-FI"/>
        </w:rPr>
        <w:instrText>HYPERLINK "http://data.europa.eu/eli/C/2025/3203/oj" \t "_blank" \o "Gives access to this document through its ELI URI."</w:instrText>
      </w:r>
      <w:r w:rsidR="00872BE3">
        <w:fldChar w:fldCharType="separate"/>
      </w:r>
      <w:r w:rsidR="00A10638" w:rsidRPr="00175FCF">
        <w:rPr>
          <w:rStyle w:val="Hyperlink"/>
          <w:sz w:val="24"/>
          <w:szCs w:val="24"/>
          <w:lang w:val="fi-FI"/>
        </w:rPr>
        <w:t>http://data.europa.eu/eli/C/2025/3203/oj</w:t>
      </w:r>
      <w:r w:rsidR="00872BE3">
        <w:rPr>
          <w:rStyle w:val="Hyperlink"/>
          <w:sz w:val="24"/>
          <w:szCs w:val="24"/>
          <w:lang w:val="fi-FI"/>
        </w:rPr>
        <w:fldChar w:fldCharType="end"/>
      </w:r>
      <w:r w:rsidRPr="003351C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44EC" w14:textId="77777777" w:rsidR="00064002" w:rsidRPr="003144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A913" w14:textId="77777777" w:rsidR="00064002" w:rsidRPr="003144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A26F" w14:textId="77777777" w:rsidR="00064002" w:rsidRPr="003144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2200012">
    <w:abstractNumId w:val="9"/>
  </w:num>
  <w:num w:numId="2" w16cid:durableId="525682606">
    <w:abstractNumId w:val="9"/>
  </w:num>
  <w:num w:numId="3" w16cid:durableId="668602502">
    <w:abstractNumId w:val="7"/>
  </w:num>
  <w:num w:numId="4" w16cid:durableId="1177841489">
    <w:abstractNumId w:val="7"/>
  </w:num>
  <w:num w:numId="5" w16cid:durableId="897395722">
    <w:abstractNumId w:val="6"/>
  </w:num>
  <w:num w:numId="6" w16cid:durableId="474764126">
    <w:abstractNumId w:val="6"/>
  </w:num>
  <w:num w:numId="7" w16cid:durableId="1367364137">
    <w:abstractNumId w:val="5"/>
  </w:num>
  <w:num w:numId="8" w16cid:durableId="1307587618">
    <w:abstractNumId w:val="5"/>
  </w:num>
  <w:num w:numId="9" w16cid:durableId="1883441127">
    <w:abstractNumId w:val="4"/>
  </w:num>
  <w:num w:numId="10" w16cid:durableId="1971084696">
    <w:abstractNumId w:val="4"/>
  </w:num>
  <w:num w:numId="11" w16cid:durableId="232281728">
    <w:abstractNumId w:val="8"/>
  </w:num>
  <w:num w:numId="12" w16cid:durableId="1061632484">
    <w:abstractNumId w:val="8"/>
  </w:num>
  <w:num w:numId="13" w16cid:durableId="1507548530">
    <w:abstractNumId w:val="3"/>
  </w:num>
  <w:num w:numId="14" w16cid:durableId="1248885567">
    <w:abstractNumId w:val="3"/>
  </w:num>
  <w:num w:numId="15" w16cid:durableId="1663970010">
    <w:abstractNumId w:val="2"/>
  </w:num>
  <w:num w:numId="16" w16cid:durableId="1121652628">
    <w:abstractNumId w:val="2"/>
  </w:num>
  <w:num w:numId="17" w16cid:durableId="2099210305">
    <w:abstractNumId w:val="1"/>
  </w:num>
  <w:num w:numId="18" w16cid:durableId="129829984">
    <w:abstractNumId w:val="1"/>
  </w:num>
  <w:num w:numId="19" w16cid:durableId="2085756062">
    <w:abstractNumId w:val="0"/>
  </w:num>
  <w:num w:numId="20" w16cid:durableId="899443401">
    <w:abstractNumId w:val="0"/>
  </w:num>
  <w:num w:numId="21" w16cid:durableId="1958487711">
    <w:abstractNumId w:val="9"/>
  </w:num>
  <w:num w:numId="22" w16cid:durableId="906841977">
    <w:abstractNumId w:val="7"/>
  </w:num>
  <w:num w:numId="23" w16cid:durableId="1599679024">
    <w:abstractNumId w:val="6"/>
  </w:num>
  <w:num w:numId="24" w16cid:durableId="1656489045">
    <w:abstractNumId w:val="5"/>
  </w:num>
  <w:num w:numId="25" w16cid:durableId="1231845314">
    <w:abstractNumId w:val="4"/>
  </w:num>
  <w:num w:numId="26" w16cid:durableId="1383939298">
    <w:abstractNumId w:val="8"/>
  </w:num>
  <w:num w:numId="27" w16cid:durableId="606891919">
    <w:abstractNumId w:val="3"/>
  </w:num>
  <w:num w:numId="28" w16cid:durableId="1205019085">
    <w:abstractNumId w:val="2"/>
  </w:num>
  <w:num w:numId="29" w16cid:durableId="622734646">
    <w:abstractNumId w:val="1"/>
  </w:num>
  <w:num w:numId="30" w16cid:durableId="295380668">
    <w:abstractNumId w:val="0"/>
  </w:num>
  <w:num w:numId="31" w16cid:durableId="273444269">
    <w:abstractNumId w:val="9"/>
  </w:num>
  <w:num w:numId="32" w16cid:durableId="421340029">
    <w:abstractNumId w:val="7"/>
  </w:num>
  <w:num w:numId="33" w16cid:durableId="613248424">
    <w:abstractNumId w:val="6"/>
  </w:num>
  <w:num w:numId="34" w16cid:durableId="1124812802">
    <w:abstractNumId w:val="5"/>
  </w:num>
  <w:num w:numId="35" w16cid:durableId="1865093809">
    <w:abstractNumId w:val="4"/>
  </w:num>
  <w:num w:numId="36" w16cid:durableId="944768749">
    <w:abstractNumId w:val="8"/>
  </w:num>
  <w:num w:numId="37" w16cid:durableId="2034912768">
    <w:abstractNumId w:val="3"/>
  </w:num>
  <w:num w:numId="38" w16cid:durableId="1807771496">
    <w:abstractNumId w:val="2"/>
  </w:num>
  <w:num w:numId="39" w16cid:durableId="1983846027">
    <w:abstractNumId w:val="1"/>
  </w:num>
  <w:num w:numId="40" w16cid:durableId="1404719601">
    <w:abstractNumId w:val="0"/>
  </w:num>
  <w:num w:numId="41" w16cid:durableId="1389571491">
    <w:abstractNumId w:val="10"/>
  </w:num>
  <w:num w:numId="42" w16cid:durableId="1273172668">
    <w:abstractNumId w:val="10"/>
  </w:num>
  <w:num w:numId="43" w16cid:durableId="1897277933">
    <w:abstractNumId w:val="10"/>
  </w:num>
  <w:num w:numId="44" w16cid:durableId="1203790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PT"/>
    <w:docVar w:name="dvnumam" w:val="0"/>
    <w:docVar w:name="dvpe" w:val="770.091"/>
    <w:docVar w:name="dvrapporteur" w:val="Relator: "/>
    <w:docVar w:name="dvtitre" w:val="Resolução legislativa do Parlamento Europeu, de ... de ... de 2025,_x000d__x000a_ sobre a proposta de regulamento do Parlamento Europeu e do Conselho que altera o Regulamento (UE) n.º 909/2014 no respeitante a um ciclo de liquidação mais curto na União(COM(2025)0038 – C10-0011/2025 – 2025/0022(COD))"/>
  </w:docVars>
  <w:rsids>
    <w:rsidRoot w:val="009907BB"/>
    <w:rsid w:val="00002272"/>
    <w:rsid w:val="00064002"/>
    <w:rsid w:val="000677B9"/>
    <w:rsid w:val="000831BA"/>
    <w:rsid w:val="000A42CC"/>
    <w:rsid w:val="000E7DD9"/>
    <w:rsid w:val="0010095E"/>
    <w:rsid w:val="00125B37"/>
    <w:rsid w:val="00171E3A"/>
    <w:rsid w:val="00175FCF"/>
    <w:rsid w:val="00187494"/>
    <w:rsid w:val="001975F8"/>
    <w:rsid w:val="00197695"/>
    <w:rsid w:val="001F32AE"/>
    <w:rsid w:val="002767FF"/>
    <w:rsid w:val="002A6E8C"/>
    <w:rsid w:val="002B18FE"/>
    <w:rsid w:val="002B5493"/>
    <w:rsid w:val="002B55B3"/>
    <w:rsid w:val="003144F8"/>
    <w:rsid w:val="003351C0"/>
    <w:rsid w:val="00343214"/>
    <w:rsid w:val="00361C00"/>
    <w:rsid w:val="00395FA1"/>
    <w:rsid w:val="003E15D4"/>
    <w:rsid w:val="00411CCE"/>
    <w:rsid w:val="0041666E"/>
    <w:rsid w:val="00421060"/>
    <w:rsid w:val="0046782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07A"/>
    <w:rsid w:val="005C2568"/>
    <w:rsid w:val="005D49CA"/>
    <w:rsid w:val="005F1B17"/>
    <w:rsid w:val="005F6FE5"/>
    <w:rsid w:val="006037C0"/>
    <w:rsid w:val="006265D2"/>
    <w:rsid w:val="006549D1"/>
    <w:rsid w:val="006631B6"/>
    <w:rsid w:val="00680577"/>
    <w:rsid w:val="00695D7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FF0"/>
    <w:rsid w:val="00842779"/>
    <w:rsid w:val="00865F67"/>
    <w:rsid w:val="00872BE3"/>
    <w:rsid w:val="00881A7B"/>
    <w:rsid w:val="008840E5"/>
    <w:rsid w:val="00887B3E"/>
    <w:rsid w:val="008C2AC6"/>
    <w:rsid w:val="00930C23"/>
    <w:rsid w:val="0093193B"/>
    <w:rsid w:val="009509D8"/>
    <w:rsid w:val="00950B64"/>
    <w:rsid w:val="0097764A"/>
    <w:rsid w:val="00981893"/>
    <w:rsid w:val="0098508C"/>
    <w:rsid w:val="009907BB"/>
    <w:rsid w:val="009E47B6"/>
    <w:rsid w:val="00A10638"/>
    <w:rsid w:val="00A1687D"/>
    <w:rsid w:val="00A43E52"/>
    <w:rsid w:val="00A4678D"/>
    <w:rsid w:val="00A778C7"/>
    <w:rsid w:val="00A85CA6"/>
    <w:rsid w:val="00AA108F"/>
    <w:rsid w:val="00AB441E"/>
    <w:rsid w:val="00AB6293"/>
    <w:rsid w:val="00AE0928"/>
    <w:rsid w:val="00AF3B82"/>
    <w:rsid w:val="00B12E95"/>
    <w:rsid w:val="00B22876"/>
    <w:rsid w:val="00B558F0"/>
    <w:rsid w:val="00BA1FF4"/>
    <w:rsid w:val="00BD366B"/>
    <w:rsid w:val="00BD48FE"/>
    <w:rsid w:val="00BD7BD8"/>
    <w:rsid w:val="00BE6ADC"/>
    <w:rsid w:val="00C05BFE"/>
    <w:rsid w:val="00C23CD4"/>
    <w:rsid w:val="00C61C0C"/>
    <w:rsid w:val="00C941CB"/>
    <w:rsid w:val="00CC2357"/>
    <w:rsid w:val="00CD4257"/>
    <w:rsid w:val="00CF071A"/>
    <w:rsid w:val="00D058B8"/>
    <w:rsid w:val="00D17E97"/>
    <w:rsid w:val="00D2089A"/>
    <w:rsid w:val="00D56C11"/>
    <w:rsid w:val="00D834A0"/>
    <w:rsid w:val="00D872DF"/>
    <w:rsid w:val="00D90160"/>
    <w:rsid w:val="00D9177C"/>
    <w:rsid w:val="00D91E21"/>
    <w:rsid w:val="00DA7FCD"/>
    <w:rsid w:val="00DC4FCF"/>
    <w:rsid w:val="00E02E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C7028"/>
  <w15:chartTrackingRefBased/>
  <w15:docId w15:val="{92B4CE5B-90EF-4A02-83A4-F47BC3A0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55B3"/>
    <w:pPr>
      <w:spacing w:before="480" w:after="240"/>
    </w:pPr>
  </w:style>
  <w:style w:type="paragraph" w:customStyle="1" w:styleId="NormalBold">
    <w:name w:val="NormalBold"/>
    <w:basedOn w:val="Normal"/>
    <w:rsid w:val="002B55B3"/>
    <w:rPr>
      <w:b/>
    </w:rPr>
  </w:style>
  <w:style w:type="paragraph" w:customStyle="1" w:styleId="NormalHanging12a">
    <w:name w:val="NormalHanging12a"/>
    <w:basedOn w:val="Normal"/>
    <w:rsid w:val="002B55B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B55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2B55B3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2B55B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2B55B3"/>
  </w:style>
  <w:style w:type="paragraph" w:styleId="CommentText">
    <w:name w:val="annotation text"/>
    <w:basedOn w:val="Normal"/>
    <w:link w:val="CommentTextChar"/>
    <w:uiPriority w:val="99"/>
    <w:unhideWhenUsed/>
    <w:rsid w:val="002B55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55B3"/>
    <w:rPr>
      <w:lang w:val="pt-PT"/>
    </w:rPr>
  </w:style>
  <w:style w:type="paragraph" w:styleId="Revision">
    <w:name w:val="Revision"/>
    <w:hidden/>
    <w:uiPriority w:val="99"/>
    <w:semiHidden/>
    <w:rsid w:val="00A10638"/>
    <w:rPr>
      <w:sz w:val="24"/>
      <w:lang w:val="pt-PT"/>
    </w:rPr>
  </w:style>
  <w:style w:type="paragraph" w:customStyle="1" w:styleId="NormalCenter12a">
    <w:name w:val="NormalCenter12a"/>
    <w:basedOn w:val="Normal"/>
    <w:rsid w:val="00A10638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A10638"/>
    <w:pPr>
      <w:spacing w:before="720" w:after="240"/>
      <w:jc w:val="center"/>
    </w:pPr>
    <w:rPr>
      <w:lang w:val="en-GB"/>
    </w:rPr>
  </w:style>
  <w:style w:type="character" w:styleId="CommentReference">
    <w:name w:val="annotation reference"/>
    <w:basedOn w:val="DefaultParagraphFont"/>
    <w:rsid w:val="00DC4FC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C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4FCF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DC4F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32FF0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97764A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Hyperlink1">
    <w:name w:val="Hyperlink1"/>
    <w:basedOn w:val="DefaultParagraphFont"/>
    <w:uiPriority w:val="99"/>
    <w:unhideWhenUsed/>
    <w:rsid w:val="009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Teresa_RELEC</cp:lastModifiedBy>
  <cp:revision>2</cp:revision>
  <cp:lastPrinted>2004-11-19T15:42:00Z</cp:lastPrinted>
  <dcterms:created xsi:type="dcterms:W3CDTF">2025-10-24T09:47:00Z</dcterms:created>
  <dcterms:modified xsi:type="dcterms:W3CDTF">2025-10-24T09:47:00Z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