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1136" w14:paraId="164E6F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5E486A" w14:textId="77777777" w:rsidR="00751A4A" w:rsidRPr="00AA1136" w:rsidRDefault="00C02A7B" w:rsidP="0010095E">
            <w:pPr>
              <w:pStyle w:val="EPName"/>
            </w:pPr>
            <w:r w:rsidRPr="00AA1136">
              <w:t>Európsky parlament</w:t>
            </w:r>
          </w:p>
          <w:p w14:paraId="520CB597" w14:textId="77777777" w:rsidR="00751A4A" w:rsidRPr="00AA113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1136">
              <w:t>2024</w:t>
            </w:r>
            <w:r w:rsidR="00817416" w:rsidRPr="00AA1136">
              <w:t>-202</w:t>
            </w:r>
            <w:r w:rsidRPr="00AA1136">
              <w:t>9</w:t>
            </w:r>
          </w:p>
        </w:tc>
        <w:tc>
          <w:tcPr>
            <w:tcW w:w="2268" w:type="dxa"/>
            <w:shd w:val="clear" w:color="auto" w:fill="auto"/>
          </w:tcPr>
          <w:p w14:paraId="4C9F4CB4" w14:textId="77777777" w:rsidR="00751A4A" w:rsidRPr="00AA1136" w:rsidRDefault="00187494" w:rsidP="0010095E">
            <w:pPr>
              <w:pStyle w:val="EPLogo"/>
            </w:pPr>
            <w:r w:rsidRPr="00AA1136">
              <w:rPr>
                <w:noProof/>
                <w:lang w:eastAsia="ja-JP"/>
              </w:rPr>
              <w:drawing>
                <wp:inline distT="0" distB="0" distL="0" distR="0" wp14:anchorId="16E63EEA" wp14:editId="1A0850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2ABAD0" w14:textId="77777777" w:rsidR="00D058B8" w:rsidRPr="00AA1136" w:rsidRDefault="00D058B8" w:rsidP="004C5D52">
      <w:pPr>
        <w:pStyle w:val="LineTop"/>
      </w:pPr>
    </w:p>
    <w:p w14:paraId="344D941B" w14:textId="77777777" w:rsidR="00680577" w:rsidRPr="00AA1136" w:rsidRDefault="00C02A7B" w:rsidP="00680577">
      <w:pPr>
        <w:pStyle w:val="EPBodyTA1"/>
      </w:pPr>
      <w:r w:rsidRPr="00AA1136">
        <w:t>PRIJATÉ TEXTY</w:t>
      </w:r>
    </w:p>
    <w:p w14:paraId="1F37A1C8" w14:textId="77777777" w:rsidR="00D058B8" w:rsidRPr="00AA1136" w:rsidRDefault="00D058B8" w:rsidP="00D058B8">
      <w:pPr>
        <w:pStyle w:val="LineBottom"/>
      </w:pPr>
    </w:p>
    <w:p w14:paraId="3446448F" w14:textId="7359307E" w:rsidR="00C02A7B" w:rsidRPr="00AA1136" w:rsidRDefault="00C02A7B" w:rsidP="00C02A7B">
      <w:pPr>
        <w:pStyle w:val="ATHeading1"/>
      </w:pPr>
      <w:bookmarkStart w:id="0" w:name="TANumber"/>
      <w:r w:rsidRPr="00AA1136">
        <w:t>P10_TA(2025)0</w:t>
      </w:r>
      <w:r w:rsidR="00E929B8" w:rsidRPr="00AA1136">
        <w:t>179</w:t>
      </w:r>
      <w:bookmarkEnd w:id="0"/>
    </w:p>
    <w:p w14:paraId="06C0DFB2" w14:textId="77777777" w:rsidR="00C02A7B" w:rsidRPr="00AA1136" w:rsidRDefault="00C02A7B" w:rsidP="00C02A7B">
      <w:pPr>
        <w:pStyle w:val="ATHeading2"/>
      </w:pPr>
      <w:bookmarkStart w:id="1" w:name="title"/>
      <w:r w:rsidRPr="00AA1136">
        <w:t>Vyrovnanie transakcií s cennými papiermi v EÚ a centrálne depozitáre cenných papierov (CSD): kratší cyklus vyrovnania v Únii</w:t>
      </w:r>
      <w:bookmarkEnd w:id="1"/>
    </w:p>
    <w:p w14:paraId="3052568E" w14:textId="77777777" w:rsidR="00C02A7B" w:rsidRPr="00AA1136" w:rsidRDefault="00C02A7B" w:rsidP="00C02A7B">
      <w:pPr>
        <w:rPr>
          <w:i/>
          <w:vanish/>
        </w:rPr>
      </w:pPr>
      <w:r w:rsidRPr="00AA1136">
        <w:rPr>
          <w:i/>
        </w:rPr>
        <w:fldChar w:fldCharType="begin"/>
      </w:r>
      <w:r w:rsidRPr="00AA1136">
        <w:rPr>
          <w:i/>
        </w:rPr>
        <w:instrText xml:space="preserve"> TC"(</w:instrText>
      </w:r>
      <w:bookmarkStart w:id="2" w:name="DocNumber"/>
      <w:r w:rsidRPr="00AA1136">
        <w:rPr>
          <w:i/>
        </w:rPr>
        <w:instrText>A10-0095/2025</w:instrText>
      </w:r>
      <w:bookmarkEnd w:id="2"/>
      <w:r w:rsidRPr="00AA1136">
        <w:rPr>
          <w:i/>
        </w:rPr>
        <w:instrText xml:space="preserve"> - Spravodajca: </w:instrText>
      </w:r>
      <w:proofErr w:type="spellStart"/>
      <w:r w:rsidRPr="00AA1136">
        <w:rPr>
          <w:i/>
        </w:rPr>
        <w:instrText>Johan</w:instrText>
      </w:r>
      <w:proofErr w:type="spellEnd"/>
      <w:r w:rsidRPr="00AA1136">
        <w:rPr>
          <w:i/>
        </w:rPr>
        <w:instrText xml:space="preserve"> Van </w:instrText>
      </w:r>
      <w:proofErr w:type="spellStart"/>
      <w:r w:rsidRPr="00AA1136">
        <w:rPr>
          <w:i/>
        </w:rPr>
        <w:instrText>Overtveldt</w:instrText>
      </w:r>
      <w:proofErr w:type="spellEnd"/>
      <w:r w:rsidRPr="00AA1136">
        <w:rPr>
          <w:i/>
        </w:rPr>
        <w:instrText xml:space="preserve">)"\l3 \n&gt; \* MERGEFORMAT </w:instrText>
      </w:r>
      <w:r w:rsidRPr="00AA1136">
        <w:rPr>
          <w:i/>
        </w:rPr>
        <w:fldChar w:fldCharType="end"/>
      </w:r>
    </w:p>
    <w:p w14:paraId="61CF437A" w14:textId="77777777" w:rsidR="00C02A7B" w:rsidRPr="00AA1136" w:rsidRDefault="00C02A7B" w:rsidP="00C02A7B">
      <w:pPr>
        <w:rPr>
          <w:vanish/>
        </w:rPr>
      </w:pPr>
      <w:bookmarkStart w:id="3" w:name="Commission"/>
      <w:r w:rsidRPr="00AA1136">
        <w:rPr>
          <w:vanish/>
        </w:rPr>
        <w:t>Výbor pre hospodárske a menové veci</w:t>
      </w:r>
      <w:bookmarkEnd w:id="3"/>
    </w:p>
    <w:p w14:paraId="675C7A82" w14:textId="77777777" w:rsidR="00C02A7B" w:rsidRPr="00AA1136" w:rsidRDefault="00C02A7B" w:rsidP="00C02A7B">
      <w:pPr>
        <w:rPr>
          <w:vanish/>
        </w:rPr>
      </w:pPr>
      <w:bookmarkStart w:id="4" w:name="PE"/>
      <w:r w:rsidRPr="00AA1136">
        <w:rPr>
          <w:vanish/>
        </w:rPr>
        <w:t>PE770.091</w:t>
      </w:r>
      <w:bookmarkEnd w:id="4"/>
    </w:p>
    <w:p w14:paraId="61D4A93D" w14:textId="55E2F5F7" w:rsidR="00C02A7B" w:rsidRPr="00AA1136" w:rsidRDefault="00C02A7B" w:rsidP="00C02A7B">
      <w:pPr>
        <w:pStyle w:val="ATHeading3"/>
      </w:pPr>
      <w:bookmarkStart w:id="5" w:name="Sujet"/>
      <w:r w:rsidRPr="00AA1136">
        <w:t>Legislatívne uznesenie Európskeho parlamentu z</w:t>
      </w:r>
      <w:r w:rsidR="00874523" w:rsidRPr="00AA1136">
        <w:t> 10</w:t>
      </w:r>
      <w:r w:rsidRPr="00AA1136">
        <w:t>. septembra 2025 o návrhu nariadenia Európskeho parlamentu a Rady, ktorým sa mení nariadenie (EÚ) č. 909/2014, pokiaľ ide o kratší cyklus vyrovnania v Únii</w:t>
      </w:r>
      <w:bookmarkEnd w:id="5"/>
      <w:r w:rsidRPr="00AA1136">
        <w:t xml:space="preserve"> </w:t>
      </w:r>
      <w:bookmarkStart w:id="6" w:name="References"/>
      <w:r w:rsidRPr="00AA1136">
        <w:t>(COM(2025)0038 – C10-0011/2025 – 2025/0022(COD))</w:t>
      </w:r>
      <w:bookmarkEnd w:id="6"/>
    </w:p>
    <w:p w14:paraId="366D6519" w14:textId="77777777" w:rsidR="00C02A7B" w:rsidRPr="00AA1136" w:rsidRDefault="00C02A7B" w:rsidP="00C02A7B"/>
    <w:p w14:paraId="5E435739" w14:textId="77777777" w:rsidR="00152206" w:rsidRPr="00AA1136" w:rsidRDefault="00152206" w:rsidP="00152206">
      <w:pPr>
        <w:pStyle w:val="NormalBold"/>
      </w:pPr>
      <w:bookmarkStart w:id="7" w:name="TextBodyBegin"/>
      <w:bookmarkEnd w:id="7"/>
      <w:r w:rsidRPr="00AA1136">
        <w:t>(Riadny legislatívny postup: prvé čítanie)</w:t>
      </w:r>
    </w:p>
    <w:p w14:paraId="58760889" w14:textId="77777777" w:rsidR="00152206" w:rsidRPr="00AA1136" w:rsidRDefault="00152206" w:rsidP="00152206">
      <w:pPr>
        <w:pStyle w:val="EPComma"/>
      </w:pPr>
      <w:r w:rsidRPr="00AA1136">
        <w:rPr>
          <w:i/>
        </w:rPr>
        <w:t>Európsky parlament</w:t>
      </w:r>
      <w:r w:rsidRPr="00AA1136">
        <w:t>,</w:t>
      </w:r>
    </w:p>
    <w:p w14:paraId="43326003" w14:textId="77777777" w:rsidR="00152206" w:rsidRPr="00AA1136" w:rsidRDefault="00152206" w:rsidP="00874523">
      <w:pPr>
        <w:pStyle w:val="NormalHanging12a"/>
      </w:pPr>
      <w:r w:rsidRPr="00AA1136">
        <w:t>–</w:t>
      </w:r>
      <w:r w:rsidRPr="00AA1136">
        <w:tab/>
        <w:t>so zreteľom na návrh Komisie pre Európsky parlament a Radu (COM(2025)0038),</w:t>
      </w:r>
    </w:p>
    <w:p w14:paraId="7E9A30AC" w14:textId="77777777" w:rsidR="00152206" w:rsidRPr="00AA1136" w:rsidRDefault="00152206" w:rsidP="00874523">
      <w:pPr>
        <w:pStyle w:val="NormalHanging12a"/>
      </w:pPr>
      <w:r w:rsidRPr="00AA1136">
        <w:t>–</w:t>
      </w:r>
      <w:r w:rsidRPr="00AA1136">
        <w:tab/>
        <w:t>so zreteľom na článok 294 ods. 2 a článok 114 Zmluvy o fungovaní Európskej únie, v súlade s ktorými Komisia predložila návrh Európskemu parlamentu (C10</w:t>
      </w:r>
      <w:r w:rsidRPr="00AA1136">
        <w:noBreakHyphen/>
        <w:t>0011/2025),</w:t>
      </w:r>
    </w:p>
    <w:p w14:paraId="7C4A31AA" w14:textId="77777777" w:rsidR="00152206" w:rsidRPr="00AA1136" w:rsidRDefault="00152206" w:rsidP="00874523">
      <w:pPr>
        <w:pStyle w:val="NormalHanging12a"/>
      </w:pPr>
      <w:r w:rsidRPr="00AA1136">
        <w:t>–</w:t>
      </w:r>
      <w:r w:rsidRPr="00AA1136">
        <w:tab/>
        <w:t>so zreteľom na článok 294 ods. 3 Zmluvy o fungovaní Európskej únie,</w:t>
      </w:r>
    </w:p>
    <w:p w14:paraId="45603846" w14:textId="77777777" w:rsidR="00152206" w:rsidRPr="00AA1136" w:rsidRDefault="00152206" w:rsidP="00874523">
      <w:pPr>
        <w:pStyle w:val="NormalHanging12a"/>
      </w:pPr>
      <w:r w:rsidRPr="00AA1136">
        <w:t>–</w:t>
      </w:r>
      <w:r w:rsidRPr="00AA1136">
        <w:tab/>
        <w:t>zo zreteľom na stanovisko Európskej centrálnej banky z 31. marca 2025</w:t>
      </w:r>
      <w:r w:rsidRPr="00AA1136">
        <w:rPr>
          <w:rStyle w:val="FootnoteReference"/>
        </w:rPr>
        <w:footnoteReference w:id="1"/>
      </w:r>
      <w:r w:rsidRPr="00AA1136">
        <w:t>,</w:t>
      </w:r>
    </w:p>
    <w:p w14:paraId="175BB677" w14:textId="77777777" w:rsidR="00152206" w:rsidRPr="00AA1136" w:rsidRDefault="00152206" w:rsidP="00874523">
      <w:pPr>
        <w:pStyle w:val="NormalHanging12a"/>
      </w:pPr>
      <w:r w:rsidRPr="00AA1136">
        <w:t>–</w:t>
      </w:r>
      <w:r w:rsidRPr="00AA1136">
        <w:tab/>
        <w:t>so zreteľom na stanovisko Európskeho hospodárskeho a sociálneho výboru z 30. apríla 2025</w:t>
      </w:r>
      <w:r w:rsidRPr="00AA1136">
        <w:rPr>
          <w:rStyle w:val="FootnoteReference"/>
        </w:rPr>
        <w:footnoteReference w:id="2"/>
      </w:r>
      <w:r w:rsidRPr="00AA1136">
        <w:t>,</w:t>
      </w:r>
    </w:p>
    <w:p w14:paraId="00CAC8DB" w14:textId="137B6ACC" w:rsidR="000F54F1" w:rsidRPr="00AA1136" w:rsidRDefault="000F54F1" w:rsidP="000F54F1">
      <w:pPr>
        <w:pStyle w:val="NormalHanging12a"/>
      </w:pPr>
      <w:r w:rsidRPr="00AA1136">
        <w:t>–</w:t>
      </w:r>
      <w:r w:rsidRPr="00AA1136">
        <w:tab/>
        <w:t xml:space="preserve">so zreteľom na predbežnú dohodu schválenú gestorským výborom podľa článku 75 ods. 4 rokovacieho poriadku, a na záväzok zástupcu Rady, vyjadrený v liste z </w:t>
      </w:r>
      <w:r w:rsidR="0041238F" w:rsidRPr="00AA1136">
        <w:t>27</w:t>
      </w:r>
      <w:r w:rsidRPr="00AA1136">
        <w:t xml:space="preserve">. </w:t>
      </w:r>
      <w:r w:rsidR="0041238F" w:rsidRPr="00AA1136">
        <w:t>júna</w:t>
      </w:r>
      <w:r w:rsidRPr="00AA1136">
        <w:t xml:space="preserve"> 2025, schváliť pozíciu Európskeho parlamentu v súlade s článkom 294 ods. 4 Zmluvy o fungovaní Európskej únie,</w:t>
      </w:r>
    </w:p>
    <w:p w14:paraId="3473AF53" w14:textId="77777777" w:rsidR="00152206" w:rsidRPr="00AA1136" w:rsidRDefault="00152206" w:rsidP="00874523">
      <w:pPr>
        <w:pStyle w:val="NormalHanging12a"/>
      </w:pPr>
      <w:r w:rsidRPr="00AA1136">
        <w:t>–</w:t>
      </w:r>
      <w:r w:rsidRPr="00AA1136">
        <w:tab/>
        <w:t>so zreteľom na článok 60 rokovacieho poriadku,</w:t>
      </w:r>
    </w:p>
    <w:p w14:paraId="5519D08D" w14:textId="77777777" w:rsidR="00152206" w:rsidRPr="00AA1136" w:rsidRDefault="00152206" w:rsidP="00874523">
      <w:pPr>
        <w:pStyle w:val="NormalHanging12a"/>
      </w:pPr>
      <w:r w:rsidRPr="00AA1136">
        <w:t>–</w:t>
      </w:r>
      <w:r w:rsidRPr="00AA1136">
        <w:tab/>
        <w:t>so zreteľom na správu Výboru pre hospodárske a menové veci (A10-0095/2025),</w:t>
      </w:r>
    </w:p>
    <w:p w14:paraId="5A62A369" w14:textId="77777777" w:rsidR="00152206" w:rsidRPr="00AA1136" w:rsidRDefault="00152206" w:rsidP="00874523">
      <w:pPr>
        <w:pStyle w:val="NormalHanging12a"/>
      </w:pPr>
      <w:r w:rsidRPr="00AA1136">
        <w:lastRenderedPageBreak/>
        <w:t>1.</w:t>
      </w:r>
      <w:r w:rsidRPr="00AA1136">
        <w:tab/>
        <w:t>prijíma nasledujúcu pozíciu v prvom čítaní;</w:t>
      </w:r>
    </w:p>
    <w:p w14:paraId="1523EC75" w14:textId="77777777" w:rsidR="00152206" w:rsidRPr="00AA1136" w:rsidRDefault="00152206" w:rsidP="00874523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AA1136">
        <w:t>2.</w:t>
      </w:r>
      <w:r w:rsidRPr="00AA1136">
        <w:tab/>
        <w:t>žiada Komisiu, aby mu vec znovu predložila, ak nahrádza, podstatne mení alebo má v úmysle podstatne zmeniť svoj návrh;</w:t>
      </w:r>
    </w:p>
    <w:p w14:paraId="1E32FAE7" w14:textId="77777777" w:rsidR="00152206" w:rsidRPr="00AA1136" w:rsidRDefault="00152206" w:rsidP="00874523">
      <w:pPr>
        <w:widowControl/>
        <w:spacing w:after="240"/>
        <w:ind w:left="567" w:hanging="567"/>
      </w:pPr>
      <w:r w:rsidRPr="00AA1136">
        <w:t>3.</w:t>
      </w:r>
      <w:r w:rsidRPr="00AA1136">
        <w:tab/>
        <w:t>poveruje svoju predsedníčku, aby postúpila túto pozíciu Rade, Komisii a národným parlamentom.</w:t>
      </w:r>
    </w:p>
    <w:p w14:paraId="5FD6DEFA" w14:textId="77777777" w:rsidR="000F54F1" w:rsidRPr="00AA1136" w:rsidRDefault="000F54F1" w:rsidP="00874523">
      <w:pPr>
        <w:widowControl/>
        <w:spacing w:after="240"/>
        <w:sectPr w:rsidR="000F54F1" w:rsidRPr="00AA1136" w:rsidSect="0086652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C236853" w14:textId="45A6E439" w:rsidR="000F54F1" w:rsidRPr="00AA1136" w:rsidRDefault="000F54F1" w:rsidP="0041238F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AA1136">
        <w:rPr>
          <w:b/>
          <w:lang w:val="sk-SK"/>
        </w:rPr>
        <w:lastRenderedPageBreak/>
        <w:t>P10_TC1-COD(2025)0022</w:t>
      </w:r>
    </w:p>
    <w:p w14:paraId="73CC07B8" w14:textId="6256B8E4" w:rsidR="0041238F" w:rsidRDefault="000F54F1" w:rsidP="0041238F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AA1136">
        <w:rPr>
          <w:b/>
        </w:rPr>
        <w:t xml:space="preserve">Pozícia Európskeho parlamentu prijatá v prvom čítaní 10. septembra 2025 na účely prijatia nariadenia Európskeho parlamentu a Rady (EÚ) 2025/..., </w:t>
      </w:r>
      <w:r w:rsidRPr="00AA1136">
        <w:rPr>
          <w:rFonts w:eastAsia="Calibri"/>
          <w:b/>
          <w:szCs w:val="22"/>
          <w:lang w:eastAsia="en-US"/>
        </w:rPr>
        <w:t xml:space="preserve">ktorým </w:t>
      </w:r>
      <w:r w:rsidR="0041238F" w:rsidRPr="00AA1136">
        <w:rPr>
          <w:rFonts w:eastAsia="Calibri"/>
          <w:b/>
          <w:szCs w:val="22"/>
          <w:lang w:eastAsia="en-US"/>
        </w:rPr>
        <w:t>sa mení nariadenie (EÚ) č. 909/2014, pokiaľ ide o kratší cyklus vyrovnania v</w:t>
      </w:r>
      <w:r w:rsidR="002D5DFB">
        <w:rPr>
          <w:rFonts w:eastAsia="Calibri"/>
          <w:b/>
          <w:szCs w:val="22"/>
          <w:lang w:eastAsia="en-US"/>
        </w:rPr>
        <w:t> </w:t>
      </w:r>
      <w:r w:rsidR="0041238F" w:rsidRPr="00AA1136">
        <w:rPr>
          <w:rFonts w:eastAsia="Calibri"/>
          <w:b/>
          <w:szCs w:val="22"/>
          <w:lang w:eastAsia="en-US"/>
        </w:rPr>
        <w:t>Únii</w:t>
      </w:r>
    </w:p>
    <w:p w14:paraId="6C73274F" w14:textId="77777777" w:rsidR="002D5DFB" w:rsidRDefault="002D5DFB" w:rsidP="0041238F">
      <w:pPr>
        <w:widowControl/>
        <w:spacing w:after="240"/>
        <w:rPr>
          <w:rFonts w:eastAsia="Calibri"/>
          <w:b/>
          <w:szCs w:val="22"/>
          <w:lang w:eastAsia="en-US"/>
        </w:rPr>
      </w:pPr>
    </w:p>
    <w:p w14:paraId="763CB3EB" w14:textId="7ABBA74A" w:rsidR="002D5DFB" w:rsidRPr="00731EF8" w:rsidRDefault="002D5DFB" w:rsidP="002D5DFB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 w:rsidRPr="002D5DFB">
        <w:rPr>
          <w:i/>
          <w:iCs/>
        </w:rPr>
        <w:t>nariadeniu (EÚ) 2025/</w:t>
      </w:r>
      <w:r>
        <w:rPr>
          <w:i/>
          <w:iCs/>
        </w:rPr>
        <w:t>2075</w:t>
      </w:r>
      <w:r w:rsidRPr="002D5DFB">
        <w:rPr>
          <w:i/>
          <w:iCs/>
        </w:rPr>
        <w:t>.)</w:t>
      </w:r>
    </w:p>
    <w:p w14:paraId="7EFA01A7" w14:textId="77777777" w:rsidR="002D5DFB" w:rsidRDefault="002D5DFB" w:rsidP="0041238F">
      <w:pPr>
        <w:widowControl/>
        <w:spacing w:after="240"/>
        <w:rPr>
          <w:rFonts w:eastAsia="Calibri"/>
          <w:b/>
          <w:szCs w:val="22"/>
          <w:lang w:eastAsia="en-US"/>
        </w:rPr>
      </w:pPr>
    </w:p>
    <w:sectPr w:rsidR="002D5DFB" w:rsidSect="0086652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0C499" w14:textId="77777777" w:rsidR="00C02A7B" w:rsidRPr="00866524" w:rsidRDefault="00C02A7B">
      <w:r w:rsidRPr="00866524">
        <w:separator/>
      </w:r>
    </w:p>
  </w:endnote>
  <w:endnote w:type="continuationSeparator" w:id="0">
    <w:p w14:paraId="1D0EDD0E" w14:textId="77777777" w:rsidR="00C02A7B" w:rsidRPr="00866524" w:rsidRDefault="00C02A7B">
      <w:r w:rsidRPr="008665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030E6" w14:textId="77777777" w:rsidR="00064002" w:rsidRPr="0086652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B2D4D" w14:textId="77777777" w:rsidR="00064002" w:rsidRPr="0086652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2B7B7" w14:textId="77777777" w:rsidR="00064002" w:rsidRPr="0086652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34198" w14:textId="77777777" w:rsidR="00C02A7B" w:rsidRPr="00866524" w:rsidRDefault="00C02A7B">
      <w:r w:rsidRPr="00866524">
        <w:separator/>
      </w:r>
    </w:p>
  </w:footnote>
  <w:footnote w:type="continuationSeparator" w:id="0">
    <w:p w14:paraId="70337828" w14:textId="77777777" w:rsidR="00C02A7B" w:rsidRPr="00866524" w:rsidRDefault="00C02A7B">
      <w:r w:rsidRPr="00866524">
        <w:continuationSeparator/>
      </w:r>
    </w:p>
  </w:footnote>
  <w:footnote w:id="1">
    <w:p w14:paraId="77A8ECD8" w14:textId="64DE30F3" w:rsidR="00152206" w:rsidRPr="00866524" w:rsidRDefault="00152206" w:rsidP="00866524">
      <w:pPr>
        <w:pStyle w:val="FootnoteText"/>
        <w:ind w:left="567" w:hanging="567"/>
        <w:rPr>
          <w:sz w:val="24"/>
          <w:lang w:val="sk-SK"/>
        </w:rPr>
      </w:pPr>
      <w:r w:rsidRPr="00866524">
        <w:rPr>
          <w:rStyle w:val="FootnoteReference"/>
          <w:sz w:val="24"/>
          <w:lang w:val="sk-SK"/>
        </w:rPr>
        <w:footnoteRef/>
      </w:r>
      <w:r w:rsidR="00866524" w:rsidRPr="00866524">
        <w:rPr>
          <w:sz w:val="24"/>
          <w:lang w:val="sk-SK"/>
        </w:rPr>
        <w:t xml:space="preserve"> </w:t>
      </w:r>
      <w:r w:rsidR="00866524" w:rsidRPr="00866524">
        <w:rPr>
          <w:sz w:val="24"/>
          <w:lang w:val="sk-SK"/>
        </w:rPr>
        <w:tab/>
      </w:r>
      <w:r w:rsidRPr="00866524">
        <w:rPr>
          <w:sz w:val="24"/>
          <w:lang w:val="sk-SK"/>
        </w:rPr>
        <w:t>Ú. v. EÚ C, C/2025/2274, 14.4.2025, ELI: </w:t>
      </w:r>
      <w:hyperlink r:id="rId1" w:tooltip="Umožňuje prístup k tomuto dokumentu prostredníctvom identifikátora URI používaného v rámci ELI." w:history="1">
        <w:r w:rsidRPr="00866524">
          <w:rPr>
            <w:rStyle w:val="Hyperlink"/>
            <w:sz w:val="24"/>
            <w:lang w:val="sk-SK"/>
          </w:rPr>
          <w:t>http://data.europa.eu/eli/C/2025/2274/oj</w:t>
        </w:r>
      </w:hyperlink>
      <w:r w:rsidRPr="00866524">
        <w:rPr>
          <w:sz w:val="24"/>
          <w:lang w:val="sk-SK"/>
        </w:rPr>
        <w:t>.</w:t>
      </w:r>
    </w:p>
  </w:footnote>
  <w:footnote w:id="2">
    <w:p w14:paraId="2693222A" w14:textId="70A85D36" w:rsidR="00152206" w:rsidRPr="00866524" w:rsidRDefault="00152206" w:rsidP="00866524">
      <w:pPr>
        <w:pStyle w:val="FootnoteText"/>
        <w:ind w:left="567" w:hanging="567"/>
        <w:rPr>
          <w:sz w:val="24"/>
          <w:lang w:val="sk-SK"/>
        </w:rPr>
      </w:pPr>
      <w:r w:rsidRPr="00866524">
        <w:rPr>
          <w:rStyle w:val="FootnoteReference"/>
          <w:sz w:val="24"/>
          <w:lang w:val="sk-SK"/>
        </w:rPr>
        <w:footnoteRef/>
      </w:r>
      <w:r w:rsidR="00866524" w:rsidRPr="00866524">
        <w:rPr>
          <w:sz w:val="24"/>
          <w:lang w:val="sk-SK"/>
        </w:rPr>
        <w:t xml:space="preserve"> </w:t>
      </w:r>
      <w:r w:rsidR="00866524" w:rsidRPr="00866524">
        <w:rPr>
          <w:sz w:val="24"/>
          <w:lang w:val="sk-SK"/>
        </w:rPr>
        <w:tab/>
      </w:r>
      <w:r w:rsidR="00874523" w:rsidRPr="00866524">
        <w:rPr>
          <w:sz w:val="24"/>
          <w:lang w:val="sk-SK"/>
        </w:rPr>
        <w:t xml:space="preserve">Ú. v. EÚ C, </w:t>
      </w:r>
      <w:r w:rsidR="00874523" w:rsidRPr="00874523">
        <w:rPr>
          <w:sz w:val="24"/>
          <w:lang w:val="sk-SK"/>
        </w:rPr>
        <w:t xml:space="preserve">C/2025/3203, 2.7.2025, ELI: </w:t>
      </w:r>
      <w:r w:rsidR="002D5DFB">
        <w:fldChar w:fldCharType="begin"/>
      </w:r>
      <w:r w:rsidR="002D5DFB" w:rsidRPr="002D5DFB">
        <w:rPr>
          <w:lang w:val="fi-FI"/>
        </w:rPr>
        <w:instrText>HYPERLINK "http://data.europa.eu/eli/C/2025/3203/oj"</w:instrText>
      </w:r>
      <w:r w:rsidR="002D5DFB">
        <w:fldChar w:fldCharType="separate"/>
      </w:r>
      <w:r w:rsidR="00874523" w:rsidRPr="00301520">
        <w:rPr>
          <w:rStyle w:val="Hyperlink"/>
          <w:sz w:val="24"/>
          <w:lang w:val="sk-SK"/>
        </w:rPr>
        <w:t>http://data.europa.eu/eli/C/2025/3203/oj</w:t>
      </w:r>
      <w:r w:rsidR="002D5DFB">
        <w:rPr>
          <w:rStyle w:val="Hyperlink"/>
          <w:sz w:val="24"/>
          <w:lang w:val="sk-SK"/>
        </w:rPr>
        <w:fldChar w:fldCharType="end"/>
      </w:r>
      <w:r w:rsidRPr="00866524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1BB58" w14:textId="77777777" w:rsidR="00064002" w:rsidRPr="0086652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959A9" w14:textId="77777777" w:rsidR="00064002" w:rsidRPr="0086652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33EC6" w14:textId="77777777" w:rsidR="00064002" w:rsidRPr="0086652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1ED44F8"/>
    <w:multiLevelType w:val="hybridMultilevel"/>
    <w:tmpl w:val="564ABE34"/>
    <w:lvl w:ilvl="0" w:tplc="A1DE577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111863">
    <w:abstractNumId w:val="9"/>
  </w:num>
  <w:num w:numId="2" w16cid:durableId="250161570">
    <w:abstractNumId w:val="9"/>
  </w:num>
  <w:num w:numId="3" w16cid:durableId="232745118">
    <w:abstractNumId w:val="7"/>
  </w:num>
  <w:num w:numId="4" w16cid:durableId="861548789">
    <w:abstractNumId w:val="7"/>
  </w:num>
  <w:num w:numId="5" w16cid:durableId="1932814638">
    <w:abstractNumId w:val="6"/>
  </w:num>
  <w:num w:numId="6" w16cid:durableId="1356660834">
    <w:abstractNumId w:val="6"/>
  </w:num>
  <w:num w:numId="7" w16cid:durableId="1246568331">
    <w:abstractNumId w:val="5"/>
  </w:num>
  <w:num w:numId="8" w16cid:durableId="1900506911">
    <w:abstractNumId w:val="5"/>
  </w:num>
  <w:num w:numId="9" w16cid:durableId="1538347437">
    <w:abstractNumId w:val="4"/>
  </w:num>
  <w:num w:numId="10" w16cid:durableId="939872137">
    <w:abstractNumId w:val="4"/>
  </w:num>
  <w:num w:numId="11" w16cid:durableId="1240485031">
    <w:abstractNumId w:val="8"/>
  </w:num>
  <w:num w:numId="12" w16cid:durableId="1278676008">
    <w:abstractNumId w:val="8"/>
  </w:num>
  <w:num w:numId="13" w16cid:durableId="1881699895">
    <w:abstractNumId w:val="3"/>
  </w:num>
  <w:num w:numId="14" w16cid:durableId="1168666647">
    <w:abstractNumId w:val="3"/>
  </w:num>
  <w:num w:numId="15" w16cid:durableId="279722424">
    <w:abstractNumId w:val="2"/>
  </w:num>
  <w:num w:numId="16" w16cid:durableId="801269718">
    <w:abstractNumId w:val="2"/>
  </w:num>
  <w:num w:numId="17" w16cid:durableId="1977639930">
    <w:abstractNumId w:val="1"/>
  </w:num>
  <w:num w:numId="18" w16cid:durableId="710152089">
    <w:abstractNumId w:val="1"/>
  </w:num>
  <w:num w:numId="19" w16cid:durableId="187648047">
    <w:abstractNumId w:val="0"/>
  </w:num>
  <w:num w:numId="20" w16cid:durableId="1647125938">
    <w:abstractNumId w:val="0"/>
  </w:num>
  <w:num w:numId="21" w16cid:durableId="1481338253">
    <w:abstractNumId w:val="9"/>
  </w:num>
  <w:num w:numId="22" w16cid:durableId="384909011">
    <w:abstractNumId w:val="7"/>
  </w:num>
  <w:num w:numId="23" w16cid:durableId="520583279">
    <w:abstractNumId w:val="6"/>
  </w:num>
  <w:num w:numId="24" w16cid:durableId="1204320436">
    <w:abstractNumId w:val="5"/>
  </w:num>
  <w:num w:numId="25" w16cid:durableId="1824739941">
    <w:abstractNumId w:val="4"/>
  </w:num>
  <w:num w:numId="26" w16cid:durableId="1543011096">
    <w:abstractNumId w:val="8"/>
  </w:num>
  <w:num w:numId="27" w16cid:durableId="706488980">
    <w:abstractNumId w:val="3"/>
  </w:num>
  <w:num w:numId="28" w16cid:durableId="231087676">
    <w:abstractNumId w:val="2"/>
  </w:num>
  <w:num w:numId="29" w16cid:durableId="1977758197">
    <w:abstractNumId w:val="1"/>
  </w:num>
  <w:num w:numId="30" w16cid:durableId="1133134602">
    <w:abstractNumId w:val="0"/>
  </w:num>
  <w:num w:numId="31" w16cid:durableId="1631284815">
    <w:abstractNumId w:val="9"/>
  </w:num>
  <w:num w:numId="32" w16cid:durableId="1755080331">
    <w:abstractNumId w:val="7"/>
  </w:num>
  <w:num w:numId="33" w16cid:durableId="1397627938">
    <w:abstractNumId w:val="6"/>
  </w:num>
  <w:num w:numId="34" w16cid:durableId="322323276">
    <w:abstractNumId w:val="5"/>
  </w:num>
  <w:num w:numId="35" w16cid:durableId="342585054">
    <w:abstractNumId w:val="4"/>
  </w:num>
  <w:num w:numId="36" w16cid:durableId="1870291678">
    <w:abstractNumId w:val="8"/>
  </w:num>
  <w:num w:numId="37" w16cid:durableId="1851218698">
    <w:abstractNumId w:val="3"/>
  </w:num>
  <w:num w:numId="38" w16cid:durableId="787700553">
    <w:abstractNumId w:val="2"/>
  </w:num>
  <w:num w:numId="39" w16cid:durableId="1846628642">
    <w:abstractNumId w:val="1"/>
  </w:num>
  <w:num w:numId="40" w16cid:durableId="925462212">
    <w:abstractNumId w:val="0"/>
  </w:num>
  <w:num w:numId="41" w16cid:durableId="423378705">
    <w:abstractNumId w:val="10"/>
  </w:num>
  <w:num w:numId="42" w16cid:durableId="1122460235">
    <w:abstractNumId w:val="10"/>
  </w:num>
  <w:num w:numId="43" w16cid:durableId="276647658">
    <w:abstractNumId w:val="10"/>
  </w:num>
  <w:num w:numId="44" w16cid:durableId="1671322982">
    <w:abstractNumId w:val="11"/>
  </w:num>
  <w:num w:numId="45" w16cid:durableId="1354631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5/2025"/>
    <w:docVar w:name="dvlangue" w:val="SK"/>
    <w:docVar w:name="dvnumam" w:val="0"/>
    <w:docVar w:name="dvpe" w:val="770.091"/>
    <w:docVar w:name="dvrapporteur" w:val="Spravodajca: "/>
    <w:docVar w:name="dvstar" w:val="***I"/>
    <w:docVar w:name="dvtitre" w:val="Legislatívne uznesenie Európskeho parlamentu z xx. septembra 2025 o návrhu nariadenia Európskeho parlamentu a Rady, ktorým sa mení nariadenie (EÚ) č. 909/2014, pokiaľ ide o kratší cyklus vyrovnania v Únii(COM(2025)0038 – C10-0011/2025 – 2025/0022(COD))"/>
  </w:docVars>
  <w:rsids>
    <w:rsidRoot w:val="00C02A7B"/>
    <w:rsid w:val="00002272"/>
    <w:rsid w:val="00064002"/>
    <w:rsid w:val="000677B9"/>
    <w:rsid w:val="000831BA"/>
    <w:rsid w:val="000A42CC"/>
    <w:rsid w:val="000E7DD9"/>
    <w:rsid w:val="000F54F1"/>
    <w:rsid w:val="0010095E"/>
    <w:rsid w:val="00125B37"/>
    <w:rsid w:val="00152206"/>
    <w:rsid w:val="00187494"/>
    <w:rsid w:val="001B291D"/>
    <w:rsid w:val="001F32AE"/>
    <w:rsid w:val="002767FF"/>
    <w:rsid w:val="002B18FE"/>
    <w:rsid w:val="002B5493"/>
    <w:rsid w:val="002D5DFB"/>
    <w:rsid w:val="00343214"/>
    <w:rsid w:val="00361C00"/>
    <w:rsid w:val="00395FA1"/>
    <w:rsid w:val="003E15D4"/>
    <w:rsid w:val="003F353E"/>
    <w:rsid w:val="00411CCE"/>
    <w:rsid w:val="0041238F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678"/>
    <w:rsid w:val="006631B6"/>
    <w:rsid w:val="006658F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5C6A"/>
    <w:rsid w:val="007E22AD"/>
    <w:rsid w:val="00817416"/>
    <w:rsid w:val="00842779"/>
    <w:rsid w:val="00865F67"/>
    <w:rsid w:val="00866524"/>
    <w:rsid w:val="00874523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707"/>
    <w:rsid w:val="00A1687D"/>
    <w:rsid w:val="00A21783"/>
    <w:rsid w:val="00A43E52"/>
    <w:rsid w:val="00A4678D"/>
    <w:rsid w:val="00A778C7"/>
    <w:rsid w:val="00AA1136"/>
    <w:rsid w:val="00AB441E"/>
    <w:rsid w:val="00AB6293"/>
    <w:rsid w:val="00AE0928"/>
    <w:rsid w:val="00AF3B82"/>
    <w:rsid w:val="00B12E95"/>
    <w:rsid w:val="00B22876"/>
    <w:rsid w:val="00B558F0"/>
    <w:rsid w:val="00BA19E0"/>
    <w:rsid w:val="00BD48FE"/>
    <w:rsid w:val="00BD7BD8"/>
    <w:rsid w:val="00BE6ADC"/>
    <w:rsid w:val="00C02A7B"/>
    <w:rsid w:val="00C05BFE"/>
    <w:rsid w:val="00C172D9"/>
    <w:rsid w:val="00C23CD4"/>
    <w:rsid w:val="00C34003"/>
    <w:rsid w:val="00C61C0C"/>
    <w:rsid w:val="00C941CB"/>
    <w:rsid w:val="00CC2357"/>
    <w:rsid w:val="00CF071A"/>
    <w:rsid w:val="00D058B8"/>
    <w:rsid w:val="00D167E2"/>
    <w:rsid w:val="00D56C11"/>
    <w:rsid w:val="00D834A0"/>
    <w:rsid w:val="00D872DF"/>
    <w:rsid w:val="00D91E21"/>
    <w:rsid w:val="00DA7FCD"/>
    <w:rsid w:val="00DD2E9B"/>
    <w:rsid w:val="00DF16E0"/>
    <w:rsid w:val="00E365E1"/>
    <w:rsid w:val="00E820A4"/>
    <w:rsid w:val="00E929B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6B337"/>
  <w15:chartTrackingRefBased/>
  <w15:docId w15:val="{047041AC-11AB-42BF-BD9E-4792D118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52206"/>
    <w:pPr>
      <w:spacing w:before="480" w:after="240"/>
    </w:pPr>
  </w:style>
  <w:style w:type="paragraph" w:customStyle="1" w:styleId="NormalBold">
    <w:name w:val="NormalBold"/>
    <w:basedOn w:val="Normal"/>
    <w:rsid w:val="00152206"/>
    <w:rPr>
      <w:b/>
    </w:rPr>
  </w:style>
  <w:style w:type="paragraph" w:customStyle="1" w:styleId="NormalHanging12a">
    <w:name w:val="NormalHanging12a"/>
    <w:basedOn w:val="Normal"/>
    <w:rsid w:val="00152206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5220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152206"/>
    <w:rPr>
      <w:color w:val="0563C1" w:themeColor="hyperlink"/>
      <w:u w:val="single"/>
    </w:rPr>
  </w:style>
  <w:style w:type="paragraph" w:customStyle="1" w:styleId="ManualConsidrant">
    <w:name w:val="Manual Considérant"/>
    <w:basedOn w:val="Normal"/>
    <w:rsid w:val="0015220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152206"/>
  </w:style>
  <w:style w:type="paragraph" w:styleId="CommentText">
    <w:name w:val="annotation text"/>
    <w:basedOn w:val="Normal"/>
    <w:link w:val="CommentTextChar"/>
    <w:uiPriority w:val="99"/>
    <w:unhideWhenUsed/>
    <w:rsid w:val="0015220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206"/>
    <w:rPr>
      <w:lang w:val="sk-SK"/>
    </w:rPr>
  </w:style>
  <w:style w:type="paragraph" w:styleId="Revision">
    <w:name w:val="Revision"/>
    <w:hidden/>
    <w:uiPriority w:val="99"/>
    <w:semiHidden/>
    <w:rsid w:val="00874523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874523"/>
    <w:rPr>
      <w:color w:val="605E5C"/>
      <w:shd w:val="clear" w:color="auto" w:fill="E1DFDD"/>
    </w:rPr>
  </w:style>
  <w:style w:type="paragraph" w:customStyle="1" w:styleId="NormalCenter12a">
    <w:name w:val="NormalCenter12a"/>
    <w:basedOn w:val="Normal"/>
    <w:rsid w:val="006658F3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6658F3"/>
    <w:pPr>
      <w:spacing w:before="720" w:after="240"/>
      <w:jc w:val="center"/>
    </w:pPr>
    <w:rPr>
      <w:lang w:val="en-GB"/>
    </w:rPr>
  </w:style>
  <w:style w:type="paragraph" w:customStyle="1" w:styleId="Institutionquiagit">
    <w:name w:val="Institution qui agit"/>
    <w:basedOn w:val="Normal"/>
    <w:next w:val="Normal"/>
    <w:rsid w:val="000F54F1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FootnoteTextForceStyle">
    <w:name w:val="Footnote Text ForceStyle"/>
    <w:rsid w:val="0041238F"/>
    <w:pPr>
      <w:keepLines/>
      <w:widowControl w:val="0"/>
      <w:spacing w:line="240" w:lineRule="exact"/>
      <w:ind w:left="850" w:hanging="850"/>
    </w:pPr>
    <w:rPr>
      <w:sz w:val="24"/>
      <w:lang w:val="sk-SK" w:eastAsia="en-US"/>
    </w:rPr>
  </w:style>
  <w:style w:type="character" w:customStyle="1" w:styleId="Hyperlink1">
    <w:name w:val="Hyperlink1"/>
    <w:basedOn w:val="DefaultParagraphFont"/>
    <w:uiPriority w:val="99"/>
    <w:unhideWhenUsed/>
    <w:rsid w:val="004123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2025-10-20T14:58:00Z</dcterms:created>
  <dcterms:modified xsi:type="dcterms:W3CDTF">2025-10-20T14:58:00Z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