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F5298" w14:paraId="69177811" w14:textId="77777777" w:rsidTr="0010095E">
        <w:trPr>
          <w:trHeight w:hRule="exact" w:val="1418"/>
        </w:trPr>
        <w:tc>
          <w:tcPr>
            <w:tcW w:w="6804" w:type="dxa"/>
            <w:shd w:val="clear" w:color="auto" w:fill="auto"/>
            <w:vAlign w:val="center"/>
          </w:tcPr>
          <w:p w14:paraId="7E017647" w14:textId="77777777" w:rsidR="00751A4A" w:rsidRPr="00CF5298" w:rsidRDefault="00DC77D8" w:rsidP="0010095E">
            <w:pPr>
              <w:pStyle w:val="EPName"/>
            </w:pPr>
            <w:r w:rsidRPr="00CF5298">
              <w:t>Ευρωπαϊκό Κοινοβούλιο</w:t>
            </w:r>
          </w:p>
          <w:p w14:paraId="19238C1D" w14:textId="77777777" w:rsidR="00751A4A" w:rsidRPr="00CF5298" w:rsidRDefault="005F1B17" w:rsidP="005F1B17">
            <w:pPr>
              <w:pStyle w:val="EPTerm"/>
              <w:rPr>
                <w:rStyle w:val="HideTWBExt"/>
                <w:noProof w:val="0"/>
                <w:vanish w:val="0"/>
                <w:color w:val="auto"/>
              </w:rPr>
            </w:pPr>
            <w:r w:rsidRPr="00CF5298">
              <w:t>2024</w:t>
            </w:r>
            <w:r w:rsidR="00817416" w:rsidRPr="00CF5298">
              <w:t>-202</w:t>
            </w:r>
            <w:r w:rsidRPr="00CF5298">
              <w:t>9</w:t>
            </w:r>
          </w:p>
        </w:tc>
        <w:tc>
          <w:tcPr>
            <w:tcW w:w="2268" w:type="dxa"/>
            <w:shd w:val="clear" w:color="auto" w:fill="auto"/>
          </w:tcPr>
          <w:p w14:paraId="03C2F401" w14:textId="77777777" w:rsidR="00751A4A" w:rsidRPr="00CF5298" w:rsidRDefault="00187494" w:rsidP="0010095E">
            <w:pPr>
              <w:pStyle w:val="EPLogo"/>
            </w:pPr>
            <w:r w:rsidRPr="00CF5298">
              <w:rPr>
                <w:noProof/>
                <w:lang w:val="en-GB"/>
              </w:rPr>
              <w:drawing>
                <wp:inline distT="0" distB="0" distL="0" distR="0" wp14:anchorId="12597D74" wp14:editId="0E2E79F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4661CBC" w14:textId="77777777" w:rsidR="00D058B8" w:rsidRPr="00CF5298" w:rsidRDefault="00D058B8" w:rsidP="004C5D52">
      <w:pPr>
        <w:pStyle w:val="LineTop"/>
      </w:pPr>
    </w:p>
    <w:p w14:paraId="1C693C1B" w14:textId="77777777" w:rsidR="00680577" w:rsidRPr="00CF5298" w:rsidRDefault="00DC77D8" w:rsidP="00680577">
      <w:pPr>
        <w:pStyle w:val="EPBodyTA1"/>
      </w:pPr>
      <w:r w:rsidRPr="00CF5298">
        <w:t>ΚΕΙΜΕΝΑ ΠΟΥ ΕΓΚΡΙΘΗΚΑΝ</w:t>
      </w:r>
    </w:p>
    <w:p w14:paraId="0C338931" w14:textId="77777777" w:rsidR="00D058B8" w:rsidRPr="00CF5298" w:rsidRDefault="00D058B8" w:rsidP="00D058B8">
      <w:pPr>
        <w:pStyle w:val="LineBottom"/>
      </w:pPr>
    </w:p>
    <w:p w14:paraId="3022C4D0" w14:textId="46CA4EA3" w:rsidR="00DC77D8" w:rsidRPr="00F647F0" w:rsidRDefault="00DC77D8" w:rsidP="00DC77D8">
      <w:pPr>
        <w:pStyle w:val="ATHeading1"/>
      </w:pPr>
      <w:bookmarkStart w:id="0" w:name="TANumber"/>
      <w:r w:rsidRPr="00CF5298">
        <w:t>P10_TA(2025)0</w:t>
      </w:r>
      <w:bookmarkEnd w:id="0"/>
      <w:r w:rsidR="004564B6" w:rsidRPr="00F647F0">
        <w:t>180</w:t>
      </w:r>
    </w:p>
    <w:p w14:paraId="40E53940" w14:textId="77777777" w:rsidR="00DC77D8" w:rsidRPr="00CF5298" w:rsidRDefault="008B0F99" w:rsidP="00DC77D8">
      <w:pPr>
        <w:pStyle w:val="ATHeading2"/>
      </w:pPr>
      <w:bookmarkStart w:id="1" w:name="title"/>
      <w:r w:rsidRPr="00CF5298">
        <w:t>Διαδικασίες αφερεγγυότητας: αντικατάσταση των παραρτημάτων Α και Β</w:t>
      </w:r>
      <w:bookmarkEnd w:id="1"/>
    </w:p>
    <w:p w14:paraId="34D23659" w14:textId="77777777" w:rsidR="00DC77D8" w:rsidRPr="00CF5298" w:rsidRDefault="00DC77D8" w:rsidP="00DC77D8">
      <w:pPr>
        <w:rPr>
          <w:i/>
          <w:vanish/>
        </w:rPr>
      </w:pPr>
      <w:r w:rsidRPr="00CF5298">
        <w:rPr>
          <w:i/>
        </w:rPr>
        <w:fldChar w:fldCharType="begin"/>
      </w:r>
      <w:r w:rsidRPr="00CF5298">
        <w:rPr>
          <w:i/>
        </w:rPr>
        <w:instrText xml:space="preserve"> TC"(</w:instrText>
      </w:r>
      <w:bookmarkStart w:id="2" w:name="DocNumber"/>
      <w:r w:rsidRPr="00CF5298">
        <w:rPr>
          <w:i/>
        </w:rPr>
        <w:instrText>A10-0127/2025</w:instrText>
      </w:r>
      <w:bookmarkEnd w:id="2"/>
      <w:r w:rsidRPr="00CF5298">
        <w:rPr>
          <w:i/>
        </w:rPr>
        <w:instrText xml:space="preserve"> - Εισηγητής: Ilhan Kyuchyuk)"\l3 \n&gt; \* MERGEFORMAT </w:instrText>
      </w:r>
      <w:r w:rsidRPr="00CF5298">
        <w:rPr>
          <w:i/>
        </w:rPr>
        <w:fldChar w:fldCharType="end"/>
      </w:r>
    </w:p>
    <w:p w14:paraId="7F7BD5F6" w14:textId="77777777" w:rsidR="00DC77D8" w:rsidRPr="00CF5298" w:rsidRDefault="00DC77D8" w:rsidP="00DC77D8">
      <w:pPr>
        <w:rPr>
          <w:vanish/>
        </w:rPr>
      </w:pPr>
      <w:bookmarkStart w:id="3" w:name="Commission"/>
      <w:r w:rsidRPr="00CF5298">
        <w:rPr>
          <w:vanish/>
        </w:rPr>
        <w:t>Επιτροπή Νομικών Θεμάτων</w:t>
      </w:r>
      <w:bookmarkEnd w:id="3"/>
    </w:p>
    <w:p w14:paraId="4CCC3235" w14:textId="77777777" w:rsidR="00DC77D8" w:rsidRPr="00CF5298" w:rsidRDefault="00DC77D8" w:rsidP="00DC77D8">
      <w:pPr>
        <w:rPr>
          <w:vanish/>
        </w:rPr>
      </w:pPr>
      <w:bookmarkStart w:id="4" w:name="PE"/>
      <w:r w:rsidRPr="00CF5298">
        <w:rPr>
          <w:vanish/>
        </w:rPr>
        <w:t>PE775.423</w:t>
      </w:r>
      <w:bookmarkEnd w:id="4"/>
    </w:p>
    <w:p w14:paraId="50AEEE33" w14:textId="5165BDEE" w:rsidR="00DC77D8" w:rsidRPr="00CF5298" w:rsidRDefault="00DC77D8" w:rsidP="00DC77D8">
      <w:pPr>
        <w:pStyle w:val="ATHeading3"/>
      </w:pPr>
      <w:bookmarkStart w:id="5" w:name="Sujet"/>
      <w:r w:rsidRPr="00CF5298">
        <w:t xml:space="preserve">Νομοθετικό ψήφισμα του Ευρωπαϊκού Κοινοβουλίου </w:t>
      </w:r>
      <w:r w:rsidR="008B0F99" w:rsidRPr="00CF5298">
        <w:t xml:space="preserve">της </w:t>
      </w:r>
      <w:r w:rsidR="00B32B09" w:rsidRPr="00CF5298">
        <w:t>10</w:t>
      </w:r>
      <w:r w:rsidR="008B0F99" w:rsidRPr="00CF5298">
        <w:t xml:space="preserve">ης Σεπτεμβρίου 2025 </w:t>
      </w:r>
      <w:r w:rsidRPr="00CF5298">
        <w:t>σχετικά με την πρόταση κανονισμού του Ευρωπαϊκού Κοινοβουλίου και του Συμβουλίου για την τροποποίηση του κανονισμού (ΕΕ) 2015/848 περί των διαδικασιών αφερεγγυότητας με σκοπό την αντικατάσταση των παραρτημάτων του Α και Β</w:t>
      </w:r>
      <w:bookmarkEnd w:id="5"/>
      <w:r w:rsidRPr="00CF5298">
        <w:t xml:space="preserve"> </w:t>
      </w:r>
      <w:bookmarkStart w:id="6" w:name="References"/>
      <w:r w:rsidRPr="00CF5298">
        <w:t>(COM(2025</w:t>
      </w:r>
      <w:r w:rsidR="008B0F99" w:rsidRPr="00CF5298">
        <w:t>)</w:t>
      </w:r>
      <w:r w:rsidRPr="00CF5298">
        <w:t>0040) – C10-0009/2025 – 2025/0023(COD))</w:t>
      </w:r>
      <w:bookmarkEnd w:id="6"/>
    </w:p>
    <w:p w14:paraId="61F4F749" w14:textId="77777777" w:rsidR="008B0F99" w:rsidRPr="00CF5298" w:rsidRDefault="008B0F99" w:rsidP="007207E2">
      <w:pPr>
        <w:pStyle w:val="NormalBold"/>
      </w:pPr>
      <w:bookmarkStart w:id="7" w:name="TextBodyBegin"/>
      <w:bookmarkEnd w:id="7"/>
    </w:p>
    <w:p w14:paraId="0DBFA6C8" w14:textId="77777777" w:rsidR="007207E2" w:rsidRPr="00CF5298" w:rsidRDefault="007207E2" w:rsidP="007207E2">
      <w:pPr>
        <w:pStyle w:val="NormalBold"/>
      </w:pPr>
      <w:r w:rsidRPr="00CF5298">
        <w:t>(Συνήθης νομοθετική διαδικασία: πρώτη ανάγνωση)</w:t>
      </w:r>
    </w:p>
    <w:p w14:paraId="0C6DF26B" w14:textId="77777777" w:rsidR="007207E2" w:rsidRPr="00CF5298" w:rsidRDefault="007207E2" w:rsidP="007207E2">
      <w:pPr>
        <w:pStyle w:val="EPComma"/>
      </w:pPr>
      <w:r w:rsidRPr="00CF5298">
        <w:rPr>
          <w:i/>
        </w:rPr>
        <w:t>Το Ευρωπαϊκό Κοινοβούλιο</w:t>
      </w:r>
      <w:r w:rsidRPr="00CF5298">
        <w:t>,</w:t>
      </w:r>
    </w:p>
    <w:p w14:paraId="70F9A957" w14:textId="77777777" w:rsidR="007207E2" w:rsidRPr="00CF5298" w:rsidRDefault="007207E2" w:rsidP="007207E2">
      <w:pPr>
        <w:pStyle w:val="NormalHanging12a"/>
      </w:pPr>
      <w:r w:rsidRPr="00CF5298">
        <w:t>–</w:t>
      </w:r>
      <w:r w:rsidRPr="00CF5298">
        <w:tab/>
        <w:t>έχοντας υπόψη την πρόταση της Επιτροπής προς το Κοινοβούλιο και το Συμβούλιο (COM(2025)0040),</w:t>
      </w:r>
    </w:p>
    <w:p w14:paraId="34E270D5" w14:textId="77777777" w:rsidR="007207E2" w:rsidRPr="00CF5298" w:rsidRDefault="007207E2" w:rsidP="007207E2">
      <w:pPr>
        <w:pStyle w:val="NormalHanging12a"/>
      </w:pPr>
      <w:r w:rsidRPr="00CF5298">
        <w:t>–</w:t>
      </w:r>
      <w:r w:rsidRPr="00CF5298">
        <w:tab/>
        <w:t xml:space="preserve">έχοντας υπόψη το άρθρο 294 παράγραφος 2 και το άρθρο 81 παράγραφος 2 στοιχεία α), γ) και </w:t>
      </w:r>
      <w:proofErr w:type="spellStart"/>
      <w:r w:rsidRPr="00CF5298">
        <w:t>στ</w:t>
      </w:r>
      <w:proofErr w:type="spellEnd"/>
      <w:r w:rsidRPr="00CF5298">
        <w:t>) της Συνθήκης για τη λειτουργία της Ευρωπαϊκής Ένωσης, σύμφωνα με τα οποία του υποβλήθηκε η πρόταση από την Επιτροπή (C10</w:t>
      </w:r>
      <w:r w:rsidRPr="00CF5298">
        <w:noBreakHyphen/>
        <w:t>0009/2025),</w:t>
      </w:r>
    </w:p>
    <w:p w14:paraId="6E0F6987" w14:textId="74CBF9C0" w:rsidR="007207E2" w:rsidRDefault="007207E2" w:rsidP="007207E2">
      <w:pPr>
        <w:pStyle w:val="NormalHanging12a"/>
      </w:pPr>
      <w:r w:rsidRPr="00CF5298">
        <w:t>–</w:t>
      </w:r>
      <w:r w:rsidRPr="00CF5298">
        <w:tab/>
        <w:t>έχοντας υπόψη το άρθρο 294 παράγραφος 3 της Συνθήκης για τη λειτουργία της Ευρωπαϊκής Ένωσης,</w:t>
      </w:r>
    </w:p>
    <w:p w14:paraId="50393EB3" w14:textId="7F617236" w:rsidR="006C0DA6" w:rsidRPr="00CF5298" w:rsidRDefault="006C0DA6" w:rsidP="007207E2">
      <w:pPr>
        <w:pStyle w:val="NormalHanging12a"/>
      </w:pPr>
      <w:r w:rsidRPr="006C0DA6">
        <w:t>–</w:t>
      </w:r>
      <w:r w:rsidRPr="006C0DA6">
        <w:tab/>
        <w:t xml:space="preserve">έχοντας υπόψη τη δέσμευση του εκπροσώπου του Συμβουλίου, με επιστολή της </w:t>
      </w:r>
      <w:r>
        <w:t>17</w:t>
      </w:r>
      <w:r w:rsidRPr="006C0DA6">
        <w:t>ης Ιουλίου 2025, να εγκρίνει τη θέση του Κοινοβουλίου, σύμφωνα με το άρθρο 294 παράγραφος 4 της Συνθήκης για τη λειτουργία της Ευρωπαϊκής Ένωσης,</w:t>
      </w:r>
    </w:p>
    <w:p w14:paraId="60504B30" w14:textId="77777777" w:rsidR="007207E2" w:rsidRPr="00CF5298" w:rsidRDefault="007207E2" w:rsidP="007207E2">
      <w:pPr>
        <w:pStyle w:val="NormalHanging12a"/>
      </w:pPr>
      <w:r w:rsidRPr="00CF5298">
        <w:t>–</w:t>
      </w:r>
      <w:r w:rsidRPr="00CF5298">
        <w:tab/>
        <w:t>έχοντας υπόψη το άρθρο 60 του Κανονισμού του,</w:t>
      </w:r>
    </w:p>
    <w:p w14:paraId="0361670E" w14:textId="77777777" w:rsidR="007207E2" w:rsidRPr="00CF5298" w:rsidRDefault="007207E2" w:rsidP="007207E2">
      <w:pPr>
        <w:pStyle w:val="NormalHanging12a"/>
      </w:pPr>
      <w:r w:rsidRPr="00CF5298">
        <w:t>–</w:t>
      </w:r>
      <w:r w:rsidRPr="00CF5298">
        <w:tab/>
        <w:t>έχοντας υπόψη την έκθεση της Επιτροπής Νομικών Θεμάτων (A10-0127/2025),</w:t>
      </w:r>
    </w:p>
    <w:p w14:paraId="4ABB25CE" w14:textId="77777777" w:rsidR="007207E2" w:rsidRPr="00CF5298" w:rsidRDefault="007207E2" w:rsidP="007207E2">
      <w:pPr>
        <w:pStyle w:val="NormalHanging12a"/>
      </w:pPr>
      <w:r w:rsidRPr="00CF5298">
        <w:t>1.</w:t>
      </w:r>
      <w:r w:rsidRPr="00CF5298">
        <w:tab/>
        <w:t>εγκρίνει τη θέση του σε πρώτη ανάγνωση όπως παρατίθεται κατωτέρω·</w:t>
      </w:r>
    </w:p>
    <w:p w14:paraId="08A61FA3" w14:textId="77777777" w:rsidR="007207E2" w:rsidRPr="00CF5298" w:rsidRDefault="007207E2" w:rsidP="007207E2">
      <w:pPr>
        <w:pStyle w:val="NormalHanging12a"/>
      </w:pPr>
      <w:r w:rsidRPr="00CF5298">
        <w:t>2.</w:t>
      </w:r>
      <w:r w:rsidRPr="00CF5298">
        <w:tab/>
        <w:t>ζητεί από την Επιτροπή να υποβάλει εκ νέου την πρόταση στο Κοινοβούλιο, αν την αντικαταστήσει με νέο κείμενο, αν της επιφέρει σημαντικές τροποποιήσεις ή αν προτίθεται να της επιφέρει σημαντικές τροποποιήσεις·</w:t>
      </w:r>
    </w:p>
    <w:p w14:paraId="681874D9" w14:textId="77777777" w:rsidR="007207E2" w:rsidRPr="00CF5298" w:rsidRDefault="007207E2" w:rsidP="007207E2">
      <w:pPr>
        <w:pStyle w:val="NormalHanging12a"/>
      </w:pPr>
      <w:r w:rsidRPr="00CF5298">
        <w:t>3.</w:t>
      </w:r>
      <w:r w:rsidRPr="00CF5298">
        <w:tab/>
        <w:t xml:space="preserve">αναθέτει στην Πρόεδρό του να διαβιβάσει τη θέση του Κοινοβουλίου στο Συμβούλιο, </w:t>
      </w:r>
      <w:r w:rsidRPr="00CF5298">
        <w:lastRenderedPageBreak/>
        <w:t>στην Επιτροπή και στα εθνικά κοινοβούλια.</w:t>
      </w:r>
    </w:p>
    <w:p w14:paraId="0D47915C" w14:textId="77777777" w:rsidR="007207E2" w:rsidRPr="00CF5298" w:rsidRDefault="007207E2" w:rsidP="007207E2"/>
    <w:p w14:paraId="0E71F2D5" w14:textId="77777777" w:rsidR="00CF5298" w:rsidRPr="00CF5298" w:rsidRDefault="00CF5298">
      <w:pPr>
        <w:widowControl/>
        <w:sectPr w:rsidR="00CF5298" w:rsidRPr="00CF5298" w:rsidSect="00CF5298">
          <w:headerReference w:type="default" r:id="rId9"/>
          <w:pgSz w:w="11907" w:h="16840" w:code="9"/>
          <w:pgMar w:top="1134" w:right="1418" w:bottom="1418" w:left="1418" w:header="567" w:footer="567" w:gutter="0"/>
          <w:cols w:space="720"/>
          <w:docGrid w:linePitch="326"/>
        </w:sectPr>
      </w:pPr>
    </w:p>
    <w:p w14:paraId="5B1306E4" w14:textId="0493CA47" w:rsidR="00B32B09" w:rsidRPr="00CF5298" w:rsidRDefault="00B32B09" w:rsidP="00B32B09">
      <w:pPr>
        <w:spacing w:after="240"/>
        <w:rPr>
          <w:b/>
        </w:rPr>
      </w:pPr>
      <w:r w:rsidRPr="00CF5298">
        <w:rPr>
          <w:b/>
        </w:rPr>
        <w:lastRenderedPageBreak/>
        <w:t>P10_TC1-COD(2025)0023</w:t>
      </w:r>
    </w:p>
    <w:p w14:paraId="0F9D08FD" w14:textId="1C35B36A" w:rsidR="0086485E" w:rsidRPr="00CF5298" w:rsidRDefault="00B32B09" w:rsidP="00B32B09">
      <w:pPr>
        <w:spacing w:after="240"/>
        <w:rPr>
          <w:rFonts w:eastAsia="Calibri"/>
          <w:b/>
          <w:bCs/>
          <w:noProof/>
          <w:color w:val="000000"/>
          <w:szCs w:val="22"/>
          <w:lang w:eastAsia="en-US"/>
        </w:rPr>
      </w:pPr>
      <w:r w:rsidRPr="00CF5298">
        <w:rPr>
          <w:b/>
        </w:rPr>
        <w:t xml:space="preserve">Θέση του Ευρωπαϊκού Κοινοβουλίου που καθορίστηκε σε πρώτη ανάγνωση στις 10 Σεπτεμβρίου 2025 εν όψει της έγκρισης κανονισμού (ΕΕ) 2025/... του Ευρωπαϊκού Κοινοβουλίου και του Συμβουλίου </w:t>
      </w:r>
      <w:r w:rsidR="0086485E" w:rsidRPr="00CF5298">
        <w:rPr>
          <w:rFonts w:eastAsia="Calibri"/>
          <w:b/>
          <w:color w:val="000000"/>
          <w:szCs w:val="22"/>
          <w:lang w:eastAsia="en-US"/>
        </w:rPr>
        <w:t>σχετικά με την τροποποίηση του κανονισμού (ΕΕ) 2015/848 περί των διαδικασιών αφερεγγυότητας για την αντικατάσταση των παραρτημάτων του Α και Β</w:t>
      </w:r>
    </w:p>
    <w:p w14:paraId="1293D95F" w14:textId="7DE85FD9" w:rsidR="00F647F0" w:rsidRDefault="00F647F0" w:rsidP="00F647F0">
      <w:pPr>
        <w:rPr>
          <w:i/>
        </w:rPr>
      </w:pPr>
      <w:bookmarkStart w:id="8" w:name="_Hlk211856872"/>
      <w:r w:rsidRPr="007B7B26">
        <w:rPr>
          <w:i/>
        </w:rPr>
        <w:t>(Καθώς έχει επιτευχθεί συμφωνία μεταξύ του Κοινοβουλίου και του Συμβουλίου, η θέση του Κοινοβουλίου αντιστοιχεί στην τελική νομοθετική πράξη, κανονισμός (Ε</w:t>
      </w:r>
      <w:r>
        <w:rPr>
          <w:i/>
        </w:rPr>
        <w:t>Ε</w:t>
      </w:r>
      <w:r w:rsidRPr="007B7B26">
        <w:rPr>
          <w:i/>
        </w:rPr>
        <w:t xml:space="preserve">) </w:t>
      </w:r>
      <w:r>
        <w:rPr>
          <w:i/>
        </w:rPr>
        <w:t>202</w:t>
      </w:r>
      <w:r w:rsidRPr="000B2035">
        <w:rPr>
          <w:i/>
        </w:rPr>
        <w:t>5</w:t>
      </w:r>
      <w:r>
        <w:rPr>
          <w:i/>
        </w:rPr>
        <w:t>/</w:t>
      </w:r>
      <w:r w:rsidRPr="00F647F0">
        <w:rPr>
          <w:i/>
        </w:rPr>
        <w:t>2073</w:t>
      </w:r>
      <w:r>
        <w:rPr>
          <w:i/>
        </w:rPr>
        <w:t>.</w:t>
      </w:r>
      <w:r w:rsidRPr="007B7B26">
        <w:rPr>
          <w:i/>
        </w:rPr>
        <w:t>)</w:t>
      </w:r>
    </w:p>
    <w:bookmarkEnd w:id="8"/>
    <w:p w14:paraId="2A657C2C" w14:textId="77777777" w:rsidR="007207E2" w:rsidRPr="00F647F0" w:rsidRDefault="007207E2" w:rsidP="0086485E">
      <w:pPr>
        <w:pStyle w:val="AmNumberTabs"/>
      </w:pPr>
    </w:p>
    <w:sectPr w:rsidR="007207E2" w:rsidRPr="00F647F0" w:rsidSect="00CF5298">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4D3C1A" w14:textId="77777777" w:rsidR="00DC77D8" w:rsidRPr="00501AF4" w:rsidRDefault="00DC77D8">
      <w:r w:rsidRPr="00501AF4">
        <w:separator/>
      </w:r>
    </w:p>
  </w:endnote>
  <w:endnote w:type="continuationSeparator" w:id="0">
    <w:p w14:paraId="548C0E53" w14:textId="77777777" w:rsidR="00DC77D8" w:rsidRPr="00501AF4" w:rsidRDefault="00DC77D8">
      <w:r w:rsidRPr="00501AF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383703" w14:textId="77777777" w:rsidR="00064002" w:rsidRPr="00501AF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27C03" w14:textId="77777777" w:rsidR="00064002" w:rsidRPr="00501AF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6CE4C" w14:textId="77777777" w:rsidR="00064002" w:rsidRPr="00501AF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A4F7B6" w14:textId="77777777" w:rsidR="00DC77D8" w:rsidRPr="00501AF4" w:rsidRDefault="00DC77D8">
      <w:r w:rsidRPr="00501AF4">
        <w:separator/>
      </w:r>
    </w:p>
  </w:footnote>
  <w:footnote w:type="continuationSeparator" w:id="0">
    <w:p w14:paraId="410716D0" w14:textId="77777777" w:rsidR="00DC77D8" w:rsidRPr="00501AF4" w:rsidRDefault="00DC77D8">
      <w:r w:rsidRPr="00501AF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2B38C" w14:textId="77777777" w:rsidR="0086485E" w:rsidRPr="00E939D4" w:rsidRDefault="0086485E" w:rsidP="00E939D4">
    <w:pPr>
      <w:pStyle w:val="HeaderCouncilLarge"/>
    </w:pPr>
    <w:r>
      <w:t>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5A542" w14:textId="77777777" w:rsidR="00064002" w:rsidRPr="00501AF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64D63" w14:textId="77777777" w:rsidR="00064002" w:rsidRPr="00501AF4" w:rsidRDefault="0006400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5C84AF" w14:textId="77777777" w:rsidR="00064002" w:rsidRPr="00501AF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num w:numId="1" w16cid:durableId="1781949262">
    <w:abstractNumId w:val="9"/>
  </w:num>
  <w:num w:numId="2" w16cid:durableId="1872910736">
    <w:abstractNumId w:val="9"/>
  </w:num>
  <w:num w:numId="3" w16cid:durableId="252935834">
    <w:abstractNumId w:val="7"/>
  </w:num>
  <w:num w:numId="4" w16cid:durableId="1477868744">
    <w:abstractNumId w:val="7"/>
  </w:num>
  <w:num w:numId="5" w16cid:durableId="425425162">
    <w:abstractNumId w:val="6"/>
  </w:num>
  <w:num w:numId="6" w16cid:durableId="1873574898">
    <w:abstractNumId w:val="6"/>
  </w:num>
  <w:num w:numId="7" w16cid:durableId="802620757">
    <w:abstractNumId w:val="5"/>
  </w:num>
  <w:num w:numId="8" w16cid:durableId="187916083">
    <w:abstractNumId w:val="5"/>
  </w:num>
  <w:num w:numId="9" w16cid:durableId="1304041911">
    <w:abstractNumId w:val="4"/>
  </w:num>
  <w:num w:numId="10" w16cid:durableId="917330049">
    <w:abstractNumId w:val="4"/>
  </w:num>
  <w:num w:numId="11" w16cid:durableId="979309049">
    <w:abstractNumId w:val="8"/>
  </w:num>
  <w:num w:numId="12" w16cid:durableId="2085377511">
    <w:abstractNumId w:val="8"/>
  </w:num>
  <w:num w:numId="13" w16cid:durableId="965621057">
    <w:abstractNumId w:val="3"/>
  </w:num>
  <w:num w:numId="14" w16cid:durableId="1836610795">
    <w:abstractNumId w:val="3"/>
  </w:num>
  <w:num w:numId="15" w16cid:durableId="960846670">
    <w:abstractNumId w:val="2"/>
  </w:num>
  <w:num w:numId="16" w16cid:durableId="736053927">
    <w:abstractNumId w:val="2"/>
  </w:num>
  <w:num w:numId="17" w16cid:durableId="590743797">
    <w:abstractNumId w:val="1"/>
  </w:num>
  <w:num w:numId="18" w16cid:durableId="1187911908">
    <w:abstractNumId w:val="1"/>
  </w:num>
  <w:num w:numId="19" w16cid:durableId="1731924887">
    <w:abstractNumId w:val="0"/>
  </w:num>
  <w:num w:numId="20" w16cid:durableId="1634827500">
    <w:abstractNumId w:val="0"/>
  </w:num>
  <w:num w:numId="21" w16cid:durableId="662046434">
    <w:abstractNumId w:val="9"/>
  </w:num>
  <w:num w:numId="22" w16cid:durableId="507140282">
    <w:abstractNumId w:val="7"/>
  </w:num>
  <w:num w:numId="23" w16cid:durableId="1482969035">
    <w:abstractNumId w:val="6"/>
  </w:num>
  <w:num w:numId="24" w16cid:durableId="1695883624">
    <w:abstractNumId w:val="5"/>
  </w:num>
  <w:num w:numId="25" w16cid:durableId="1041594212">
    <w:abstractNumId w:val="4"/>
  </w:num>
  <w:num w:numId="26" w16cid:durableId="162550832">
    <w:abstractNumId w:val="8"/>
  </w:num>
  <w:num w:numId="27" w16cid:durableId="1568296403">
    <w:abstractNumId w:val="3"/>
  </w:num>
  <w:num w:numId="28" w16cid:durableId="944575663">
    <w:abstractNumId w:val="2"/>
  </w:num>
  <w:num w:numId="29" w16cid:durableId="301891012">
    <w:abstractNumId w:val="1"/>
  </w:num>
  <w:num w:numId="30" w16cid:durableId="367027710">
    <w:abstractNumId w:val="0"/>
  </w:num>
  <w:num w:numId="31" w16cid:durableId="798644457">
    <w:abstractNumId w:val="9"/>
  </w:num>
  <w:num w:numId="32" w16cid:durableId="2121753382">
    <w:abstractNumId w:val="7"/>
  </w:num>
  <w:num w:numId="33" w16cid:durableId="2090035400">
    <w:abstractNumId w:val="6"/>
  </w:num>
  <w:num w:numId="34" w16cid:durableId="1130054756">
    <w:abstractNumId w:val="5"/>
  </w:num>
  <w:num w:numId="35" w16cid:durableId="1333341002">
    <w:abstractNumId w:val="4"/>
  </w:num>
  <w:num w:numId="36" w16cid:durableId="1971544900">
    <w:abstractNumId w:val="8"/>
  </w:num>
  <w:num w:numId="37" w16cid:durableId="1716272777">
    <w:abstractNumId w:val="3"/>
  </w:num>
  <w:num w:numId="38" w16cid:durableId="770587060">
    <w:abstractNumId w:val="2"/>
  </w:num>
  <w:num w:numId="39" w16cid:durableId="1632711455">
    <w:abstractNumId w:val="1"/>
  </w:num>
  <w:num w:numId="40" w16cid:durableId="266156728">
    <w:abstractNumId w:val="0"/>
  </w:num>
  <w:num w:numId="41" w16cid:durableId="1152058985">
    <w:abstractNumId w:val="10"/>
  </w:num>
  <w:num w:numId="42" w16cid:durableId="481310216">
    <w:abstractNumId w:val="10"/>
  </w:num>
  <w:num w:numId="43" w16cid:durableId="1790469516">
    <w:abstractNumId w:val="10"/>
  </w:num>
  <w:num w:numId="44" w16cid:durableId="100153670">
    <w:abstractNumId w:val="11"/>
  </w:num>
  <w:num w:numId="45" w16cid:durableId="81494890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27/2025"/>
    <w:docVar w:name="dvlangue" w:val="EL"/>
    <w:docVar w:name="dvnumam" w:val="0"/>
    <w:docVar w:name="dvpe" w:val="775.423"/>
    <w:docVar w:name="dvrapporteur" w:val="Εισηγητής: "/>
    <w:docVar w:name="dvstar" w:val="***I"/>
    <w:docVar w:name="dvtitre" w:val="Νομοθετικό ψήφισμα του Ευρωπαϊκού Κοινοβουλίου σχετικά με την πρόταση κανονισμού του Ευρωπαϊκού Κοινοβουλίου και του Συμβουλίου για την τροποποίηση του κανονισμού (ΕΕ) 2015/848 περί των διαδικασιών αφερεγγυότητας με σκοπό την αντικατάσταση των παραρτημάτων του Α και Β(COM(2025/0040) – C10-0009/2025 – 2025/0023(COD))"/>
  </w:docVars>
  <w:rsids>
    <w:rsidRoot w:val="00DC77D8"/>
    <w:rsid w:val="00002272"/>
    <w:rsid w:val="00064002"/>
    <w:rsid w:val="000677B9"/>
    <w:rsid w:val="000831BA"/>
    <w:rsid w:val="000A42CC"/>
    <w:rsid w:val="000E7DD9"/>
    <w:rsid w:val="0010095E"/>
    <w:rsid w:val="00125B37"/>
    <w:rsid w:val="00187494"/>
    <w:rsid w:val="001F32AE"/>
    <w:rsid w:val="002767FF"/>
    <w:rsid w:val="00280B49"/>
    <w:rsid w:val="002B18FE"/>
    <w:rsid w:val="002B5493"/>
    <w:rsid w:val="00343214"/>
    <w:rsid w:val="00361C00"/>
    <w:rsid w:val="00395FA1"/>
    <w:rsid w:val="003E15D4"/>
    <w:rsid w:val="00411CCE"/>
    <w:rsid w:val="0041666E"/>
    <w:rsid w:val="00421060"/>
    <w:rsid w:val="004564B6"/>
    <w:rsid w:val="00471C19"/>
    <w:rsid w:val="004867E3"/>
    <w:rsid w:val="00494A28"/>
    <w:rsid w:val="004C0004"/>
    <w:rsid w:val="004C5D52"/>
    <w:rsid w:val="00501AF4"/>
    <w:rsid w:val="0050519A"/>
    <w:rsid w:val="005072A1"/>
    <w:rsid w:val="00514517"/>
    <w:rsid w:val="00545827"/>
    <w:rsid w:val="00560270"/>
    <w:rsid w:val="005C2568"/>
    <w:rsid w:val="005D0E0B"/>
    <w:rsid w:val="005F1B17"/>
    <w:rsid w:val="006037C0"/>
    <w:rsid w:val="006631B6"/>
    <w:rsid w:val="00680577"/>
    <w:rsid w:val="006C0DA6"/>
    <w:rsid w:val="006F74FA"/>
    <w:rsid w:val="007207E2"/>
    <w:rsid w:val="00731ADD"/>
    <w:rsid w:val="00734777"/>
    <w:rsid w:val="00747932"/>
    <w:rsid w:val="00751678"/>
    <w:rsid w:val="00751A4A"/>
    <w:rsid w:val="00756632"/>
    <w:rsid w:val="00762C74"/>
    <w:rsid w:val="00786EC0"/>
    <w:rsid w:val="007D1690"/>
    <w:rsid w:val="007E22AD"/>
    <w:rsid w:val="00817416"/>
    <w:rsid w:val="00842779"/>
    <w:rsid w:val="0086485E"/>
    <w:rsid w:val="00865F67"/>
    <w:rsid w:val="00881A7B"/>
    <w:rsid w:val="008840E5"/>
    <w:rsid w:val="00887B3E"/>
    <w:rsid w:val="008B0F99"/>
    <w:rsid w:val="008C2AC6"/>
    <w:rsid w:val="00930C23"/>
    <w:rsid w:val="0093193B"/>
    <w:rsid w:val="009509D8"/>
    <w:rsid w:val="00950B64"/>
    <w:rsid w:val="00981893"/>
    <w:rsid w:val="00A1687D"/>
    <w:rsid w:val="00A43E52"/>
    <w:rsid w:val="00A4678D"/>
    <w:rsid w:val="00A778C7"/>
    <w:rsid w:val="00A91A32"/>
    <w:rsid w:val="00AB441E"/>
    <w:rsid w:val="00AB6293"/>
    <w:rsid w:val="00AE0928"/>
    <w:rsid w:val="00AF3B82"/>
    <w:rsid w:val="00B12E95"/>
    <w:rsid w:val="00B22876"/>
    <w:rsid w:val="00B32B09"/>
    <w:rsid w:val="00B558F0"/>
    <w:rsid w:val="00BA1560"/>
    <w:rsid w:val="00BD48FE"/>
    <w:rsid w:val="00BD7BD8"/>
    <w:rsid w:val="00BE6ADC"/>
    <w:rsid w:val="00C05BFE"/>
    <w:rsid w:val="00C23CD4"/>
    <w:rsid w:val="00C61C0C"/>
    <w:rsid w:val="00C941CB"/>
    <w:rsid w:val="00CC2357"/>
    <w:rsid w:val="00CF071A"/>
    <w:rsid w:val="00CF5298"/>
    <w:rsid w:val="00D058B8"/>
    <w:rsid w:val="00D56C11"/>
    <w:rsid w:val="00D834A0"/>
    <w:rsid w:val="00D872DF"/>
    <w:rsid w:val="00D91E21"/>
    <w:rsid w:val="00DA7FCD"/>
    <w:rsid w:val="00DC77D8"/>
    <w:rsid w:val="00E365E1"/>
    <w:rsid w:val="00E820A4"/>
    <w:rsid w:val="00EB006A"/>
    <w:rsid w:val="00EB4772"/>
    <w:rsid w:val="00ED169E"/>
    <w:rsid w:val="00ED4235"/>
    <w:rsid w:val="00F04346"/>
    <w:rsid w:val="00F075DC"/>
    <w:rsid w:val="00F149E9"/>
    <w:rsid w:val="00F5134D"/>
    <w:rsid w:val="00F647F0"/>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1E74D8"/>
  <w15:chartTrackingRefBased/>
  <w15:docId w15:val="{230EB1B4-A01C-4E25-BD65-C81F3BEE0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Superscript 6 Point,Footnote Reference Number,Footnote Reference_LVL6,Footnote Reference_LVL61,Footnote Reference_LVL62,Footnote Reference_LVL63,Footnote Reference_LVL64,Footnote call,BVI fnr,SUPERS,Footnote symbol,note TESI"/>
    <w:link w:val="BVIfnrZnak"/>
    <w:uiPriority w:val="99"/>
    <w:qFormat/>
    <w:rsid w:val="00395FA1"/>
    <w:rPr>
      <w:b w:val="0"/>
      <w:vertAlign w:val="superscript"/>
    </w:rPr>
  </w:style>
  <w:style w:type="paragraph" w:styleId="FootnoteText">
    <w:name w:val="footnote text"/>
    <w:aliases w:val="Footnote Text Char2,Footnote Text Char Char,Footnote text,Footnote Text Char1,Footnote Text Char2 Char,Footnote Text Char1 Char1 Char,Footnote Text Char2 Char Char Char,Footnote Text Char1 Char1 Char Char Char,Plonk,fn,fn Char Char,Fußnote"/>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2 Char1,Footnote Text Char Char Char,Footnote text Char,Footnote Text Char1 Char,Footnote Text Char2 Char Char,Footnote Text Char1 Char1 Char Char,Footnote Text Char2 Char Char Char Char,Plonk Char,fn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207E2"/>
    <w:pPr>
      <w:widowControl/>
      <w:tabs>
        <w:tab w:val="center" w:pos="4535"/>
        <w:tab w:val="right" w:pos="9921"/>
      </w:tabs>
      <w:ind w:left="-850" w:right="-850"/>
    </w:pPr>
    <w:rPr>
      <w:rFonts w:ascii="Arial" w:hAnsi="Arial" w:cs="Arial"/>
      <w:b/>
      <w:sz w:val="48"/>
    </w:rPr>
  </w:style>
  <w:style w:type="paragraph" w:customStyle="1" w:styleId="Normal6a">
    <w:name w:val="Normal6a"/>
    <w:basedOn w:val="Normal"/>
    <w:rsid w:val="007207E2"/>
    <w:pPr>
      <w:spacing w:after="120"/>
    </w:pPr>
  </w:style>
  <w:style w:type="paragraph" w:customStyle="1" w:styleId="PageHeading">
    <w:name w:val="PageHeading"/>
    <w:basedOn w:val="Normal"/>
    <w:rsid w:val="007207E2"/>
    <w:pPr>
      <w:keepNext/>
      <w:spacing w:after="480"/>
      <w:jc w:val="center"/>
    </w:pPr>
    <w:rPr>
      <w:rFonts w:ascii="Arial" w:hAnsi="Arial" w:cs="Arial"/>
      <w:b/>
    </w:rPr>
  </w:style>
  <w:style w:type="paragraph" w:customStyle="1" w:styleId="NormalBold">
    <w:name w:val="NormalBold"/>
    <w:basedOn w:val="Normal"/>
    <w:rsid w:val="007207E2"/>
    <w:rPr>
      <w:b/>
    </w:rPr>
  </w:style>
  <w:style w:type="paragraph" w:customStyle="1" w:styleId="NormalBold12a">
    <w:name w:val="NormalBold12a"/>
    <w:basedOn w:val="Normal"/>
    <w:rsid w:val="007207E2"/>
    <w:pPr>
      <w:spacing w:after="240"/>
    </w:pPr>
    <w:rPr>
      <w:b/>
    </w:rPr>
  </w:style>
  <w:style w:type="paragraph" w:customStyle="1" w:styleId="NormalHanging12a">
    <w:name w:val="NormalHanging12a"/>
    <w:basedOn w:val="Normal"/>
    <w:rsid w:val="007207E2"/>
    <w:pPr>
      <w:spacing w:after="240"/>
      <w:ind w:left="567" w:hanging="567"/>
    </w:pPr>
  </w:style>
  <w:style w:type="paragraph" w:styleId="Header">
    <w:name w:val="header"/>
    <w:basedOn w:val="Normal"/>
    <w:link w:val="HeaderChar"/>
    <w:rsid w:val="007207E2"/>
    <w:pPr>
      <w:tabs>
        <w:tab w:val="center" w:pos="4513"/>
        <w:tab w:val="right" w:pos="9026"/>
      </w:tabs>
    </w:pPr>
  </w:style>
  <w:style w:type="character" w:customStyle="1" w:styleId="HeaderChar">
    <w:name w:val="Header Char"/>
    <w:basedOn w:val="DefaultParagraphFont"/>
    <w:link w:val="Header"/>
    <w:rsid w:val="007207E2"/>
    <w:rPr>
      <w:sz w:val="24"/>
      <w:lang w:val="el-GR"/>
    </w:rPr>
  </w:style>
  <w:style w:type="paragraph" w:customStyle="1" w:styleId="AmColumnHeading">
    <w:name w:val="AmColumnHeading"/>
    <w:basedOn w:val="Normal"/>
    <w:rsid w:val="007207E2"/>
    <w:pPr>
      <w:spacing w:after="240"/>
      <w:jc w:val="center"/>
    </w:pPr>
    <w:rPr>
      <w:i/>
    </w:rPr>
  </w:style>
  <w:style w:type="paragraph" w:customStyle="1" w:styleId="AmNumberTabs">
    <w:name w:val="AmNumberTabs"/>
    <w:basedOn w:val="Normal"/>
    <w:rsid w:val="007207E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7207E2"/>
    <w:pPr>
      <w:spacing w:before="240"/>
    </w:pPr>
    <w:rPr>
      <w:b/>
    </w:rPr>
  </w:style>
  <w:style w:type="paragraph" w:customStyle="1" w:styleId="EPFooter">
    <w:name w:val="EPFooter"/>
    <w:basedOn w:val="Normal"/>
    <w:rsid w:val="007207E2"/>
    <w:pPr>
      <w:tabs>
        <w:tab w:val="center" w:pos="4535"/>
        <w:tab w:val="right" w:pos="9071"/>
      </w:tabs>
      <w:spacing w:before="240" w:after="240"/>
    </w:pPr>
    <w:rPr>
      <w:color w:val="010000"/>
      <w:sz w:val="22"/>
    </w:rPr>
  </w:style>
  <w:style w:type="paragraph" w:customStyle="1" w:styleId="EPComma">
    <w:name w:val="EPComma"/>
    <w:basedOn w:val="Normal"/>
    <w:rsid w:val="007207E2"/>
    <w:pPr>
      <w:spacing w:before="480" w:after="240"/>
    </w:pPr>
  </w:style>
  <w:style w:type="paragraph" w:customStyle="1" w:styleId="Normal24a">
    <w:name w:val="Normal24a"/>
    <w:basedOn w:val="Normal"/>
    <w:rsid w:val="007207E2"/>
    <w:pPr>
      <w:spacing w:after="480"/>
    </w:pPr>
  </w:style>
  <w:style w:type="paragraph" w:customStyle="1" w:styleId="Footprint12b">
    <w:name w:val="Footprint12b"/>
    <w:basedOn w:val="Normal"/>
    <w:rsid w:val="007207E2"/>
    <w:pPr>
      <w:spacing w:before="240"/>
    </w:pPr>
    <w:rPr>
      <w:szCs w:val="24"/>
    </w:rPr>
  </w:style>
  <w:style w:type="paragraph" w:customStyle="1" w:styleId="Normal12a">
    <w:name w:val="Normal12a"/>
    <w:basedOn w:val="Normal"/>
    <w:rsid w:val="007207E2"/>
    <w:pPr>
      <w:spacing w:after="240"/>
    </w:pPr>
  </w:style>
  <w:style w:type="paragraph" w:customStyle="1" w:styleId="RollCallVotes">
    <w:name w:val="RollCallVotes"/>
    <w:basedOn w:val="Normal"/>
    <w:rsid w:val="007207E2"/>
    <w:pPr>
      <w:spacing w:before="120" w:after="120"/>
      <w:jc w:val="center"/>
    </w:pPr>
    <w:rPr>
      <w:b/>
      <w:bCs/>
      <w:snapToGrid w:val="0"/>
      <w:sz w:val="16"/>
      <w:lang w:eastAsia="en-US"/>
    </w:rPr>
  </w:style>
  <w:style w:type="paragraph" w:customStyle="1" w:styleId="RollCallTabs">
    <w:name w:val="RollCallTabs"/>
    <w:basedOn w:val="Normal"/>
    <w:qFormat/>
    <w:rsid w:val="007207E2"/>
    <w:pPr>
      <w:tabs>
        <w:tab w:val="center" w:pos="284"/>
        <w:tab w:val="left" w:pos="426"/>
      </w:tabs>
    </w:pPr>
    <w:rPr>
      <w:snapToGrid w:val="0"/>
      <w:lang w:eastAsia="en-US"/>
    </w:rPr>
  </w:style>
  <w:style w:type="paragraph" w:customStyle="1" w:styleId="RollCallSymbols14pt">
    <w:name w:val="RollCallSymbols14pt"/>
    <w:basedOn w:val="Normal"/>
    <w:rsid w:val="007207E2"/>
    <w:pPr>
      <w:spacing w:before="120" w:after="120"/>
      <w:jc w:val="center"/>
    </w:pPr>
    <w:rPr>
      <w:rFonts w:ascii="Arial" w:hAnsi="Arial"/>
      <w:b/>
      <w:bCs/>
      <w:snapToGrid w:val="0"/>
      <w:sz w:val="28"/>
      <w:lang w:eastAsia="en-US"/>
    </w:rPr>
  </w:style>
  <w:style w:type="paragraph" w:customStyle="1" w:styleId="RollCallTable">
    <w:name w:val="RollCallTable"/>
    <w:basedOn w:val="Normal"/>
    <w:rsid w:val="007207E2"/>
    <w:pPr>
      <w:spacing w:before="120" w:after="120"/>
    </w:pPr>
    <w:rPr>
      <w:snapToGrid w:val="0"/>
      <w:sz w:val="16"/>
      <w:lang w:eastAsia="en-US"/>
    </w:rPr>
  </w:style>
  <w:style w:type="paragraph" w:styleId="BalloonText">
    <w:name w:val="Balloon Text"/>
    <w:basedOn w:val="Normal"/>
    <w:link w:val="BalloonTextChar"/>
    <w:rsid w:val="008B0F99"/>
    <w:rPr>
      <w:rFonts w:ascii="Segoe UI" w:hAnsi="Segoe UI" w:cs="Segoe UI"/>
      <w:sz w:val="18"/>
      <w:szCs w:val="18"/>
    </w:rPr>
  </w:style>
  <w:style w:type="character" w:customStyle="1" w:styleId="BalloonTextChar">
    <w:name w:val="Balloon Text Char"/>
    <w:basedOn w:val="DefaultParagraphFont"/>
    <w:link w:val="BalloonText"/>
    <w:rsid w:val="008B0F99"/>
    <w:rPr>
      <w:rFonts w:ascii="Segoe UI" w:hAnsi="Segoe UI" w:cs="Segoe UI"/>
      <w:sz w:val="18"/>
      <w:szCs w:val="18"/>
      <w:lang w:val="el-GR"/>
    </w:rPr>
  </w:style>
  <w:style w:type="paragraph" w:styleId="Footer">
    <w:name w:val="footer"/>
    <w:basedOn w:val="Normal"/>
    <w:link w:val="FooterChar"/>
    <w:rsid w:val="008B0F99"/>
    <w:pPr>
      <w:tabs>
        <w:tab w:val="center" w:pos="4513"/>
        <w:tab w:val="right" w:pos="9026"/>
      </w:tabs>
    </w:pPr>
  </w:style>
  <w:style w:type="character" w:customStyle="1" w:styleId="FooterChar">
    <w:name w:val="Footer Char"/>
    <w:basedOn w:val="DefaultParagraphFont"/>
    <w:link w:val="Footer"/>
    <w:rsid w:val="008B0F99"/>
    <w:rPr>
      <w:sz w:val="24"/>
      <w:lang w:val="el-GR"/>
    </w:rPr>
  </w:style>
  <w:style w:type="paragraph" w:customStyle="1" w:styleId="FooterCouncil">
    <w:name w:val="Footer Council"/>
    <w:basedOn w:val="Normal"/>
    <w:rsid w:val="0086485E"/>
    <w:pPr>
      <w:widowControl/>
    </w:pPr>
    <w:rPr>
      <w:rFonts w:eastAsia="Calibri"/>
      <w:sz w:val="2"/>
      <w:szCs w:val="22"/>
      <w:lang w:val="en-GB" w:eastAsia="en-US"/>
    </w:rPr>
  </w:style>
  <w:style w:type="paragraph" w:customStyle="1" w:styleId="HeaderCouncilLarge">
    <w:name w:val="Header Council Large"/>
    <w:basedOn w:val="Normal"/>
    <w:link w:val="HeaderCouncilLargeChar"/>
    <w:rsid w:val="0086485E"/>
    <w:pPr>
      <w:widowControl/>
      <w:spacing w:after="440" w:line="360" w:lineRule="auto"/>
    </w:pPr>
    <w:rPr>
      <w:b/>
      <w:sz w:val="2"/>
      <w:szCs w:val="24"/>
      <w:u w:color="606060"/>
      <w:lang w:val="en-GB" w:eastAsia="en-US"/>
    </w:rPr>
  </w:style>
  <w:style w:type="character" w:customStyle="1" w:styleId="HeaderCouncilLargeChar">
    <w:name w:val="Header Council Large Char"/>
    <w:basedOn w:val="DefaultParagraphFont"/>
    <w:link w:val="HeaderCouncilLarge"/>
    <w:rsid w:val="0086485E"/>
    <w:rPr>
      <w:b/>
      <w:sz w:val="2"/>
      <w:szCs w:val="24"/>
      <w:u w:color="606060"/>
      <w:lang w:eastAsia="en-US"/>
    </w:rPr>
  </w:style>
  <w:style w:type="paragraph" w:customStyle="1" w:styleId="FooterText">
    <w:name w:val="Footer Text"/>
    <w:basedOn w:val="Normal"/>
    <w:rsid w:val="0086485E"/>
    <w:pPr>
      <w:widowControl/>
    </w:pPr>
    <w:rPr>
      <w:szCs w:val="24"/>
      <w:lang w:val="en-GB" w:eastAsia="en-US"/>
    </w:rPr>
  </w:style>
  <w:style w:type="paragraph" w:customStyle="1" w:styleId="Dash">
    <w:name w:val="Dash"/>
    <w:basedOn w:val="Normal"/>
    <w:rsid w:val="0086485E"/>
    <w:pPr>
      <w:widowControl/>
      <w:numPr>
        <w:numId w:val="45"/>
      </w:numPr>
      <w:tabs>
        <w:tab w:val="clear" w:pos="567"/>
        <w:tab w:val="num" w:pos="360"/>
      </w:tabs>
      <w:spacing w:before="120" w:after="120" w:line="360" w:lineRule="auto"/>
      <w:ind w:left="360" w:hanging="360"/>
    </w:pPr>
    <w:rPr>
      <w:rFonts w:eastAsia="Calibri"/>
      <w:szCs w:val="22"/>
      <w:lang w:val="en-GB" w:eastAsia="en-US"/>
    </w:rPr>
  </w:style>
  <w:style w:type="character" w:customStyle="1" w:styleId="Hyperlink1">
    <w:name w:val="Hyperlink1"/>
    <w:basedOn w:val="DefaultParagraphFont"/>
    <w:uiPriority w:val="99"/>
    <w:unhideWhenUsed/>
    <w:rsid w:val="0086485E"/>
    <w:rPr>
      <w:color w:val="0563C1"/>
      <w:u w:val="single"/>
    </w:rPr>
  </w:style>
  <w:style w:type="character" w:styleId="Hyperlink">
    <w:name w:val="Hyperlink"/>
    <w:basedOn w:val="DefaultParagraphFont"/>
    <w:rsid w:val="0086485E"/>
    <w:rPr>
      <w:color w:val="0563C1" w:themeColor="hyperlink"/>
      <w:u w:val="single"/>
    </w:rPr>
  </w:style>
  <w:style w:type="paragraph" w:customStyle="1" w:styleId="BVIfnrZnak">
    <w:name w:val="BVI fnr Знак Знак Znak"/>
    <w:aliases w:val="BVI fnr Car Car Знак Знак Znak,BVI fnr Char Car Car Car Знак Знак Znak,BVI fnr Char Car Car Car Char Знак Знак Znak,BVI fnr Car Знак Знак Znak,BVI fnr Car Car Car Car Знак Знак Znak,ftref Znak"/>
    <w:basedOn w:val="Normal"/>
    <w:link w:val="FootnoteReference"/>
    <w:uiPriority w:val="99"/>
    <w:rsid w:val="0086485E"/>
    <w:pPr>
      <w:widowControl/>
      <w:spacing w:after="160" w:line="240" w:lineRule="exact"/>
    </w:pPr>
    <w:rPr>
      <w:sz w:val="20"/>
      <w:vertAlign w:val="superscript"/>
      <w:lang w:val="en-GB"/>
    </w:rPr>
  </w:style>
  <w:style w:type="paragraph" w:styleId="Revision">
    <w:name w:val="Revision"/>
    <w:hidden/>
    <w:uiPriority w:val="99"/>
    <w:semiHidden/>
    <w:rsid w:val="0086485E"/>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2DCCE9-7826-4FE3-A9DC-05E655ADA6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317</Words>
  <Characters>2050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Amalia RELEC</dc:creator>
  <cp:keywords/>
  <cp:lastModifiedBy>CHRISTOFOROU Nikolaos</cp:lastModifiedBy>
  <cp:revision>2</cp:revision>
  <cp:lastPrinted>2004-11-19T15:42:00Z</cp:lastPrinted>
  <dcterms:created xsi:type="dcterms:W3CDTF">2025-10-20T10:54:00Z</dcterms:created>
  <dcterms:modified xsi:type="dcterms:W3CDTF">2025-10-20T10:54:00Z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P10_TA(2025)0180_</vt:lpwstr>
  </property>
  <property fmtid="{D5CDD505-2E9C-101B-9397-08002B2CF9AE}" pid="4" name="&lt;Type&gt;">
    <vt:lpwstr>RR</vt:lpwstr>
  </property>
</Properties>
</file>