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1C09" w14:paraId="01153A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17EB99" w14:textId="77777777" w:rsidR="00751A4A" w:rsidRPr="00E11C09" w:rsidRDefault="00A7748E" w:rsidP="0010095E">
            <w:pPr>
              <w:pStyle w:val="EPName"/>
            </w:pPr>
            <w:r w:rsidRPr="00E11C09">
              <w:t>Parlement européen</w:t>
            </w:r>
          </w:p>
          <w:p w14:paraId="6DB63E78" w14:textId="77777777" w:rsidR="00751A4A" w:rsidRPr="00E11C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1C09">
              <w:t>2024</w:t>
            </w:r>
            <w:r w:rsidR="00817416" w:rsidRPr="00E11C09">
              <w:t>-202</w:t>
            </w:r>
            <w:r w:rsidRPr="00E11C09">
              <w:t>9</w:t>
            </w:r>
          </w:p>
        </w:tc>
        <w:tc>
          <w:tcPr>
            <w:tcW w:w="2268" w:type="dxa"/>
            <w:shd w:val="clear" w:color="auto" w:fill="auto"/>
          </w:tcPr>
          <w:p w14:paraId="03878566" w14:textId="77777777" w:rsidR="00751A4A" w:rsidRPr="00E11C09" w:rsidRDefault="00187494" w:rsidP="0010095E">
            <w:pPr>
              <w:pStyle w:val="EPLogo"/>
            </w:pPr>
            <w:r w:rsidRPr="00E11C09">
              <w:rPr>
                <w:noProof/>
              </w:rPr>
              <w:drawing>
                <wp:inline distT="0" distB="0" distL="0" distR="0" wp14:anchorId="63613775" wp14:editId="239974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7CCAC" w14:textId="77777777" w:rsidR="00D058B8" w:rsidRPr="00E11C09" w:rsidRDefault="00D058B8" w:rsidP="004C5D52">
      <w:pPr>
        <w:pStyle w:val="LineTop"/>
      </w:pPr>
    </w:p>
    <w:p w14:paraId="5CF39835" w14:textId="77777777" w:rsidR="00680577" w:rsidRPr="00E11C09" w:rsidRDefault="00A7748E" w:rsidP="00680577">
      <w:pPr>
        <w:pStyle w:val="EPBodyTA1"/>
      </w:pPr>
      <w:r w:rsidRPr="00E11C09">
        <w:t>TEXTES ADOPTÉS</w:t>
      </w:r>
    </w:p>
    <w:p w14:paraId="082317AA" w14:textId="77777777" w:rsidR="00D058B8" w:rsidRPr="00E11C09" w:rsidRDefault="00D058B8" w:rsidP="00D058B8">
      <w:pPr>
        <w:pStyle w:val="LineBottom"/>
      </w:pPr>
    </w:p>
    <w:p w14:paraId="454F8DDA" w14:textId="0810F3F3" w:rsidR="00A7748E" w:rsidRPr="00E11C09" w:rsidRDefault="00A7748E" w:rsidP="00A7748E">
      <w:pPr>
        <w:pStyle w:val="ATHeading1"/>
      </w:pPr>
      <w:bookmarkStart w:id="0" w:name="TANumber"/>
      <w:r w:rsidRPr="00E11C09">
        <w:t>P10_TA(2025)0</w:t>
      </w:r>
      <w:r w:rsidR="0017635D">
        <w:t>18</w:t>
      </w:r>
      <w:r w:rsidRPr="00E11C09">
        <w:t>0</w:t>
      </w:r>
      <w:bookmarkEnd w:id="0"/>
    </w:p>
    <w:p w14:paraId="1801CDC6" w14:textId="5F2F6000" w:rsidR="00A7748E" w:rsidRPr="00E11C09" w:rsidRDefault="003A3DDD" w:rsidP="00A7748E">
      <w:pPr>
        <w:pStyle w:val="ATHeading2"/>
      </w:pPr>
      <w:bookmarkStart w:id="1" w:name="title"/>
      <w:r w:rsidRPr="003A3DDD">
        <w:t>Procédures d’insolvabilité: remplacement des annexes A et B</w:t>
      </w:r>
      <w:bookmarkEnd w:id="1"/>
    </w:p>
    <w:p w14:paraId="183FD5C9" w14:textId="77777777" w:rsidR="00A7748E" w:rsidRPr="00E11C09" w:rsidRDefault="00A7748E" w:rsidP="00A7748E">
      <w:pPr>
        <w:rPr>
          <w:i/>
          <w:vanish/>
        </w:rPr>
      </w:pPr>
      <w:r w:rsidRPr="00E11C09">
        <w:rPr>
          <w:i/>
        </w:rPr>
        <w:fldChar w:fldCharType="begin"/>
      </w:r>
      <w:r w:rsidRPr="00E11C09">
        <w:rPr>
          <w:i/>
        </w:rPr>
        <w:instrText xml:space="preserve"> TC"(</w:instrText>
      </w:r>
      <w:bookmarkStart w:id="2" w:name="DocNumber"/>
      <w:r w:rsidRPr="00E11C09">
        <w:rPr>
          <w:i/>
        </w:rPr>
        <w:instrText>A10-0127/2025</w:instrText>
      </w:r>
      <w:bookmarkEnd w:id="2"/>
      <w:r w:rsidRPr="00E11C09">
        <w:rPr>
          <w:i/>
        </w:rPr>
        <w:instrText xml:space="preserve"> - Rapporteur: </w:instrText>
      </w:r>
      <w:proofErr w:type="spellStart"/>
      <w:r w:rsidRPr="00E11C09">
        <w:rPr>
          <w:i/>
        </w:rPr>
        <w:instrText>Ilhan</w:instrText>
      </w:r>
      <w:proofErr w:type="spellEnd"/>
      <w:r w:rsidRPr="00E11C09">
        <w:rPr>
          <w:i/>
        </w:rPr>
        <w:instrText xml:space="preserve"> </w:instrText>
      </w:r>
      <w:proofErr w:type="spellStart"/>
      <w:r w:rsidRPr="00E11C09">
        <w:rPr>
          <w:i/>
        </w:rPr>
        <w:instrText>Kyuchyuk</w:instrText>
      </w:r>
      <w:proofErr w:type="spellEnd"/>
      <w:r w:rsidRPr="00E11C09">
        <w:rPr>
          <w:i/>
        </w:rPr>
        <w:instrText xml:space="preserve">)"\l3 \n&gt; \* MERGEFORMAT </w:instrText>
      </w:r>
      <w:r w:rsidRPr="00E11C09">
        <w:rPr>
          <w:i/>
        </w:rPr>
        <w:fldChar w:fldCharType="end"/>
      </w:r>
    </w:p>
    <w:p w14:paraId="63F943FA" w14:textId="77777777" w:rsidR="00A7748E" w:rsidRPr="00E11C09" w:rsidRDefault="00A7748E" w:rsidP="00A7748E">
      <w:pPr>
        <w:rPr>
          <w:vanish/>
        </w:rPr>
      </w:pPr>
      <w:bookmarkStart w:id="3" w:name="Commission"/>
      <w:r w:rsidRPr="00E11C09">
        <w:rPr>
          <w:vanish/>
        </w:rPr>
        <w:t>Commission des affaires juridiques</w:t>
      </w:r>
      <w:bookmarkEnd w:id="3"/>
    </w:p>
    <w:p w14:paraId="6CB1C45B" w14:textId="77777777" w:rsidR="00A7748E" w:rsidRPr="00E11C09" w:rsidRDefault="00A7748E" w:rsidP="00A7748E">
      <w:pPr>
        <w:rPr>
          <w:vanish/>
        </w:rPr>
      </w:pPr>
      <w:bookmarkStart w:id="4" w:name="PE"/>
      <w:r w:rsidRPr="00E11C09">
        <w:rPr>
          <w:vanish/>
        </w:rPr>
        <w:t>PE775.423</w:t>
      </w:r>
      <w:bookmarkEnd w:id="4"/>
    </w:p>
    <w:p w14:paraId="7AC6BE88" w14:textId="7A57DB2B" w:rsidR="00A7748E" w:rsidRPr="00E11C09" w:rsidRDefault="00A7748E" w:rsidP="00A7748E">
      <w:pPr>
        <w:pStyle w:val="ATHeading3"/>
      </w:pPr>
      <w:bookmarkStart w:id="5" w:name="Sujet"/>
      <w:r w:rsidRPr="00E11C09">
        <w:t xml:space="preserve">Résolution législative du Parlement européen du </w:t>
      </w:r>
      <w:r w:rsidR="003A3DDD">
        <w:t>10</w:t>
      </w:r>
      <w:r w:rsidR="008C2870">
        <w:t xml:space="preserve"> septembre</w:t>
      </w:r>
      <w:r w:rsidRPr="00E11C09">
        <w:t xml:space="preserve"> 2025 sur la proposition de règlement du Parlement européen et du Conseil portant modification du règlement (UE) 2015/848 relatif aux procédures d’insolvabilité afin de remplacer ses annexes A et B</w:t>
      </w:r>
      <w:bookmarkEnd w:id="5"/>
      <w:r w:rsidRPr="00E11C09">
        <w:t xml:space="preserve"> </w:t>
      </w:r>
      <w:bookmarkStart w:id="6" w:name="References"/>
      <w:r w:rsidRPr="00E11C09">
        <w:t>(COM(2025</w:t>
      </w:r>
      <w:r w:rsidR="007E4EE8">
        <w:t>)</w:t>
      </w:r>
      <w:r w:rsidRPr="00E11C09">
        <w:t>0040) – C10-0009/2025 – 2025/0023(COD))</w:t>
      </w:r>
      <w:bookmarkEnd w:id="6"/>
    </w:p>
    <w:p w14:paraId="358861C4" w14:textId="77777777" w:rsidR="00A7748E" w:rsidRPr="00E11C09" w:rsidRDefault="00A7748E" w:rsidP="00A7748E"/>
    <w:p w14:paraId="4C1B6781" w14:textId="77777777" w:rsidR="00AB042E" w:rsidRPr="00E11C09" w:rsidRDefault="00AB042E" w:rsidP="00AB042E">
      <w:pPr>
        <w:pStyle w:val="NormalBold"/>
      </w:pPr>
      <w:bookmarkStart w:id="7" w:name="TextBodyBegin"/>
      <w:bookmarkEnd w:id="7"/>
      <w:r w:rsidRPr="00E11C09">
        <w:t>(Procédure législative ordinaire: première lecture)</w:t>
      </w:r>
    </w:p>
    <w:p w14:paraId="525EAEC2" w14:textId="77777777" w:rsidR="00AB042E" w:rsidRPr="00E11C09" w:rsidRDefault="00AB042E" w:rsidP="00AB042E">
      <w:pPr>
        <w:pStyle w:val="EPComma"/>
      </w:pPr>
      <w:r w:rsidRPr="00E11C09">
        <w:rPr>
          <w:i/>
          <w:iCs/>
        </w:rPr>
        <w:t>Le Parlement européen</w:t>
      </w:r>
      <w:r w:rsidRPr="00E11C09">
        <w:t>,</w:t>
      </w:r>
    </w:p>
    <w:p w14:paraId="15631BBA" w14:textId="77777777" w:rsidR="00AB042E" w:rsidRPr="00E11C09" w:rsidRDefault="00AB042E" w:rsidP="00AB042E">
      <w:pPr>
        <w:pStyle w:val="NormalHanging12a"/>
      </w:pPr>
      <w:r w:rsidRPr="00E11C09">
        <w:t>–</w:t>
      </w:r>
      <w:r w:rsidRPr="00E11C09">
        <w:tab/>
        <w:t>vu la proposition de la Commission au Parlement européen et au Conseil (COM(2025)0040),</w:t>
      </w:r>
    </w:p>
    <w:p w14:paraId="162B5A7B" w14:textId="77777777" w:rsidR="00AB042E" w:rsidRPr="00E11C09" w:rsidRDefault="00AB042E" w:rsidP="00AB042E">
      <w:pPr>
        <w:pStyle w:val="NormalHanging12a"/>
      </w:pPr>
      <w:r w:rsidRPr="00E11C09">
        <w:t>–</w:t>
      </w:r>
      <w:r w:rsidRPr="00E11C09">
        <w:tab/>
        <w:t>vu l’article 294, paragraphe 2, et l’article 81, paragraphe 2, points a), c) et f), du traité sur le fonctionnement de l’Union européenne, conformément auxquels la proposition lui a été présentée par la Commission (C10</w:t>
      </w:r>
      <w:r w:rsidRPr="00E11C09">
        <w:noBreakHyphen/>
        <w:t>0009/2025),</w:t>
      </w:r>
    </w:p>
    <w:p w14:paraId="183AE519" w14:textId="77777777" w:rsidR="00AB042E" w:rsidRDefault="00AB042E" w:rsidP="00AB042E">
      <w:pPr>
        <w:pStyle w:val="NormalHanging12a"/>
      </w:pPr>
      <w:r w:rsidRPr="00E11C09">
        <w:t>–</w:t>
      </w:r>
      <w:r w:rsidRPr="00E11C09">
        <w:tab/>
        <w:t>vu l’article 294, paragraphe 3, du traité sur le fonctionnement de l’Union européenne,</w:t>
      </w:r>
    </w:p>
    <w:p w14:paraId="39B97C42" w14:textId="3F3DBAD5" w:rsidR="00B14721" w:rsidRPr="00E11C09" w:rsidRDefault="00B14721" w:rsidP="001378A9">
      <w:pPr>
        <w:spacing w:after="240"/>
        <w:ind w:left="567" w:hanging="567"/>
      </w:pPr>
      <w:r w:rsidRPr="00B04248">
        <w:t>–</w:t>
      </w:r>
      <w:r w:rsidRPr="00B04248">
        <w:tab/>
        <w:t xml:space="preserve">vu l'engagement pris par le représentant du Conseil, par </w:t>
      </w:r>
      <w:r w:rsidRPr="00B14721">
        <w:t>lettre du 1</w:t>
      </w:r>
      <w:r>
        <w:t>7</w:t>
      </w:r>
      <w:r w:rsidRPr="00B14721">
        <w:t> </w:t>
      </w:r>
      <w:r>
        <w:t>juillet</w:t>
      </w:r>
      <w:r w:rsidRPr="00B14721">
        <w:t> 20</w:t>
      </w:r>
      <w:r>
        <w:t>25</w:t>
      </w:r>
      <w:r w:rsidRPr="00B14721">
        <w:t xml:space="preserve">, d'approuver la position du Parlement européen, conformément à </w:t>
      </w:r>
      <w:r w:rsidRPr="001378A9">
        <w:t>l'article 294, paragraphe 4</w:t>
      </w:r>
      <w:r w:rsidRPr="00B14721">
        <w:t>, du</w:t>
      </w:r>
      <w:r w:rsidRPr="00B04248">
        <w:t xml:space="preserve"> traité sur le fonctionnement de l'Union européenne,</w:t>
      </w:r>
    </w:p>
    <w:p w14:paraId="26739D57" w14:textId="77777777" w:rsidR="00AB042E" w:rsidRPr="00E11C09" w:rsidRDefault="00AB042E" w:rsidP="00AB042E">
      <w:pPr>
        <w:pStyle w:val="NormalHanging12a"/>
      </w:pPr>
      <w:r w:rsidRPr="00E11C09">
        <w:t>–</w:t>
      </w:r>
      <w:r w:rsidRPr="00E11C09">
        <w:tab/>
        <w:t>vu l’article 60 de son règlement intérieur,</w:t>
      </w:r>
    </w:p>
    <w:p w14:paraId="3C67E15B" w14:textId="77777777" w:rsidR="00AB042E" w:rsidRPr="00E11C09" w:rsidRDefault="00AB042E" w:rsidP="00AB042E">
      <w:pPr>
        <w:pStyle w:val="NormalHanging12a"/>
      </w:pPr>
      <w:r w:rsidRPr="00E11C09">
        <w:t>–</w:t>
      </w:r>
      <w:r w:rsidRPr="00E11C09">
        <w:tab/>
        <w:t>vu le rapport de la commission des affaires juridiques (A10-0127/2025),</w:t>
      </w:r>
    </w:p>
    <w:p w14:paraId="783D3639" w14:textId="77777777" w:rsidR="00AB042E" w:rsidRPr="00E11C09" w:rsidRDefault="00AB042E" w:rsidP="00AB042E">
      <w:pPr>
        <w:pStyle w:val="NormalHanging12a"/>
      </w:pPr>
      <w:r w:rsidRPr="00E11C09">
        <w:t>1.</w:t>
      </w:r>
      <w:r w:rsidRPr="00E11C09">
        <w:tab/>
        <w:t>arrête la position en première lecture figurant ci-après;</w:t>
      </w:r>
    </w:p>
    <w:p w14:paraId="5F562490" w14:textId="77777777" w:rsidR="00AB042E" w:rsidRPr="00E11C09" w:rsidRDefault="00AB042E" w:rsidP="00AB042E">
      <w:pPr>
        <w:pStyle w:val="NormalHanging12a"/>
      </w:pPr>
      <w:r w:rsidRPr="00E11C09">
        <w:t>2.</w:t>
      </w:r>
      <w:r w:rsidRPr="00E11C09">
        <w:tab/>
        <w:t>demande à la Commission de le saisir à nouveau, si elle remplace, modifie de manière substantielle ou entend modifier de manière substantielle sa proposition;</w:t>
      </w:r>
    </w:p>
    <w:p w14:paraId="06C58BE5" w14:textId="77777777" w:rsidR="00AB042E" w:rsidRPr="00E11C09" w:rsidRDefault="00AB042E" w:rsidP="00AB042E">
      <w:pPr>
        <w:pStyle w:val="NormalHanging12a"/>
      </w:pPr>
      <w:r w:rsidRPr="00E11C09">
        <w:t>3.</w:t>
      </w:r>
      <w:r w:rsidRPr="00E11C09">
        <w:tab/>
        <w:t>charge sa Présidente de transmettre la position du Parlement au Conseil et à la Commission ainsi qu’aux parlements nationaux.</w:t>
      </w:r>
    </w:p>
    <w:p w14:paraId="63949307" w14:textId="11B53BCA" w:rsidR="00C00A7C" w:rsidRDefault="00C00A7C">
      <w:pPr>
        <w:widowControl/>
      </w:pPr>
      <w:r>
        <w:br w:type="page"/>
      </w:r>
    </w:p>
    <w:p w14:paraId="6D7DF820" w14:textId="05A92BA6" w:rsidR="00B14721" w:rsidRPr="00C617B0" w:rsidRDefault="00B14721" w:rsidP="00B14721">
      <w:pPr>
        <w:spacing w:after="240"/>
        <w:rPr>
          <w:b/>
        </w:rPr>
      </w:pPr>
      <w:r>
        <w:rPr>
          <w:b/>
        </w:rPr>
        <w:lastRenderedPageBreak/>
        <w:t>P10</w:t>
      </w:r>
      <w:r w:rsidRPr="00C617B0">
        <w:rPr>
          <w:b/>
        </w:rPr>
        <w:t>_TC1-COD(</w:t>
      </w:r>
      <w:r>
        <w:rPr>
          <w:b/>
        </w:rPr>
        <w:t>2025</w:t>
      </w:r>
      <w:r w:rsidRPr="00C617B0">
        <w:rPr>
          <w:b/>
        </w:rPr>
        <w:t>)</w:t>
      </w:r>
      <w:r>
        <w:rPr>
          <w:b/>
        </w:rPr>
        <w:t>0023</w:t>
      </w:r>
    </w:p>
    <w:p w14:paraId="2C23AFED" w14:textId="130B0069" w:rsidR="00F00CB4" w:rsidRDefault="00B14721" w:rsidP="00B14721">
      <w:pPr>
        <w:spacing w:after="240"/>
        <w:rPr>
          <w:rFonts w:eastAsia="Calibri"/>
          <w:b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</w:t>
      </w:r>
      <w:r w:rsidRPr="00B14721">
        <w:rPr>
          <w:b/>
        </w:rPr>
        <w:t xml:space="preserve">lecture le </w:t>
      </w:r>
      <w:r>
        <w:rPr>
          <w:b/>
        </w:rPr>
        <w:t>10 septembre</w:t>
      </w:r>
      <w:r w:rsidRPr="00B14721">
        <w:rPr>
          <w:b/>
        </w:rPr>
        <w:t xml:space="preserve"> 2025 en vue de l’adoption du règlement (UE) 2025/... du Parlement européen et du Conseil </w:t>
      </w:r>
      <w:r w:rsidR="00F00CB4" w:rsidRPr="00B14721">
        <w:rPr>
          <w:rFonts w:eastAsia="Calibri"/>
          <w:b/>
          <w:szCs w:val="22"/>
          <w:lang w:eastAsia="en-US"/>
        </w:rPr>
        <w:t>portant modification du règlement (UE) 2015/848 relatif aux procédures d'insolvabilité afin de remplacer ses annexes A et B</w:t>
      </w:r>
    </w:p>
    <w:p w14:paraId="4C9C5C85" w14:textId="388DEBF6" w:rsidR="006B7E11" w:rsidRPr="00F00CB4" w:rsidRDefault="006B7E11" w:rsidP="006B7E11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2073</w:t>
      </w:r>
      <w:r w:rsidRPr="0070765D">
        <w:rPr>
          <w:b w:val="0"/>
          <w:i/>
          <w:szCs w:val="24"/>
        </w:rPr>
        <w:t>.)</w:t>
      </w:r>
    </w:p>
    <w:sectPr w:rsidR="006B7E11" w:rsidRPr="00F00CB4" w:rsidSect="006B7E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D55B9" w14:textId="77777777" w:rsidR="00A7748E" w:rsidRPr="00E11C09" w:rsidRDefault="00A7748E">
      <w:r w:rsidRPr="00E11C09">
        <w:separator/>
      </w:r>
    </w:p>
  </w:endnote>
  <w:endnote w:type="continuationSeparator" w:id="0">
    <w:p w14:paraId="57C97677" w14:textId="77777777" w:rsidR="00A7748E" w:rsidRPr="00E11C09" w:rsidRDefault="00A7748E">
      <w:r w:rsidRPr="00E11C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F1A0" w14:textId="77777777" w:rsidR="00064002" w:rsidRPr="00E11C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E720" w14:textId="77777777" w:rsidR="00064002" w:rsidRPr="00E11C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F9FB1" w14:textId="77777777" w:rsidR="00064002" w:rsidRPr="00E11C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0912" w14:textId="77777777" w:rsidR="00A7748E" w:rsidRPr="00E11C09" w:rsidRDefault="00A7748E">
      <w:r w:rsidRPr="00E11C09">
        <w:separator/>
      </w:r>
    </w:p>
  </w:footnote>
  <w:footnote w:type="continuationSeparator" w:id="0">
    <w:p w14:paraId="02DCB7EF" w14:textId="77777777" w:rsidR="00A7748E" w:rsidRPr="00E11C09" w:rsidRDefault="00A7748E">
      <w:r w:rsidRPr="00E11C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7BFA" w14:textId="77777777" w:rsidR="00064002" w:rsidRPr="00E11C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9110" w14:textId="77777777" w:rsidR="00064002" w:rsidRPr="00E11C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10C84" w14:textId="77777777" w:rsidR="00064002" w:rsidRPr="00E11C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7859795">
    <w:abstractNumId w:val="9"/>
  </w:num>
  <w:num w:numId="2" w16cid:durableId="120466990">
    <w:abstractNumId w:val="9"/>
  </w:num>
  <w:num w:numId="3" w16cid:durableId="852109251">
    <w:abstractNumId w:val="7"/>
  </w:num>
  <w:num w:numId="4" w16cid:durableId="275599461">
    <w:abstractNumId w:val="7"/>
  </w:num>
  <w:num w:numId="5" w16cid:durableId="2014608268">
    <w:abstractNumId w:val="6"/>
  </w:num>
  <w:num w:numId="6" w16cid:durableId="1932158216">
    <w:abstractNumId w:val="6"/>
  </w:num>
  <w:num w:numId="7" w16cid:durableId="2098794201">
    <w:abstractNumId w:val="5"/>
  </w:num>
  <w:num w:numId="8" w16cid:durableId="9992563">
    <w:abstractNumId w:val="5"/>
  </w:num>
  <w:num w:numId="9" w16cid:durableId="102071158">
    <w:abstractNumId w:val="4"/>
  </w:num>
  <w:num w:numId="10" w16cid:durableId="1395393067">
    <w:abstractNumId w:val="4"/>
  </w:num>
  <w:num w:numId="11" w16cid:durableId="541332353">
    <w:abstractNumId w:val="8"/>
  </w:num>
  <w:num w:numId="12" w16cid:durableId="365368697">
    <w:abstractNumId w:val="8"/>
  </w:num>
  <w:num w:numId="13" w16cid:durableId="1926066576">
    <w:abstractNumId w:val="3"/>
  </w:num>
  <w:num w:numId="14" w16cid:durableId="499349619">
    <w:abstractNumId w:val="3"/>
  </w:num>
  <w:num w:numId="15" w16cid:durableId="1938058524">
    <w:abstractNumId w:val="2"/>
  </w:num>
  <w:num w:numId="16" w16cid:durableId="422075155">
    <w:abstractNumId w:val="2"/>
  </w:num>
  <w:num w:numId="17" w16cid:durableId="1065378320">
    <w:abstractNumId w:val="1"/>
  </w:num>
  <w:num w:numId="18" w16cid:durableId="124590008">
    <w:abstractNumId w:val="1"/>
  </w:num>
  <w:num w:numId="19" w16cid:durableId="295641691">
    <w:abstractNumId w:val="0"/>
  </w:num>
  <w:num w:numId="20" w16cid:durableId="293341263">
    <w:abstractNumId w:val="0"/>
  </w:num>
  <w:num w:numId="21" w16cid:durableId="446434818">
    <w:abstractNumId w:val="9"/>
  </w:num>
  <w:num w:numId="22" w16cid:durableId="159394082">
    <w:abstractNumId w:val="7"/>
  </w:num>
  <w:num w:numId="23" w16cid:durableId="1094938305">
    <w:abstractNumId w:val="6"/>
  </w:num>
  <w:num w:numId="24" w16cid:durableId="654063974">
    <w:abstractNumId w:val="5"/>
  </w:num>
  <w:num w:numId="25" w16cid:durableId="478692743">
    <w:abstractNumId w:val="4"/>
  </w:num>
  <w:num w:numId="26" w16cid:durableId="924916979">
    <w:abstractNumId w:val="8"/>
  </w:num>
  <w:num w:numId="27" w16cid:durableId="1067071806">
    <w:abstractNumId w:val="3"/>
  </w:num>
  <w:num w:numId="28" w16cid:durableId="911039024">
    <w:abstractNumId w:val="2"/>
  </w:num>
  <w:num w:numId="29" w16cid:durableId="498271420">
    <w:abstractNumId w:val="1"/>
  </w:num>
  <w:num w:numId="30" w16cid:durableId="888342462">
    <w:abstractNumId w:val="0"/>
  </w:num>
  <w:num w:numId="31" w16cid:durableId="440686882">
    <w:abstractNumId w:val="9"/>
  </w:num>
  <w:num w:numId="32" w16cid:durableId="1009600007">
    <w:abstractNumId w:val="7"/>
  </w:num>
  <w:num w:numId="33" w16cid:durableId="924611424">
    <w:abstractNumId w:val="6"/>
  </w:num>
  <w:num w:numId="34" w16cid:durableId="570693954">
    <w:abstractNumId w:val="5"/>
  </w:num>
  <w:num w:numId="35" w16cid:durableId="49690839">
    <w:abstractNumId w:val="4"/>
  </w:num>
  <w:num w:numId="36" w16cid:durableId="717242953">
    <w:abstractNumId w:val="8"/>
  </w:num>
  <w:num w:numId="37" w16cid:durableId="662054425">
    <w:abstractNumId w:val="3"/>
  </w:num>
  <w:num w:numId="38" w16cid:durableId="1276135504">
    <w:abstractNumId w:val="2"/>
  </w:num>
  <w:num w:numId="39" w16cid:durableId="88964213">
    <w:abstractNumId w:val="1"/>
  </w:num>
  <w:num w:numId="40" w16cid:durableId="893659788">
    <w:abstractNumId w:val="0"/>
  </w:num>
  <w:num w:numId="41" w16cid:durableId="1954828149">
    <w:abstractNumId w:val="10"/>
  </w:num>
  <w:num w:numId="42" w16cid:durableId="1432972737">
    <w:abstractNumId w:val="10"/>
  </w:num>
  <w:num w:numId="43" w16cid:durableId="2015255567">
    <w:abstractNumId w:val="10"/>
  </w:num>
  <w:num w:numId="44" w16cid:durableId="6457450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7/2025"/>
    <w:docVar w:name="dvlangue" w:val="FR"/>
    <w:docVar w:name="dvnumam" w:val="11"/>
    <w:docVar w:name="dvpe" w:val="775.423"/>
    <w:docVar w:name="dvrapporteur" w:val="Rapporteur: "/>
    <w:docVar w:name="dvstar" w:val="***I"/>
    <w:docVar w:name="dvtitre" w:val="Résolution législative du Parlement européen du ... 2025 sur la proposition de règlement du Parlement européen et du Conseil portant modification du règlement (UE) 2015/848 relatif aux procédures d’insolvabilité afin de remplacer ses annexes A et B(COM(2025/0040) – C10-0009/2025 – 2025/0023(COD))"/>
  </w:docVars>
  <w:rsids>
    <w:rsidRoot w:val="00A7748E"/>
    <w:rsid w:val="00002272"/>
    <w:rsid w:val="00064002"/>
    <w:rsid w:val="000677B9"/>
    <w:rsid w:val="000831BA"/>
    <w:rsid w:val="00091A56"/>
    <w:rsid w:val="000A42CC"/>
    <w:rsid w:val="000E7DD9"/>
    <w:rsid w:val="0010095E"/>
    <w:rsid w:val="00125B37"/>
    <w:rsid w:val="001378A9"/>
    <w:rsid w:val="0017635D"/>
    <w:rsid w:val="00187494"/>
    <w:rsid w:val="001F32AE"/>
    <w:rsid w:val="002767FF"/>
    <w:rsid w:val="00296C05"/>
    <w:rsid w:val="002B18FE"/>
    <w:rsid w:val="002B5493"/>
    <w:rsid w:val="00343214"/>
    <w:rsid w:val="00361C00"/>
    <w:rsid w:val="00395FA1"/>
    <w:rsid w:val="003A3DDD"/>
    <w:rsid w:val="003E15D4"/>
    <w:rsid w:val="00411CCE"/>
    <w:rsid w:val="0041666E"/>
    <w:rsid w:val="00421060"/>
    <w:rsid w:val="0042232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E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EE8"/>
    <w:rsid w:val="00817416"/>
    <w:rsid w:val="00842779"/>
    <w:rsid w:val="00865F67"/>
    <w:rsid w:val="00881A7B"/>
    <w:rsid w:val="008840E5"/>
    <w:rsid w:val="00887B3E"/>
    <w:rsid w:val="008C2870"/>
    <w:rsid w:val="008C2AC6"/>
    <w:rsid w:val="00930C23"/>
    <w:rsid w:val="0093193B"/>
    <w:rsid w:val="00941482"/>
    <w:rsid w:val="009509D8"/>
    <w:rsid w:val="00950B64"/>
    <w:rsid w:val="00981893"/>
    <w:rsid w:val="00A1687D"/>
    <w:rsid w:val="00A23DFC"/>
    <w:rsid w:val="00A43E52"/>
    <w:rsid w:val="00A4678D"/>
    <w:rsid w:val="00A7748E"/>
    <w:rsid w:val="00A778C7"/>
    <w:rsid w:val="00AB042E"/>
    <w:rsid w:val="00AB441E"/>
    <w:rsid w:val="00AB6293"/>
    <w:rsid w:val="00AE0928"/>
    <w:rsid w:val="00AF3B82"/>
    <w:rsid w:val="00B12E95"/>
    <w:rsid w:val="00B14721"/>
    <w:rsid w:val="00B22876"/>
    <w:rsid w:val="00B31756"/>
    <w:rsid w:val="00B558F0"/>
    <w:rsid w:val="00BD48FE"/>
    <w:rsid w:val="00BD7BD8"/>
    <w:rsid w:val="00BE6ADC"/>
    <w:rsid w:val="00C00A7C"/>
    <w:rsid w:val="00C05BFE"/>
    <w:rsid w:val="00C23CD4"/>
    <w:rsid w:val="00C61C0C"/>
    <w:rsid w:val="00C941CB"/>
    <w:rsid w:val="00CC2357"/>
    <w:rsid w:val="00CF071A"/>
    <w:rsid w:val="00D03460"/>
    <w:rsid w:val="00D058B8"/>
    <w:rsid w:val="00D56C11"/>
    <w:rsid w:val="00D834A0"/>
    <w:rsid w:val="00D872DF"/>
    <w:rsid w:val="00D91E21"/>
    <w:rsid w:val="00DA7FCD"/>
    <w:rsid w:val="00E11C09"/>
    <w:rsid w:val="00E365E1"/>
    <w:rsid w:val="00E62000"/>
    <w:rsid w:val="00E820A4"/>
    <w:rsid w:val="00EB006A"/>
    <w:rsid w:val="00EB4772"/>
    <w:rsid w:val="00ED169E"/>
    <w:rsid w:val="00ED4235"/>
    <w:rsid w:val="00EE653E"/>
    <w:rsid w:val="00F00CB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C9514"/>
  <w15:chartTrackingRefBased/>
  <w15:docId w15:val="{BE40295F-C783-4EF5-93D5-56A8A356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note TESI,16 Point,Superscript 6 Point,Footnote Reference Number,Footnote Reference_LVL6,Footnote Reference_LVL61,Footnote Reference_LVL62,Footnote cal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B042E"/>
    <w:pPr>
      <w:spacing w:after="120"/>
    </w:pPr>
  </w:style>
  <w:style w:type="paragraph" w:customStyle="1" w:styleId="NormalBold">
    <w:name w:val="NormalBold"/>
    <w:basedOn w:val="Normal"/>
    <w:rsid w:val="00AB042E"/>
    <w:rPr>
      <w:b/>
    </w:rPr>
  </w:style>
  <w:style w:type="paragraph" w:customStyle="1" w:styleId="NormalHanging12a">
    <w:name w:val="NormalHanging12a"/>
    <w:basedOn w:val="Normal"/>
    <w:rsid w:val="00AB042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B042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B04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B042E"/>
    <w:pPr>
      <w:spacing w:before="240"/>
    </w:pPr>
    <w:rPr>
      <w:b/>
    </w:rPr>
  </w:style>
  <w:style w:type="paragraph" w:customStyle="1" w:styleId="EPComma">
    <w:name w:val="EPComma"/>
    <w:basedOn w:val="Normal"/>
    <w:rsid w:val="00AB042E"/>
    <w:pPr>
      <w:spacing w:before="480" w:after="240"/>
    </w:pPr>
  </w:style>
  <w:style w:type="paragraph" w:customStyle="1" w:styleId="Normal12Centre">
    <w:name w:val="Normal12Centre"/>
    <w:basedOn w:val="Normal"/>
    <w:rsid w:val="00C00A7C"/>
    <w:pPr>
      <w:spacing w:after="240"/>
      <w:jc w:val="center"/>
    </w:pPr>
  </w:style>
  <w:style w:type="paragraph" w:customStyle="1" w:styleId="HeaderCouncilLarge">
    <w:name w:val="Header Council Large"/>
    <w:basedOn w:val="Normal"/>
    <w:link w:val="HeaderCouncilLargeChar"/>
    <w:unhideWhenUsed/>
    <w:rsid w:val="00F00CB4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F00CB4"/>
    <w:rPr>
      <w:rFonts w:eastAsia="Calibri"/>
      <w:sz w:val="2"/>
      <w:szCs w:val="22"/>
      <w:lang w:val="fr-FR" w:eastAsia="en-US"/>
    </w:rPr>
  </w:style>
  <w:style w:type="paragraph" w:styleId="Revision">
    <w:name w:val="Revision"/>
    <w:hidden/>
    <w:uiPriority w:val="99"/>
    <w:semiHidden/>
    <w:rsid w:val="00B14721"/>
    <w:rPr>
      <w:sz w:val="24"/>
      <w:lang w:val="fr-FR"/>
    </w:rPr>
  </w:style>
  <w:style w:type="paragraph" w:customStyle="1" w:styleId="Datedadoption">
    <w:name w:val="Date d'adoption"/>
    <w:basedOn w:val="Normal"/>
    <w:next w:val="Normal"/>
    <w:rsid w:val="006B7E11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454A-FAC3-46BB-85A5-BE8F63C8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2025-10-22T09:02:00Z</dcterms:created>
  <dcterms:modified xsi:type="dcterms:W3CDTF">2025-10-22T09:02:00Z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