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2B84" w14:paraId="3EFCE1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2AA324" w14:textId="77777777" w:rsidR="00751A4A" w:rsidRPr="00662B84" w:rsidRDefault="008B08A1" w:rsidP="0010095E">
            <w:pPr>
              <w:pStyle w:val="EPName"/>
            </w:pPr>
            <w:r w:rsidRPr="00662B84">
              <w:t>Parlament Ewropew</w:t>
            </w:r>
          </w:p>
          <w:p w14:paraId="35C171CC" w14:textId="77777777" w:rsidR="00751A4A" w:rsidRPr="00662B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2B84">
              <w:t>2024</w:t>
            </w:r>
            <w:r w:rsidR="00817416" w:rsidRPr="00662B84">
              <w:t>-202</w:t>
            </w:r>
            <w:r w:rsidRPr="00662B84">
              <w:t>9</w:t>
            </w:r>
          </w:p>
        </w:tc>
        <w:tc>
          <w:tcPr>
            <w:tcW w:w="2268" w:type="dxa"/>
            <w:shd w:val="clear" w:color="auto" w:fill="auto"/>
          </w:tcPr>
          <w:p w14:paraId="59377128" w14:textId="77777777" w:rsidR="00751A4A" w:rsidRPr="00662B84" w:rsidRDefault="00187494" w:rsidP="0010095E">
            <w:pPr>
              <w:pStyle w:val="EPLogo"/>
            </w:pPr>
            <w:r w:rsidRPr="00662B84">
              <w:rPr>
                <w:noProof/>
                <w:lang w:eastAsia="ja-JP"/>
              </w:rPr>
              <w:drawing>
                <wp:inline distT="0" distB="0" distL="0" distR="0" wp14:anchorId="48D99076" wp14:editId="5D87E3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FE60B" w14:textId="77777777" w:rsidR="00D058B8" w:rsidRPr="00662B84" w:rsidRDefault="00D058B8" w:rsidP="004C5D52">
      <w:pPr>
        <w:pStyle w:val="LineTop"/>
      </w:pPr>
    </w:p>
    <w:p w14:paraId="2808DB43" w14:textId="77777777" w:rsidR="00680577" w:rsidRPr="00662B84" w:rsidRDefault="008B08A1" w:rsidP="00680577">
      <w:pPr>
        <w:pStyle w:val="EPBodyTA1"/>
      </w:pPr>
      <w:r w:rsidRPr="00662B84">
        <w:t>TESTI ADOTTATI</w:t>
      </w:r>
    </w:p>
    <w:p w14:paraId="76D053B5" w14:textId="77777777" w:rsidR="00D058B8" w:rsidRPr="00662B84" w:rsidRDefault="00D058B8" w:rsidP="00D058B8">
      <w:pPr>
        <w:pStyle w:val="LineBottom"/>
      </w:pPr>
    </w:p>
    <w:p w14:paraId="312833B3" w14:textId="71A6E550" w:rsidR="008B08A1" w:rsidRPr="00662B84" w:rsidRDefault="008B08A1" w:rsidP="008B08A1">
      <w:pPr>
        <w:pStyle w:val="ATHeading1"/>
      </w:pPr>
      <w:bookmarkStart w:id="0" w:name="TANumber"/>
      <w:r w:rsidRPr="00662B84">
        <w:t>P10_TA(2025)0</w:t>
      </w:r>
      <w:r w:rsidR="00F11BE1">
        <w:t>180</w:t>
      </w:r>
      <w:bookmarkEnd w:id="0"/>
    </w:p>
    <w:p w14:paraId="6E54380F" w14:textId="77777777" w:rsidR="008B08A1" w:rsidRPr="00662B84" w:rsidRDefault="008B08A1" w:rsidP="008B08A1">
      <w:pPr>
        <w:pStyle w:val="ATHeading2"/>
      </w:pPr>
      <w:bookmarkStart w:id="1" w:name="title"/>
      <w:r w:rsidRPr="00662B84">
        <w:t xml:space="preserve">Proċedimenti ta’ </w:t>
      </w:r>
      <w:proofErr w:type="spellStart"/>
      <w:r w:rsidRPr="00662B84">
        <w:t>insolvenza</w:t>
      </w:r>
      <w:proofErr w:type="spellEnd"/>
      <w:r w:rsidRPr="00662B84">
        <w:t>: sostituzzjoni tal-</w:t>
      </w:r>
      <w:proofErr w:type="spellStart"/>
      <w:r w:rsidRPr="00662B84">
        <w:t>Annessi</w:t>
      </w:r>
      <w:proofErr w:type="spellEnd"/>
      <w:r w:rsidRPr="00662B84">
        <w:t xml:space="preserve"> A u B</w:t>
      </w:r>
      <w:bookmarkEnd w:id="1"/>
    </w:p>
    <w:p w14:paraId="2FF79614" w14:textId="77777777" w:rsidR="008B08A1" w:rsidRPr="00662B84" w:rsidRDefault="008B08A1" w:rsidP="008B08A1">
      <w:pPr>
        <w:rPr>
          <w:i/>
          <w:vanish/>
        </w:rPr>
      </w:pPr>
      <w:r w:rsidRPr="00662B84">
        <w:rPr>
          <w:i/>
        </w:rPr>
        <w:fldChar w:fldCharType="begin"/>
      </w:r>
      <w:r w:rsidRPr="00662B84">
        <w:rPr>
          <w:i/>
        </w:rPr>
        <w:instrText xml:space="preserve"> TC"(</w:instrText>
      </w:r>
      <w:bookmarkStart w:id="2" w:name="DocNumber"/>
      <w:r w:rsidRPr="00662B84">
        <w:rPr>
          <w:i/>
        </w:rPr>
        <w:instrText>A10-0127/2025</w:instrText>
      </w:r>
      <w:bookmarkEnd w:id="2"/>
      <w:r w:rsidRPr="00662B84">
        <w:rPr>
          <w:i/>
        </w:rPr>
        <w:instrText xml:space="preserve"> - </w:instrText>
      </w:r>
      <w:proofErr w:type="spellStart"/>
      <w:r w:rsidRPr="00662B84">
        <w:rPr>
          <w:i/>
        </w:rPr>
        <w:instrText>Rapporteur</w:instrText>
      </w:r>
      <w:proofErr w:type="spellEnd"/>
      <w:r w:rsidRPr="00662B84">
        <w:rPr>
          <w:i/>
        </w:rPr>
        <w:instrText xml:space="preserve">: </w:instrText>
      </w:r>
      <w:proofErr w:type="spellStart"/>
      <w:r w:rsidRPr="00662B84">
        <w:rPr>
          <w:i/>
        </w:rPr>
        <w:instrText>Ilhan</w:instrText>
      </w:r>
      <w:proofErr w:type="spellEnd"/>
      <w:r w:rsidRPr="00662B84">
        <w:rPr>
          <w:i/>
        </w:rPr>
        <w:instrText xml:space="preserve"> </w:instrText>
      </w:r>
      <w:proofErr w:type="spellStart"/>
      <w:r w:rsidRPr="00662B84">
        <w:rPr>
          <w:i/>
        </w:rPr>
        <w:instrText>Kyuchyuk</w:instrText>
      </w:r>
      <w:proofErr w:type="spellEnd"/>
      <w:r w:rsidRPr="00662B84">
        <w:rPr>
          <w:i/>
        </w:rPr>
        <w:instrText xml:space="preserve">)"\l3 \n&gt; \* MERGEFORMAT </w:instrText>
      </w:r>
      <w:r w:rsidRPr="00662B84">
        <w:rPr>
          <w:i/>
        </w:rPr>
        <w:fldChar w:fldCharType="end"/>
      </w:r>
    </w:p>
    <w:p w14:paraId="48455635" w14:textId="77777777" w:rsidR="008B08A1" w:rsidRPr="00662B84" w:rsidRDefault="008B08A1" w:rsidP="008B08A1">
      <w:pPr>
        <w:rPr>
          <w:vanish/>
        </w:rPr>
      </w:pPr>
      <w:bookmarkStart w:id="3" w:name="Commission"/>
      <w:r w:rsidRPr="00662B84">
        <w:rPr>
          <w:vanish/>
        </w:rPr>
        <w:t>Kumitat għall-Affarijiet Legali</w:t>
      </w:r>
      <w:bookmarkEnd w:id="3"/>
    </w:p>
    <w:p w14:paraId="2708FA09" w14:textId="77777777" w:rsidR="008B08A1" w:rsidRPr="00662B84" w:rsidRDefault="008B08A1" w:rsidP="008B08A1">
      <w:pPr>
        <w:rPr>
          <w:vanish/>
        </w:rPr>
      </w:pPr>
      <w:bookmarkStart w:id="4" w:name="PE"/>
      <w:r w:rsidRPr="00662B84">
        <w:rPr>
          <w:vanish/>
        </w:rPr>
        <w:t>PE775.423</w:t>
      </w:r>
      <w:bookmarkEnd w:id="4"/>
    </w:p>
    <w:p w14:paraId="1E6CE963" w14:textId="04448876" w:rsidR="008B08A1" w:rsidRPr="00662B84" w:rsidRDefault="008B08A1" w:rsidP="008B08A1">
      <w:pPr>
        <w:pStyle w:val="ATHeading3"/>
      </w:pPr>
      <w:bookmarkStart w:id="5" w:name="Sujet"/>
      <w:r w:rsidRPr="00662B84">
        <w:t xml:space="preserve">Riżoluzzjoni leġiżlattiva tal-Parlament Ewropew tal-10 ta' Settembru 2025 dwar il-proposta għal Regolament tal-Parlament Ewropew u tal-Kunsill li jemenda r-Regolament (UE) 2015/848 dwar proċedimenti ta’ </w:t>
      </w:r>
      <w:proofErr w:type="spellStart"/>
      <w:r w:rsidRPr="00662B84">
        <w:t>insolvenza</w:t>
      </w:r>
      <w:proofErr w:type="spellEnd"/>
      <w:r w:rsidRPr="00662B84">
        <w:t xml:space="preserve"> biex jiġu sostitwiti l-</w:t>
      </w:r>
      <w:proofErr w:type="spellStart"/>
      <w:r w:rsidRPr="00662B84">
        <w:t>Annessi</w:t>
      </w:r>
      <w:proofErr w:type="spellEnd"/>
      <w:r w:rsidRPr="00662B84">
        <w:t xml:space="preserve"> A u B tiegħu</w:t>
      </w:r>
      <w:bookmarkEnd w:id="5"/>
      <w:r w:rsidRPr="00662B84">
        <w:t xml:space="preserve"> </w:t>
      </w:r>
      <w:bookmarkStart w:id="6" w:name="References"/>
      <w:r w:rsidRPr="00662B84">
        <w:t>(COM(2025</w:t>
      </w:r>
      <w:r w:rsidR="00577E4D">
        <w:t>)</w:t>
      </w:r>
      <w:r w:rsidRPr="00662B84">
        <w:t>0040) – C10-0009/2025 – 2025/0023(COD))</w:t>
      </w:r>
      <w:bookmarkEnd w:id="6"/>
    </w:p>
    <w:p w14:paraId="534244B2" w14:textId="77777777" w:rsidR="008B08A1" w:rsidRPr="00662B84" w:rsidRDefault="008B08A1" w:rsidP="008B08A1"/>
    <w:p w14:paraId="25C20EB1" w14:textId="77777777" w:rsidR="00D749CE" w:rsidRPr="00662B84" w:rsidRDefault="00D749CE" w:rsidP="00D749CE">
      <w:pPr>
        <w:pStyle w:val="NormalBold"/>
      </w:pPr>
      <w:bookmarkStart w:id="7" w:name="TextBodyBegin"/>
      <w:bookmarkEnd w:id="7"/>
      <w:r w:rsidRPr="00662B84">
        <w:t>(Proċedura leġiżlattiva ordinarja: l-ewwel qari)</w:t>
      </w:r>
    </w:p>
    <w:p w14:paraId="20BA5446" w14:textId="77777777" w:rsidR="00D749CE" w:rsidRPr="00662B84" w:rsidRDefault="00D749CE" w:rsidP="00D749CE">
      <w:pPr>
        <w:pStyle w:val="EPComma"/>
      </w:pPr>
      <w:r w:rsidRPr="00662B84">
        <w:rPr>
          <w:i/>
        </w:rPr>
        <w:t>Il-Parlament Ewropew</w:t>
      </w:r>
      <w:r w:rsidRPr="00662B84">
        <w:t>,</w:t>
      </w:r>
    </w:p>
    <w:p w14:paraId="273FCF35" w14:textId="71A63660" w:rsidR="00D749CE" w:rsidRPr="00662B84" w:rsidRDefault="00D749CE" w:rsidP="00D749CE">
      <w:pPr>
        <w:pStyle w:val="NormalHanging12a"/>
      </w:pPr>
      <w:r w:rsidRPr="00662B84">
        <w:t>–</w:t>
      </w:r>
      <w:r w:rsidRPr="00662B84">
        <w:tab/>
        <w:t>wara li kkunsidra l-proposta tal-Kummissjoni lill-Parlament Ewropew u lill-Kunsill (COM(2025</w:t>
      </w:r>
      <w:r w:rsidR="00F252FA">
        <w:t>)</w:t>
      </w:r>
      <w:r w:rsidRPr="00662B84">
        <w:t>0040),</w:t>
      </w:r>
    </w:p>
    <w:p w14:paraId="55FCEC8F" w14:textId="77777777" w:rsidR="00D749CE" w:rsidRPr="00662B84" w:rsidRDefault="00D749CE" w:rsidP="00D749CE">
      <w:pPr>
        <w:pStyle w:val="NormalHanging12a"/>
      </w:pPr>
      <w:r w:rsidRPr="00662B84">
        <w:t>–</w:t>
      </w:r>
      <w:r w:rsidRPr="00662B84">
        <w:tab/>
        <w:t>wara li kkunsidra l-Artikolu 294(2) u l-Artikolu 81(2), il-punti (a), (c) u (f) tat-Trattat dwar il-Funzjonament tal-Unjoni Ewropea, skont liema artikoli l-Kummissjoni ppreżentat il-proposta lill-Parlament (C10</w:t>
      </w:r>
      <w:r w:rsidRPr="00662B84">
        <w:noBreakHyphen/>
        <w:t>0009/2025),</w:t>
      </w:r>
    </w:p>
    <w:p w14:paraId="630C0EA7" w14:textId="77777777" w:rsidR="00D749CE" w:rsidRDefault="00D749CE" w:rsidP="00D749CE">
      <w:pPr>
        <w:pStyle w:val="NormalHanging12a"/>
      </w:pPr>
      <w:r w:rsidRPr="00662B84">
        <w:t>–</w:t>
      </w:r>
      <w:r w:rsidRPr="00662B84">
        <w:tab/>
        <w:t>wara li kkunsidra l-Artikolu 294(3) tat-Trattat dwar il-Funzjonament tal-Unjoni Ewropea,</w:t>
      </w:r>
    </w:p>
    <w:p w14:paraId="15FC8D8B" w14:textId="47700922" w:rsidR="007F7467" w:rsidRPr="00662B84" w:rsidRDefault="007F7467" w:rsidP="007F7467">
      <w:pPr>
        <w:pStyle w:val="NormalHanging12a"/>
      </w:pPr>
      <w:r>
        <w:t>–</w:t>
      </w:r>
      <w:r>
        <w:tab/>
        <w:t>wara li kkunsidra l-impenn meħud mir-rappreżentant tal-Kunsill, permezz tal-ittra tas-17 ta' Lulju 2025, li japprova l-pożizzjoni tal-Parlament, skont l-Artikolu 294(4) tat-Trattat dwar il-Funzjonament tal-Unjoni Ewropea,</w:t>
      </w:r>
    </w:p>
    <w:p w14:paraId="609AFB4D" w14:textId="77777777" w:rsidR="00D749CE" w:rsidRPr="00662B84" w:rsidRDefault="00D749CE" w:rsidP="00D749CE">
      <w:pPr>
        <w:pStyle w:val="NormalHanging12a"/>
      </w:pPr>
      <w:r w:rsidRPr="00662B84">
        <w:t>–</w:t>
      </w:r>
      <w:r w:rsidRPr="00662B84">
        <w:tab/>
        <w:t>wara li kkunsidra l-Artikolu 60 tar-Regoli ta’ Proċedura tiegħu,</w:t>
      </w:r>
    </w:p>
    <w:p w14:paraId="34A7A29F" w14:textId="77777777" w:rsidR="00D749CE" w:rsidRPr="00662B84" w:rsidRDefault="00D749CE" w:rsidP="00D749CE">
      <w:pPr>
        <w:pStyle w:val="NormalHanging12a"/>
      </w:pPr>
      <w:r w:rsidRPr="00662B84">
        <w:t>–</w:t>
      </w:r>
      <w:r w:rsidRPr="00662B84">
        <w:tab/>
        <w:t>wara li kkunsidra r-rapport tal-Kumitat għall-Affarijiet Legali (A10-0127/2025),</w:t>
      </w:r>
    </w:p>
    <w:p w14:paraId="1E168BF3" w14:textId="77777777" w:rsidR="00D749CE" w:rsidRPr="00662B84" w:rsidRDefault="00D749CE" w:rsidP="00D749CE">
      <w:pPr>
        <w:pStyle w:val="NormalHanging12a"/>
      </w:pPr>
      <w:r w:rsidRPr="00662B84">
        <w:t>1.</w:t>
      </w:r>
      <w:r w:rsidRPr="00662B84">
        <w:tab/>
        <w:t>Jadotta l-pożizzjoni fl-ewwel qari li tidher hawn taħt;</w:t>
      </w:r>
    </w:p>
    <w:p w14:paraId="6203A91D" w14:textId="77777777" w:rsidR="00D749CE" w:rsidRPr="00662B84" w:rsidRDefault="00D749CE" w:rsidP="00D749CE">
      <w:pPr>
        <w:pStyle w:val="NormalHanging12a"/>
      </w:pPr>
      <w:r w:rsidRPr="00662B84">
        <w:t>2.</w:t>
      </w:r>
      <w:r w:rsidRPr="00662B84">
        <w:tab/>
        <w:t xml:space="preserve">Jitlob lill-Kummissjoni </w:t>
      </w:r>
      <w:proofErr w:type="spellStart"/>
      <w:r w:rsidRPr="00662B84">
        <w:t>terġa</w:t>
      </w:r>
      <w:proofErr w:type="spellEnd"/>
      <w:r w:rsidRPr="00662B84">
        <w:t xml:space="preserve">’ tirreferi l-kwistjoni lill-Parlament jekk tibdel il-proposta tagħha, </w:t>
      </w:r>
      <w:proofErr w:type="spellStart"/>
      <w:r w:rsidRPr="00662B84">
        <w:t>temendaha</w:t>
      </w:r>
      <w:proofErr w:type="spellEnd"/>
      <w:r w:rsidRPr="00662B84">
        <w:t xml:space="preserve"> b’mod sustanzjali jew ikollha l-ħsieb li </w:t>
      </w:r>
      <w:proofErr w:type="spellStart"/>
      <w:r w:rsidRPr="00662B84">
        <w:t>temendaha</w:t>
      </w:r>
      <w:proofErr w:type="spellEnd"/>
      <w:r w:rsidRPr="00662B84">
        <w:t xml:space="preserve"> b’mod sustanzjali;</w:t>
      </w:r>
    </w:p>
    <w:p w14:paraId="7C0647CA" w14:textId="77777777" w:rsidR="007F7467" w:rsidRDefault="00D749CE" w:rsidP="00D749CE">
      <w:pPr>
        <w:pStyle w:val="NormalHanging12a"/>
        <w:sectPr w:rsidR="007F7467" w:rsidSect="00B2165D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  <w:r w:rsidRPr="00662B84">
        <w:t>3.</w:t>
      </w:r>
      <w:r w:rsidRPr="00662B84">
        <w:tab/>
        <w:t>Jagħti istruzzjonijiet lill-President tiegħu biex tgħaddi l-pożizzjoni tal-Parlament lill-Kunsill u lill-Kummissjoni kif ukoll lill-parlamenti nazzjonali.</w:t>
      </w:r>
    </w:p>
    <w:p w14:paraId="3676ECF1" w14:textId="77777777" w:rsidR="00BF0403" w:rsidRPr="00BA3700" w:rsidRDefault="00BF0403" w:rsidP="00BF040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)0023</w:t>
      </w:r>
    </w:p>
    <w:p w14:paraId="0D10DFC7" w14:textId="6512ADC9" w:rsidR="00B2165D" w:rsidRDefault="00BF0403" w:rsidP="00361C16">
      <w:pPr>
        <w:rPr>
          <w:b/>
          <w:color w:val="000000" w:themeColor="text1"/>
        </w:rPr>
      </w:pPr>
      <w:r w:rsidRPr="007F7467">
        <w:rPr>
          <w:rFonts w:eastAsia="Calibri"/>
          <w:b/>
          <w:bCs/>
        </w:rPr>
        <w:t>Pożizzjoni tal-Parlament Ewropew adottata fl-ewwel qari tal-10</w:t>
      </w:r>
      <w:r w:rsidRPr="007F7467">
        <w:rPr>
          <w:b/>
        </w:rPr>
        <w:t xml:space="preserve"> </w:t>
      </w:r>
      <w:r w:rsidRPr="007F7467">
        <w:rPr>
          <w:rFonts w:eastAsia="Calibri"/>
          <w:b/>
          <w:bCs/>
        </w:rPr>
        <w:t>ta' Settembru 2025 bil-ħsieb tal-adozzjoni tar-Regolament (UE) 2025/...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DB47BA" w:rsidRPr="00DB47BA">
        <w:rPr>
          <w:b/>
          <w:color w:val="000000" w:themeColor="text1"/>
        </w:rPr>
        <w:t xml:space="preserve">li jemenda r-Regolament (UE) 2015/848 dwar proċedimenti ta' </w:t>
      </w:r>
      <w:proofErr w:type="spellStart"/>
      <w:r w:rsidR="00DB47BA" w:rsidRPr="00DB47BA">
        <w:rPr>
          <w:b/>
          <w:color w:val="000000" w:themeColor="text1"/>
        </w:rPr>
        <w:t>insolvenza</w:t>
      </w:r>
      <w:proofErr w:type="spellEnd"/>
      <w:r w:rsidR="00DB47BA" w:rsidRPr="00DB47BA">
        <w:rPr>
          <w:b/>
          <w:color w:val="000000" w:themeColor="text1"/>
        </w:rPr>
        <w:t xml:space="preserve"> biex jiġu sostitwiti l-</w:t>
      </w:r>
      <w:proofErr w:type="spellStart"/>
      <w:r w:rsidR="00DB47BA" w:rsidRPr="00DB47BA">
        <w:rPr>
          <w:b/>
          <w:color w:val="000000" w:themeColor="text1"/>
        </w:rPr>
        <w:t>Annessi</w:t>
      </w:r>
      <w:proofErr w:type="spellEnd"/>
      <w:r w:rsidR="00DB47BA" w:rsidRPr="00DB47BA">
        <w:rPr>
          <w:b/>
          <w:color w:val="000000" w:themeColor="text1"/>
        </w:rPr>
        <w:t xml:space="preserve"> A u B tiegħu</w:t>
      </w:r>
    </w:p>
    <w:p w14:paraId="76D5BE49" w14:textId="644AA113" w:rsidR="00361C16" w:rsidRPr="0029750F" w:rsidRDefault="00361C16" w:rsidP="00361C16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361C16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/2073</w:t>
      </w:r>
      <w:r w:rsidRPr="0050178C">
        <w:rPr>
          <w:i/>
        </w:rPr>
        <w:t>.)</w:t>
      </w:r>
    </w:p>
    <w:p w14:paraId="23EDDA20" w14:textId="77777777" w:rsidR="00361C16" w:rsidRPr="00361C16" w:rsidRDefault="00361C16" w:rsidP="00361C16"/>
    <w:sectPr w:rsidR="00361C16" w:rsidRPr="00361C16" w:rsidSect="00DB47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9764" w14:textId="77777777" w:rsidR="008B08A1" w:rsidRPr="00662B84" w:rsidRDefault="008B08A1">
      <w:r w:rsidRPr="00662B84">
        <w:separator/>
      </w:r>
    </w:p>
  </w:endnote>
  <w:endnote w:type="continuationSeparator" w:id="0">
    <w:p w14:paraId="5BB08C27" w14:textId="77777777" w:rsidR="008B08A1" w:rsidRPr="00662B84" w:rsidRDefault="008B08A1">
      <w:r w:rsidRPr="00662B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B1239" w14:textId="77777777" w:rsidR="00B2165D" w:rsidRPr="00FC2D5F" w:rsidRDefault="00B2165D" w:rsidP="00FC2D5F">
    <w:pPr>
      <w:pStyle w:val="Footer"/>
      <w:rPr>
        <w:b/>
        <w:i/>
        <w:color w:val="0000FF"/>
      </w:rPr>
    </w:pPr>
    <w:bookmarkStart w:id="10" w:name="_cp_change_1010"/>
  </w:p>
  <w:bookmarkEnd w:id="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2165D" w:rsidRPr="00D94637" w14:paraId="1ACD7276" w14:textId="77777777" w:rsidTr="00FC2D5F">
      <w:trPr>
        <w:jc w:val="center"/>
      </w:trPr>
      <w:tc>
        <w:tcPr>
          <w:tcW w:w="5000" w:type="pct"/>
          <w:gridSpan w:val="7"/>
          <w:shd w:val="solid" w:color="E6E6FA" w:fill="E6E6FA"/>
          <w:tcMar>
            <w:top w:w="57" w:type="dxa"/>
          </w:tcMar>
        </w:tcPr>
        <w:p w14:paraId="5719FB60" w14:textId="77777777" w:rsidR="00B2165D" w:rsidRPr="00D94637" w:rsidRDefault="00B2165D" w:rsidP="00D94637">
          <w:pPr>
            <w:pStyle w:val="FooterText"/>
            <w:pBdr>
              <w:top w:val="single" w:sz="4" w:space="1" w:color="auto"/>
            </w:pBdr>
            <w:spacing w:before="200"/>
            <w:rPr>
              <w:b/>
              <w:i/>
              <w:color w:val="0000FF"/>
              <w:sz w:val="2"/>
              <w:szCs w:val="2"/>
            </w:rPr>
          </w:pPr>
          <w:bookmarkStart w:id="13" w:name="_cp_change_969"/>
          <w:bookmarkStart w:id="14" w:name="_cp_change_981"/>
        </w:p>
      </w:tc>
    </w:tr>
    <w:tr w:rsidR="00B2165D" w:rsidRPr="00B310DC" w14:paraId="29F89701" w14:textId="77777777" w:rsidTr="00FC2D5F">
      <w:trPr>
        <w:jc w:val="center"/>
      </w:trPr>
      <w:tc>
        <w:tcPr>
          <w:tcW w:w="2500" w:type="pct"/>
          <w:gridSpan w:val="2"/>
          <w:shd w:val="solid" w:color="E6E6FA" w:fill="E6E6FA"/>
          <w:tcMar>
            <w:top w:w="0" w:type="dxa"/>
          </w:tcMar>
        </w:tcPr>
        <w:p w14:paraId="56ACD183" w14:textId="77777777" w:rsidR="00B2165D" w:rsidRPr="00AD7BF2" w:rsidRDefault="00B2165D" w:rsidP="004F54B2">
          <w:pPr>
            <w:pStyle w:val="FooterTex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 xml:space="preserve">8878/25 </w:t>
          </w:r>
        </w:p>
      </w:tc>
      <w:tc>
        <w:tcPr>
          <w:tcW w:w="625" w:type="pct"/>
          <w:shd w:val="solid" w:color="E6E6FA" w:fill="E6E6FA"/>
          <w:tcMar>
            <w:top w:w="0" w:type="dxa"/>
          </w:tcMar>
        </w:tcPr>
        <w:p w14:paraId="3EEE74B8" w14:textId="77777777" w:rsidR="00B2165D" w:rsidRPr="00AD7BF2" w:rsidRDefault="00B2165D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1286" w:type="pct"/>
          <w:gridSpan w:val="3"/>
          <w:shd w:val="solid" w:color="E6E6FA" w:fill="E6E6FA"/>
          <w:tcMar>
            <w:top w:w="0" w:type="dxa"/>
          </w:tcMar>
        </w:tcPr>
        <w:p w14:paraId="5D00806C" w14:textId="77777777" w:rsidR="00B2165D" w:rsidRPr="002511D8" w:rsidRDefault="00B2165D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589" w:type="pct"/>
          <w:shd w:val="solid" w:color="E6E6FA" w:fill="E6E6FA"/>
          <w:tcMar>
            <w:top w:w="0" w:type="dxa"/>
          </w:tcMar>
        </w:tcPr>
        <w:p w14:paraId="774B974F" w14:textId="77777777" w:rsidR="00B2165D" w:rsidRPr="00B310DC" w:rsidRDefault="00B2165D" w:rsidP="00D94637">
          <w:pPr>
            <w:pStyle w:val="FooterText"/>
            <w:jc w:val="righ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fldChar w:fldCharType="begin"/>
          </w:r>
          <w:r>
            <w:rPr>
              <w:b/>
              <w:i/>
              <w:color w:val="0000FF"/>
              <w:u w:color="0000FF"/>
            </w:rPr>
            <w:instrText>PAGE  \* MERGEFORMAT</w:instrText>
          </w:r>
          <w:r>
            <w:rPr>
              <w:b/>
              <w:i/>
              <w:color w:val="0000FF"/>
              <w:u w:color="0000FF"/>
            </w:rPr>
            <w:fldChar w:fldCharType="separate"/>
          </w:r>
          <w:r>
            <w:rPr>
              <w:b/>
              <w:i/>
              <w:noProof/>
              <w:color w:val="0000FF"/>
              <w:u w:color="0000FF"/>
            </w:rPr>
            <w:t>1</w:t>
          </w:r>
          <w:r>
            <w:rPr>
              <w:b/>
              <w:i/>
              <w:color w:val="0000FF"/>
              <w:u w:color="0000FF"/>
            </w:rPr>
            <w:fldChar w:fldCharType="end"/>
          </w:r>
        </w:p>
      </w:tc>
    </w:tr>
    <w:tr w:rsidR="00B2165D" w:rsidRPr="00D94637" w14:paraId="65DB5851" w14:textId="77777777" w:rsidTr="00FC2D5F">
      <w:trPr>
        <w:jc w:val="center"/>
      </w:trPr>
      <w:tc>
        <w:tcPr>
          <w:tcW w:w="1774" w:type="pct"/>
          <w:shd w:val="solid" w:color="E6E6FA" w:fill="E6E6FA"/>
        </w:tcPr>
        <w:p w14:paraId="40C5CB05" w14:textId="77777777" w:rsidR="00B2165D" w:rsidRPr="00AD7BF2" w:rsidRDefault="00B2165D" w:rsidP="00D94637">
          <w:pPr>
            <w:pStyle w:val="FooterText"/>
            <w:spacing w:before="40"/>
            <w:rPr>
              <w:b/>
              <w:i/>
              <w:color w:val="0000FF"/>
            </w:rPr>
          </w:pPr>
        </w:p>
      </w:tc>
      <w:tc>
        <w:tcPr>
          <w:tcW w:w="1455" w:type="pct"/>
          <w:gridSpan w:val="3"/>
          <w:shd w:val="solid" w:color="E6E6FA" w:fill="E6E6FA"/>
        </w:tcPr>
        <w:p w14:paraId="7F0A477E" w14:textId="77777777" w:rsidR="00B2165D" w:rsidRPr="00AD7BF2" w:rsidRDefault="00B2165D" w:rsidP="00D204D6">
          <w:pPr>
            <w:pStyle w:val="FooterText"/>
            <w:spacing w:before="40"/>
            <w:jc w:val="center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>JAI 2</w:t>
          </w:r>
        </w:p>
      </w:tc>
      <w:tc>
        <w:tcPr>
          <w:tcW w:w="742" w:type="pct"/>
          <w:shd w:val="solid" w:color="E6E6FA" w:fill="E6E6FA"/>
        </w:tcPr>
        <w:p w14:paraId="4865B452" w14:textId="77777777" w:rsidR="00B2165D" w:rsidRPr="00D94637" w:rsidRDefault="00B2165D" w:rsidP="002F0099">
          <w:pPr>
            <w:pStyle w:val="FooterText"/>
            <w:jc w:val="center"/>
            <w:rPr>
              <w:b/>
              <w:i/>
              <w:color w:val="0000FF"/>
              <w:position w:val="-4"/>
              <w:sz w:val="36"/>
            </w:rPr>
          </w:pPr>
        </w:p>
      </w:tc>
      <w:tc>
        <w:tcPr>
          <w:tcW w:w="1029" w:type="pct"/>
          <w:gridSpan w:val="2"/>
          <w:shd w:val="solid" w:color="E6E6FA" w:fill="E6E6FA"/>
        </w:tcPr>
        <w:p w14:paraId="00C377E6" w14:textId="77777777" w:rsidR="00B2165D" w:rsidRPr="00695BAF" w:rsidRDefault="00B2165D" w:rsidP="00D94637">
          <w:pPr>
            <w:pStyle w:val="FooterText"/>
            <w:jc w:val="right"/>
            <w:rPr>
              <w:b/>
              <w:i/>
              <w:caps/>
              <w:color w:val="0000FF"/>
              <w:spacing w:val="-20"/>
              <w:sz w:val="16"/>
            </w:rPr>
          </w:pPr>
          <w:r>
            <w:rPr>
              <w:b/>
              <w:i/>
              <w:caps/>
              <w:color w:val="0000FF"/>
              <w:spacing w:val="-20"/>
              <w:position w:val="-4"/>
              <w:sz w:val="36"/>
              <w:u w:color="0000FF"/>
            </w:rPr>
            <w:t>EN</w:t>
          </w:r>
        </w:p>
      </w:tc>
    </w:tr>
    <w:bookmarkEnd w:id="13"/>
  </w:tbl>
  <w:p w14:paraId="2AD80A3F" w14:textId="77777777" w:rsidR="00B2165D" w:rsidRPr="00FC2D5F" w:rsidRDefault="00B2165D" w:rsidP="00FC2D5F">
    <w:pPr>
      <w:pStyle w:val="FooterCouncil"/>
    </w:pPr>
  </w:p>
  <w:bookmarkEnd w:id="1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3987A" w14:textId="77777777" w:rsidR="00064002" w:rsidRPr="00662B8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EDE3" w14:textId="77777777" w:rsidR="00064002" w:rsidRPr="00662B8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731C" w14:textId="77777777" w:rsidR="00064002" w:rsidRPr="00662B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1D2CB" w14:textId="77777777" w:rsidR="008B08A1" w:rsidRPr="00662B84" w:rsidRDefault="008B08A1">
      <w:r w:rsidRPr="00662B84">
        <w:separator/>
      </w:r>
    </w:p>
  </w:footnote>
  <w:footnote w:type="continuationSeparator" w:id="0">
    <w:p w14:paraId="26E1FDC2" w14:textId="77777777" w:rsidR="008B08A1" w:rsidRPr="00662B84" w:rsidRDefault="008B08A1">
      <w:r w:rsidRPr="00662B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0673" w14:textId="77777777" w:rsidR="00B2165D" w:rsidRPr="00FC2D5F" w:rsidRDefault="00B2165D" w:rsidP="00FC2D5F">
    <w:pPr>
      <w:pStyle w:val="Header"/>
      <w:rPr>
        <w:b/>
        <w:i/>
        <w:color w:val="0000FF"/>
      </w:rPr>
    </w:pPr>
    <w:bookmarkStart w:id="8" w:name="_cp_change_955"/>
  </w:p>
  <w:bookmarkEnd w:id="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9BF6" w14:textId="77777777" w:rsidR="00B2165D" w:rsidRPr="00A252BC" w:rsidRDefault="00B2165D">
    <w:pPr>
      <w:rPr>
        <w:b/>
        <w:i/>
        <w:color w:val="000000" w:themeColor="text1"/>
      </w:rPr>
    </w:pPr>
    <w:r>
      <w:rPr>
        <w:color w:val="000000" w:themeColor="text1"/>
      </w:rPr>
      <w:t> </w:t>
    </w:r>
    <w:bookmarkStart w:id="9" w:name="_cp_change_954"/>
  </w:p>
  <w:bookmarkEnd w:id="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59CA8" w14:textId="77777777" w:rsidR="00B2165D" w:rsidRPr="00FC2D5F" w:rsidRDefault="00B2165D" w:rsidP="00FC2D5F">
    <w:pPr>
      <w:pStyle w:val="HeaderCouncil"/>
      <w:rPr>
        <w:b/>
        <w:i/>
        <w:color w:val="0000FF"/>
      </w:rPr>
    </w:pPr>
    <w:bookmarkStart w:id="11" w:name="_cp_change_951"/>
    <w:bookmarkStart w:id="12" w:name="_cp_change_953"/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5EF06FB" wp14:editId="3DEB7392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208745598" name="DW_WATERMARK_ab1d5206-57d5-46d1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123455" name="DW_WATERMARK_ab1d5206-57d5-46d1-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1"/>
    <w:r>
      <w:t> </w:t>
    </w:r>
  </w:p>
  <w:bookmarkEnd w:id="1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4FEF" w14:textId="77777777" w:rsidR="00064002" w:rsidRPr="00662B8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EAD2" w14:textId="77777777" w:rsidR="00064002" w:rsidRPr="00662B8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319B7" w14:textId="77777777" w:rsidR="00064002" w:rsidRPr="00662B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num w:numId="1" w16cid:durableId="1611082369">
    <w:abstractNumId w:val="9"/>
  </w:num>
  <w:num w:numId="2" w16cid:durableId="91636205">
    <w:abstractNumId w:val="9"/>
  </w:num>
  <w:num w:numId="3" w16cid:durableId="1419404680">
    <w:abstractNumId w:val="7"/>
  </w:num>
  <w:num w:numId="4" w16cid:durableId="1243836206">
    <w:abstractNumId w:val="7"/>
  </w:num>
  <w:num w:numId="5" w16cid:durableId="1033917760">
    <w:abstractNumId w:val="6"/>
  </w:num>
  <w:num w:numId="6" w16cid:durableId="1083913059">
    <w:abstractNumId w:val="6"/>
  </w:num>
  <w:num w:numId="7" w16cid:durableId="590241846">
    <w:abstractNumId w:val="5"/>
  </w:num>
  <w:num w:numId="8" w16cid:durableId="1718045215">
    <w:abstractNumId w:val="5"/>
  </w:num>
  <w:num w:numId="9" w16cid:durableId="1366251869">
    <w:abstractNumId w:val="4"/>
  </w:num>
  <w:num w:numId="10" w16cid:durableId="820538491">
    <w:abstractNumId w:val="4"/>
  </w:num>
  <w:num w:numId="11" w16cid:durableId="429475281">
    <w:abstractNumId w:val="8"/>
  </w:num>
  <w:num w:numId="12" w16cid:durableId="1542092323">
    <w:abstractNumId w:val="8"/>
  </w:num>
  <w:num w:numId="13" w16cid:durableId="964239304">
    <w:abstractNumId w:val="3"/>
  </w:num>
  <w:num w:numId="14" w16cid:durableId="1996952614">
    <w:abstractNumId w:val="3"/>
  </w:num>
  <w:num w:numId="15" w16cid:durableId="1608005810">
    <w:abstractNumId w:val="2"/>
  </w:num>
  <w:num w:numId="16" w16cid:durableId="359092740">
    <w:abstractNumId w:val="2"/>
  </w:num>
  <w:num w:numId="17" w16cid:durableId="1341280242">
    <w:abstractNumId w:val="1"/>
  </w:num>
  <w:num w:numId="18" w16cid:durableId="335882361">
    <w:abstractNumId w:val="1"/>
  </w:num>
  <w:num w:numId="19" w16cid:durableId="1829249817">
    <w:abstractNumId w:val="0"/>
  </w:num>
  <w:num w:numId="20" w16cid:durableId="210580323">
    <w:abstractNumId w:val="0"/>
  </w:num>
  <w:num w:numId="21" w16cid:durableId="300960740">
    <w:abstractNumId w:val="9"/>
  </w:num>
  <w:num w:numId="22" w16cid:durableId="596443309">
    <w:abstractNumId w:val="7"/>
  </w:num>
  <w:num w:numId="23" w16cid:durableId="1635403938">
    <w:abstractNumId w:val="6"/>
  </w:num>
  <w:num w:numId="24" w16cid:durableId="1337154755">
    <w:abstractNumId w:val="5"/>
  </w:num>
  <w:num w:numId="25" w16cid:durableId="1514875175">
    <w:abstractNumId w:val="4"/>
  </w:num>
  <w:num w:numId="26" w16cid:durableId="1725181588">
    <w:abstractNumId w:val="8"/>
  </w:num>
  <w:num w:numId="27" w16cid:durableId="1971285036">
    <w:abstractNumId w:val="3"/>
  </w:num>
  <w:num w:numId="28" w16cid:durableId="120541192">
    <w:abstractNumId w:val="2"/>
  </w:num>
  <w:num w:numId="29" w16cid:durableId="731998523">
    <w:abstractNumId w:val="1"/>
  </w:num>
  <w:num w:numId="30" w16cid:durableId="725492757">
    <w:abstractNumId w:val="0"/>
  </w:num>
  <w:num w:numId="31" w16cid:durableId="67075273">
    <w:abstractNumId w:val="9"/>
  </w:num>
  <w:num w:numId="32" w16cid:durableId="2064793269">
    <w:abstractNumId w:val="7"/>
  </w:num>
  <w:num w:numId="33" w16cid:durableId="1095632607">
    <w:abstractNumId w:val="6"/>
  </w:num>
  <w:num w:numId="34" w16cid:durableId="60301256">
    <w:abstractNumId w:val="5"/>
  </w:num>
  <w:num w:numId="35" w16cid:durableId="1158574901">
    <w:abstractNumId w:val="4"/>
  </w:num>
  <w:num w:numId="36" w16cid:durableId="1717923641">
    <w:abstractNumId w:val="8"/>
  </w:num>
  <w:num w:numId="37" w16cid:durableId="1498617055">
    <w:abstractNumId w:val="3"/>
  </w:num>
  <w:num w:numId="38" w16cid:durableId="1074930566">
    <w:abstractNumId w:val="2"/>
  </w:num>
  <w:num w:numId="39" w16cid:durableId="1135639372">
    <w:abstractNumId w:val="1"/>
  </w:num>
  <w:num w:numId="40" w16cid:durableId="868570681">
    <w:abstractNumId w:val="0"/>
  </w:num>
  <w:num w:numId="41" w16cid:durableId="1810585797">
    <w:abstractNumId w:val="10"/>
  </w:num>
  <w:num w:numId="42" w16cid:durableId="323779364">
    <w:abstractNumId w:val="10"/>
  </w:num>
  <w:num w:numId="43" w16cid:durableId="1664968435">
    <w:abstractNumId w:val="10"/>
  </w:num>
  <w:num w:numId="44" w16cid:durableId="1740668038">
    <w:abstractNumId w:val="11"/>
  </w:num>
  <w:num w:numId="45" w16cid:durableId="9160919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MT"/>
    <w:docVar w:name="dvnumam" w:val="11"/>
    <w:docVar w:name="dvpe" w:val="775.423"/>
    <w:docVar w:name="dvrapporteur" w:val="Rapporteur: "/>
    <w:docVar w:name="dvstar" w:val="***I"/>
    <w:docVar w:name="dvtitre" w:val="Riżoluzzjoni leġiżlattiva tal-Parlament Ewropew tal-10 ta' Settembru 2025 dwar il-proposta għal Regolament tal-Parlament Ewropew u tal-Kunsill li jemenda r-Regolament (UE) 2015/848 dwar proċedimenti ta’ insolvenza biex jiġu sostitwiti l-Annessi A u B tiegħu(COM(2025/0040) – C10-0009/2025 – 2025/0023(COD))"/>
  </w:docVars>
  <w:rsids>
    <w:rsidRoot w:val="008B08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001B"/>
    <w:rsid w:val="00343214"/>
    <w:rsid w:val="00361C00"/>
    <w:rsid w:val="00361C16"/>
    <w:rsid w:val="00395FA1"/>
    <w:rsid w:val="003E15D4"/>
    <w:rsid w:val="00411CCE"/>
    <w:rsid w:val="0041666E"/>
    <w:rsid w:val="00421060"/>
    <w:rsid w:val="004717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E4D"/>
    <w:rsid w:val="005B2094"/>
    <w:rsid w:val="005C2568"/>
    <w:rsid w:val="005F1B17"/>
    <w:rsid w:val="006037C0"/>
    <w:rsid w:val="00634FDB"/>
    <w:rsid w:val="00662B84"/>
    <w:rsid w:val="006631B6"/>
    <w:rsid w:val="00680577"/>
    <w:rsid w:val="006B6DBA"/>
    <w:rsid w:val="006F74FA"/>
    <w:rsid w:val="00731ADD"/>
    <w:rsid w:val="00734777"/>
    <w:rsid w:val="00747932"/>
    <w:rsid w:val="00751A4A"/>
    <w:rsid w:val="00756632"/>
    <w:rsid w:val="00762C74"/>
    <w:rsid w:val="007736B6"/>
    <w:rsid w:val="00786EC0"/>
    <w:rsid w:val="007C4B62"/>
    <w:rsid w:val="007D1690"/>
    <w:rsid w:val="007E22AD"/>
    <w:rsid w:val="007F7467"/>
    <w:rsid w:val="00807BDA"/>
    <w:rsid w:val="00817416"/>
    <w:rsid w:val="00842779"/>
    <w:rsid w:val="00865F67"/>
    <w:rsid w:val="008724C9"/>
    <w:rsid w:val="00881A7B"/>
    <w:rsid w:val="008840E5"/>
    <w:rsid w:val="00887B3E"/>
    <w:rsid w:val="008B08A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65D"/>
    <w:rsid w:val="00B22876"/>
    <w:rsid w:val="00B45C40"/>
    <w:rsid w:val="00B558F0"/>
    <w:rsid w:val="00BD48FE"/>
    <w:rsid w:val="00BD7BD8"/>
    <w:rsid w:val="00BE6ADC"/>
    <w:rsid w:val="00BF0403"/>
    <w:rsid w:val="00C05BFE"/>
    <w:rsid w:val="00C23CD4"/>
    <w:rsid w:val="00C358D8"/>
    <w:rsid w:val="00C61C0C"/>
    <w:rsid w:val="00C738C4"/>
    <w:rsid w:val="00C941CB"/>
    <w:rsid w:val="00CC2357"/>
    <w:rsid w:val="00CE13DB"/>
    <w:rsid w:val="00CF071A"/>
    <w:rsid w:val="00D058B8"/>
    <w:rsid w:val="00D56C11"/>
    <w:rsid w:val="00D749CE"/>
    <w:rsid w:val="00D834A0"/>
    <w:rsid w:val="00D872DF"/>
    <w:rsid w:val="00D91E21"/>
    <w:rsid w:val="00DA7FCD"/>
    <w:rsid w:val="00DB47BA"/>
    <w:rsid w:val="00E365E1"/>
    <w:rsid w:val="00E820A4"/>
    <w:rsid w:val="00EB006A"/>
    <w:rsid w:val="00EB4772"/>
    <w:rsid w:val="00EC5324"/>
    <w:rsid w:val="00ED169E"/>
    <w:rsid w:val="00ED4235"/>
    <w:rsid w:val="00F04346"/>
    <w:rsid w:val="00F075DC"/>
    <w:rsid w:val="00F11BE1"/>
    <w:rsid w:val="00F149E9"/>
    <w:rsid w:val="00F252F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7D55C"/>
  <w15:chartTrackingRefBased/>
  <w15:docId w15:val="{ED29CACC-5CB4-4293-8917-EB429F3A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749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D749CE"/>
    <w:pPr>
      <w:spacing w:after="120"/>
    </w:pPr>
  </w:style>
  <w:style w:type="paragraph" w:customStyle="1" w:styleId="PageHeading">
    <w:name w:val="PageHeading"/>
    <w:basedOn w:val="Normal"/>
    <w:rsid w:val="00D749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49CE"/>
    <w:rPr>
      <w:b/>
    </w:rPr>
  </w:style>
  <w:style w:type="paragraph" w:customStyle="1" w:styleId="NormalBold12a">
    <w:name w:val="NormalBold12a"/>
    <w:basedOn w:val="Normal"/>
    <w:rsid w:val="00D749C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749CE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D749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9CE"/>
    <w:rPr>
      <w:sz w:val="24"/>
      <w:lang w:val="mt-MT"/>
    </w:rPr>
  </w:style>
  <w:style w:type="paragraph" w:customStyle="1" w:styleId="AmColumnHeading">
    <w:name w:val="AmColumnHeading"/>
    <w:basedOn w:val="Normal"/>
    <w:rsid w:val="00D749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749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749CE"/>
    <w:pPr>
      <w:spacing w:before="240"/>
    </w:pPr>
    <w:rPr>
      <w:b/>
    </w:rPr>
  </w:style>
  <w:style w:type="paragraph" w:customStyle="1" w:styleId="EPFooter">
    <w:name w:val="EPFooter"/>
    <w:basedOn w:val="Normal"/>
    <w:rsid w:val="00D749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49CE"/>
    <w:pPr>
      <w:spacing w:before="480" w:after="240"/>
    </w:pPr>
  </w:style>
  <w:style w:type="character" w:styleId="CommentReference">
    <w:name w:val="annotation reference"/>
    <w:basedOn w:val="DefaultParagraphFont"/>
    <w:uiPriority w:val="99"/>
    <w:rsid w:val="0077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36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6B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773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36B6"/>
    <w:rPr>
      <w:b/>
      <w:bCs/>
      <w:lang w:val="mt-MT"/>
    </w:rPr>
  </w:style>
  <w:style w:type="paragraph" w:styleId="Footer">
    <w:name w:val="footer"/>
    <w:basedOn w:val="Normal"/>
    <w:link w:val="FooterChar"/>
    <w:uiPriority w:val="99"/>
    <w:unhideWhenUsed/>
    <w:rsid w:val="00B2165D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2165D"/>
    <w:rPr>
      <w:rFonts w:eastAsiaTheme="minorHAnsi"/>
      <w:sz w:val="24"/>
      <w:szCs w:val="22"/>
      <w:lang w:val="mt-MT" w:eastAsia="en-US"/>
    </w:rPr>
  </w:style>
  <w:style w:type="paragraph" w:customStyle="1" w:styleId="HeaderCouncil">
    <w:name w:val="Header Council"/>
    <w:basedOn w:val="Normal"/>
    <w:rsid w:val="00B2165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2165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NormalCentered">
    <w:name w:val="Normal Centered"/>
    <w:basedOn w:val="Normal"/>
    <w:rsid w:val="00B2165D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2165D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Normal"/>
    <w:rsid w:val="00B2165D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2165D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2165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2165D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FooterText">
    <w:name w:val="Footer Text"/>
    <w:basedOn w:val="Normal"/>
    <w:rsid w:val="00B2165D"/>
    <w:pPr>
      <w:widowControl/>
    </w:pPr>
    <w:rPr>
      <w:szCs w:val="24"/>
      <w:lang w:val="en-GB" w:eastAsia="en-US"/>
    </w:rPr>
  </w:style>
  <w:style w:type="paragraph" w:customStyle="1" w:styleId="FinalLine">
    <w:name w:val="Final Line"/>
    <w:basedOn w:val="Normal"/>
    <w:next w:val="Normal"/>
    <w:rsid w:val="00B216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Annex">
    <w:name w:val="Annex"/>
    <w:basedOn w:val="Normal"/>
    <w:next w:val="Normal"/>
    <w:rsid w:val="00B2165D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Dash">
    <w:name w:val="Dash"/>
    <w:basedOn w:val="Normal"/>
    <w:rsid w:val="00B2165D"/>
    <w:pPr>
      <w:widowControl/>
      <w:numPr>
        <w:numId w:val="4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7F7467"/>
    <w:rPr>
      <w:sz w:val="24"/>
      <w:lang w:val="mt-MT"/>
    </w:rPr>
  </w:style>
  <w:style w:type="character" w:styleId="Hyperlink">
    <w:name w:val="Hyperlink"/>
    <w:basedOn w:val="DefaultParagraphFont"/>
    <w:rsid w:val="00BF04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403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361C16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2025-10-21T13:31:00Z</dcterms:created>
  <dcterms:modified xsi:type="dcterms:W3CDTF">2025-10-21T13:31:00Z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