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00A7" w14:paraId="47FB4B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FC5753" w14:textId="77777777" w:rsidR="00751A4A" w:rsidRPr="00C500A7" w:rsidRDefault="00544ADC" w:rsidP="0010095E">
            <w:pPr>
              <w:pStyle w:val="EPName"/>
            </w:pPr>
            <w:r w:rsidRPr="00C500A7">
              <w:t>Parlament Europejski</w:t>
            </w:r>
          </w:p>
          <w:p w14:paraId="3EAEFB65" w14:textId="77777777" w:rsidR="00751A4A" w:rsidRPr="00C500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00A7">
              <w:t>2024</w:t>
            </w:r>
            <w:r w:rsidR="00817416" w:rsidRPr="00C500A7">
              <w:t>-202</w:t>
            </w:r>
            <w:r w:rsidRPr="00C500A7">
              <w:t>9</w:t>
            </w:r>
          </w:p>
        </w:tc>
        <w:tc>
          <w:tcPr>
            <w:tcW w:w="2268" w:type="dxa"/>
            <w:shd w:val="clear" w:color="auto" w:fill="auto"/>
          </w:tcPr>
          <w:p w14:paraId="59EF2F6D" w14:textId="77777777" w:rsidR="00751A4A" w:rsidRPr="00C500A7" w:rsidRDefault="00187494" w:rsidP="0010095E">
            <w:pPr>
              <w:pStyle w:val="EPLogo"/>
            </w:pPr>
            <w:r w:rsidRPr="00C500A7">
              <w:rPr>
                <w:noProof/>
                <w:lang w:eastAsia="ja-JP"/>
              </w:rPr>
              <w:drawing>
                <wp:inline distT="0" distB="0" distL="0" distR="0" wp14:anchorId="6F2696CF" wp14:editId="36747C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86A4F9" w14:textId="77777777" w:rsidR="00D058B8" w:rsidRPr="00C500A7" w:rsidRDefault="00D058B8" w:rsidP="004C5D52">
      <w:pPr>
        <w:pStyle w:val="LineTop"/>
      </w:pPr>
    </w:p>
    <w:p w14:paraId="5E739FCC" w14:textId="77777777" w:rsidR="00680577" w:rsidRPr="00C500A7" w:rsidRDefault="00544ADC" w:rsidP="00680577">
      <w:pPr>
        <w:pStyle w:val="EPBodyTA1"/>
      </w:pPr>
      <w:r w:rsidRPr="00C500A7">
        <w:t>TEKSTY PRZYJĘTE</w:t>
      </w:r>
    </w:p>
    <w:p w14:paraId="14C64FEB" w14:textId="77777777" w:rsidR="00D058B8" w:rsidRPr="00C500A7" w:rsidRDefault="00D058B8" w:rsidP="00D058B8">
      <w:pPr>
        <w:pStyle w:val="LineBottom"/>
      </w:pPr>
    </w:p>
    <w:p w14:paraId="16F4B90C" w14:textId="10350406" w:rsidR="00544ADC" w:rsidRPr="00C500A7" w:rsidRDefault="00544ADC" w:rsidP="00544ADC">
      <w:pPr>
        <w:pStyle w:val="ATHeading1"/>
      </w:pPr>
      <w:bookmarkStart w:id="0" w:name="TANumber"/>
      <w:r w:rsidRPr="00C500A7">
        <w:t>P10_TA(2025)0</w:t>
      </w:r>
      <w:bookmarkEnd w:id="0"/>
      <w:r w:rsidR="00011758">
        <w:t>180</w:t>
      </w:r>
    </w:p>
    <w:p w14:paraId="456BD08F" w14:textId="77777777" w:rsidR="00544ADC" w:rsidRPr="00C500A7" w:rsidRDefault="00544ADC" w:rsidP="00544ADC">
      <w:pPr>
        <w:pStyle w:val="ATHeading2"/>
      </w:pPr>
      <w:bookmarkStart w:id="1" w:name="title"/>
      <w:r w:rsidRPr="00C500A7">
        <w:t>Postępowanie upadłościowe: zastąpienie załączników A i B</w:t>
      </w:r>
      <w:bookmarkEnd w:id="1"/>
    </w:p>
    <w:p w14:paraId="542CD790" w14:textId="77777777" w:rsidR="00544ADC" w:rsidRPr="00C500A7" w:rsidRDefault="00544ADC" w:rsidP="00544ADC">
      <w:pPr>
        <w:rPr>
          <w:i/>
          <w:vanish/>
        </w:rPr>
      </w:pPr>
      <w:r w:rsidRPr="00C500A7">
        <w:rPr>
          <w:i/>
        </w:rPr>
        <w:fldChar w:fldCharType="begin"/>
      </w:r>
      <w:r w:rsidRPr="00C500A7">
        <w:rPr>
          <w:i/>
        </w:rPr>
        <w:instrText xml:space="preserve"> TC"(</w:instrText>
      </w:r>
      <w:bookmarkStart w:id="2" w:name="DocNumber"/>
      <w:r w:rsidRPr="00C500A7">
        <w:rPr>
          <w:i/>
        </w:rPr>
        <w:instrText>A10-0127/2025</w:instrText>
      </w:r>
      <w:bookmarkEnd w:id="2"/>
      <w:r w:rsidRPr="00C500A7">
        <w:rPr>
          <w:i/>
        </w:rPr>
        <w:instrText xml:space="preserve"> - Sprawozdawca: Ilhan Kyuchyuk)"\l3 \n&gt; \* MERGEFORMAT </w:instrText>
      </w:r>
      <w:r w:rsidRPr="00C500A7">
        <w:rPr>
          <w:i/>
        </w:rPr>
        <w:fldChar w:fldCharType="end"/>
      </w:r>
    </w:p>
    <w:p w14:paraId="57569271" w14:textId="77777777" w:rsidR="00544ADC" w:rsidRPr="00C500A7" w:rsidRDefault="00544ADC" w:rsidP="00544ADC">
      <w:pPr>
        <w:rPr>
          <w:vanish/>
        </w:rPr>
      </w:pPr>
      <w:bookmarkStart w:id="3" w:name="Commission"/>
      <w:r w:rsidRPr="00C500A7">
        <w:rPr>
          <w:vanish/>
        </w:rPr>
        <w:t>Komisja Prawna</w:t>
      </w:r>
      <w:bookmarkEnd w:id="3"/>
    </w:p>
    <w:p w14:paraId="2F3CDECE" w14:textId="77777777" w:rsidR="00544ADC" w:rsidRPr="00C500A7" w:rsidRDefault="00544ADC" w:rsidP="00544ADC">
      <w:pPr>
        <w:rPr>
          <w:vanish/>
        </w:rPr>
      </w:pPr>
      <w:bookmarkStart w:id="4" w:name="PE"/>
      <w:r w:rsidRPr="00C500A7">
        <w:rPr>
          <w:vanish/>
        </w:rPr>
        <w:t>PE775.423</w:t>
      </w:r>
      <w:bookmarkEnd w:id="4"/>
    </w:p>
    <w:p w14:paraId="4D3C51F0" w14:textId="6C34050B" w:rsidR="00544ADC" w:rsidRPr="00C500A7" w:rsidRDefault="00544ADC" w:rsidP="00544ADC">
      <w:pPr>
        <w:pStyle w:val="ATHeading3"/>
      </w:pPr>
      <w:bookmarkStart w:id="5" w:name="Sujet"/>
      <w:r w:rsidRPr="00C500A7">
        <w:t xml:space="preserve">Rezolucja ustawodawcza Parlamentu Europejskiego z dnia </w:t>
      </w:r>
      <w:r w:rsidR="00145F1A">
        <w:t>10</w:t>
      </w:r>
      <w:r w:rsidR="003A45A9">
        <w:t xml:space="preserve"> września</w:t>
      </w:r>
      <w:r w:rsidRPr="00C500A7">
        <w:t xml:space="preserve"> 2025 r. w sprawie wniosku dotyczącego rozporządzenia Parlamentu Europejskiego i Rady zmieniającego rozporządzenie (UE) 2015/848 w sprawie postępowania upadłościowego w celu zastąpienia jego załączników A i B</w:t>
      </w:r>
      <w:bookmarkEnd w:id="5"/>
      <w:r w:rsidRPr="00C500A7">
        <w:t xml:space="preserve"> </w:t>
      </w:r>
      <w:bookmarkStart w:id="6" w:name="References"/>
      <w:r w:rsidRPr="00C500A7">
        <w:t>(COM(2025</w:t>
      </w:r>
      <w:r w:rsidR="004E4EC7">
        <w:t>)</w:t>
      </w:r>
      <w:r w:rsidRPr="00C500A7">
        <w:t>0040) – C10-0009/2025 – 2025/0023(COD))</w:t>
      </w:r>
      <w:bookmarkEnd w:id="6"/>
    </w:p>
    <w:p w14:paraId="1E203A82" w14:textId="77777777" w:rsidR="00544ADC" w:rsidRPr="00C500A7" w:rsidRDefault="00544ADC" w:rsidP="00544ADC"/>
    <w:p w14:paraId="359BAC64" w14:textId="77777777" w:rsidR="000811C0" w:rsidRPr="00C500A7" w:rsidRDefault="000811C0" w:rsidP="000811C0">
      <w:pPr>
        <w:pStyle w:val="NormalBold"/>
      </w:pPr>
      <w:bookmarkStart w:id="7" w:name="TextBodyBegin"/>
      <w:bookmarkEnd w:id="7"/>
      <w:r w:rsidRPr="00C500A7">
        <w:t>(Zwykła procedura ustawodawcza: pierwsze czytanie)</w:t>
      </w:r>
    </w:p>
    <w:p w14:paraId="30314C66" w14:textId="77777777" w:rsidR="000811C0" w:rsidRPr="00C500A7" w:rsidRDefault="000811C0" w:rsidP="000811C0">
      <w:pPr>
        <w:pStyle w:val="EPComma"/>
      </w:pPr>
      <w:r w:rsidRPr="00C500A7">
        <w:rPr>
          <w:i/>
        </w:rPr>
        <w:t>Parlament Europejski</w:t>
      </w:r>
      <w:r w:rsidRPr="00C500A7">
        <w:t>,</w:t>
      </w:r>
    </w:p>
    <w:p w14:paraId="6E4CB740" w14:textId="77777777" w:rsidR="000811C0" w:rsidRPr="00C500A7" w:rsidRDefault="000811C0" w:rsidP="000811C0">
      <w:pPr>
        <w:pStyle w:val="NormalHanging12a"/>
      </w:pPr>
      <w:r w:rsidRPr="00C500A7">
        <w:t>–</w:t>
      </w:r>
      <w:r w:rsidRPr="00C500A7">
        <w:tab/>
        <w:t>uwzględniając wniosek Komisji przedstawiony Parlamentowi Europejskiemu i Radzie (COM(2025)0040),</w:t>
      </w:r>
    </w:p>
    <w:p w14:paraId="101EF60F" w14:textId="77777777" w:rsidR="000811C0" w:rsidRPr="00C500A7" w:rsidRDefault="000811C0" w:rsidP="000811C0">
      <w:pPr>
        <w:pStyle w:val="NormalHanging12a"/>
      </w:pPr>
      <w:r w:rsidRPr="00C500A7">
        <w:t>–</w:t>
      </w:r>
      <w:r w:rsidRPr="00C500A7">
        <w:tab/>
        <w:t>uwzględniając art. 294 ust. 2 oraz art. 81 ust. 2 lit. a), c) i f) Traktatu o funkcjonowaniu Unii Europejskiej, zgodnie z którymi wniosek został przedstawiony Parlamentowi przez Komisję (C10</w:t>
      </w:r>
      <w:r w:rsidRPr="00C500A7">
        <w:noBreakHyphen/>
        <w:t>0009/2025),</w:t>
      </w:r>
    </w:p>
    <w:p w14:paraId="0ED24ED5" w14:textId="77777777" w:rsidR="000811C0" w:rsidRPr="00C500A7" w:rsidRDefault="000811C0" w:rsidP="000811C0">
      <w:pPr>
        <w:pStyle w:val="NormalHanging12a"/>
      </w:pPr>
      <w:r w:rsidRPr="00C500A7">
        <w:t>–</w:t>
      </w:r>
      <w:r w:rsidRPr="00C500A7">
        <w:tab/>
        <w:t>uwzględniając art. 294 ust. 3 Traktatu o funkcjonowaniu Unii Europejskiej,</w:t>
      </w:r>
    </w:p>
    <w:p w14:paraId="560E61E8" w14:textId="07DA4B0E" w:rsidR="00145F1A" w:rsidRDefault="00145F1A" w:rsidP="00145F1A">
      <w:pPr>
        <w:pStyle w:val="Normal12Hanging"/>
        <w:ind w:left="567" w:hanging="567"/>
        <w:rPr>
          <w:szCs w:val="24"/>
        </w:rPr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>,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17 lipca 2025 </w:t>
      </w:r>
      <w:r w:rsidRPr="00710F4D">
        <w:rPr>
          <w:szCs w:val="24"/>
        </w:rPr>
        <w:t>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p w14:paraId="3526E964" w14:textId="77777777" w:rsidR="000811C0" w:rsidRPr="00C500A7" w:rsidRDefault="000811C0" w:rsidP="000811C0">
      <w:pPr>
        <w:pStyle w:val="NormalHanging12a"/>
      </w:pPr>
      <w:r w:rsidRPr="00C500A7">
        <w:t>–</w:t>
      </w:r>
      <w:r w:rsidRPr="00C500A7">
        <w:tab/>
        <w:t>uwzględniając art. 60 Regulaminu,</w:t>
      </w:r>
    </w:p>
    <w:p w14:paraId="30D47B05" w14:textId="77777777" w:rsidR="000811C0" w:rsidRPr="00C500A7" w:rsidRDefault="000811C0" w:rsidP="000811C0">
      <w:pPr>
        <w:pStyle w:val="NormalHanging12a"/>
      </w:pPr>
      <w:r w:rsidRPr="00C500A7">
        <w:t>–</w:t>
      </w:r>
      <w:r w:rsidRPr="00C500A7">
        <w:tab/>
        <w:t>uwzględniając sprawozdanie Komisji Prawnej (A10-0127/2025),</w:t>
      </w:r>
    </w:p>
    <w:p w14:paraId="6280328D" w14:textId="77777777" w:rsidR="000811C0" w:rsidRPr="00C500A7" w:rsidRDefault="000811C0" w:rsidP="000811C0">
      <w:pPr>
        <w:pStyle w:val="NormalHanging12a"/>
      </w:pPr>
      <w:r w:rsidRPr="00C500A7">
        <w:t>1.</w:t>
      </w:r>
      <w:r w:rsidRPr="00C500A7">
        <w:tab/>
        <w:t>przyjmuje poniższe stanowisko w pierwszym czytaniu;</w:t>
      </w:r>
    </w:p>
    <w:p w14:paraId="6B202CDA" w14:textId="77777777" w:rsidR="000811C0" w:rsidRPr="00C500A7" w:rsidRDefault="000811C0" w:rsidP="000811C0">
      <w:pPr>
        <w:pStyle w:val="NormalHanging12a"/>
      </w:pPr>
      <w:r w:rsidRPr="00C500A7">
        <w:t>2.</w:t>
      </w:r>
      <w:r w:rsidRPr="00C500A7">
        <w:tab/>
        <w:t>zwraca się do Komisji o ponowne przekazanie mu sprawy, jeśli zastąpi ona pierwotny wniosek, wprowadzi w nim istotne zmiany lub planuje ich wprowadzenie;</w:t>
      </w:r>
    </w:p>
    <w:p w14:paraId="5C6B4B4A" w14:textId="77777777" w:rsidR="00011758" w:rsidRDefault="000811C0" w:rsidP="000811C0">
      <w:pPr>
        <w:pStyle w:val="NormalHanging12a"/>
        <w:sectPr w:rsidR="00011758" w:rsidSect="009A1B2A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  <w:r w:rsidRPr="00C500A7">
        <w:t>3.</w:t>
      </w:r>
      <w:r w:rsidRPr="00C500A7">
        <w:tab/>
        <w:t>zobowiązuje swoją przewodniczącą do przekazania stanowiska Parlamentu Radzie i Komisji oraz parlamentom narodowym.</w:t>
      </w:r>
    </w:p>
    <w:p w14:paraId="0B24AACF" w14:textId="77777777" w:rsidR="00145F1A" w:rsidRPr="00E33717" w:rsidRDefault="00145F1A" w:rsidP="00145F1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3717">
        <w:rPr>
          <w:rFonts w:eastAsia="Calibri"/>
          <w:b/>
          <w:bCs/>
          <w:color w:val="000000"/>
          <w:szCs w:val="24"/>
        </w:rPr>
        <w:lastRenderedPageBreak/>
        <w:t>P10_TC1-COD(2025)0023</w:t>
      </w:r>
    </w:p>
    <w:p w14:paraId="092FCDA4" w14:textId="0F03A576" w:rsidR="009A1B2A" w:rsidRDefault="00145F1A" w:rsidP="00145F1A">
      <w:pPr>
        <w:widowControl/>
        <w:autoSpaceDE w:val="0"/>
        <w:autoSpaceDN w:val="0"/>
        <w:adjustRightInd w:val="0"/>
        <w:spacing w:before="360" w:after="120"/>
        <w:rPr>
          <w:rFonts w:eastAsia="Calibri"/>
          <w:b/>
          <w:color w:val="000000"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września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Pr="009A1B2A">
        <w:rPr>
          <w:rFonts w:eastAsia="Calibri"/>
          <w:b/>
          <w:color w:val="000000"/>
          <w:szCs w:val="22"/>
          <w:lang w:eastAsia="en-US"/>
        </w:rPr>
        <w:t>zmieniające</w:t>
      </w:r>
      <w:r>
        <w:rPr>
          <w:rFonts w:eastAsia="Calibri"/>
          <w:b/>
          <w:color w:val="000000"/>
          <w:szCs w:val="22"/>
          <w:lang w:eastAsia="en-US"/>
        </w:rPr>
        <w:t>go</w:t>
      </w:r>
      <w:r w:rsidRPr="009A1B2A">
        <w:rPr>
          <w:rFonts w:eastAsia="Calibri"/>
          <w:b/>
          <w:color w:val="000000"/>
          <w:szCs w:val="22"/>
          <w:lang w:eastAsia="en-US"/>
        </w:rPr>
        <w:t xml:space="preserve"> rozporządzenie (UE) 2015/848 w sprawie postępowania upadłościowego w celu zastąpienia załączników A i B do tego rozporządzenia</w:t>
      </w:r>
    </w:p>
    <w:p w14:paraId="125D698D" w14:textId="77A6D015" w:rsidR="0026394A" w:rsidRPr="009A1B2A" w:rsidRDefault="0026394A" w:rsidP="00145F1A">
      <w:pPr>
        <w:widowControl/>
        <w:autoSpaceDE w:val="0"/>
        <w:autoSpaceDN w:val="0"/>
        <w:adjustRightInd w:val="0"/>
        <w:spacing w:before="360" w:after="120"/>
        <w:rPr>
          <w:rFonts w:eastAsia="Calibri"/>
          <w:b/>
          <w:bCs/>
          <w:noProof/>
          <w:color w:val="000000"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2073</w:t>
      </w:r>
      <w:r>
        <w:rPr>
          <w:i/>
        </w:rPr>
        <w:t>.)</w:t>
      </w:r>
    </w:p>
    <w:sectPr w:rsidR="0026394A" w:rsidRPr="009A1B2A" w:rsidSect="002639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5AAF8" w14:textId="77777777" w:rsidR="00544ADC" w:rsidRPr="00C500A7" w:rsidRDefault="00544ADC">
      <w:r w:rsidRPr="00C500A7">
        <w:separator/>
      </w:r>
    </w:p>
  </w:endnote>
  <w:endnote w:type="continuationSeparator" w:id="0">
    <w:p w14:paraId="221FDC4F" w14:textId="77777777" w:rsidR="00544ADC" w:rsidRPr="00C500A7" w:rsidRDefault="00544ADC">
      <w:r w:rsidRPr="00C500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5133" w14:textId="77777777" w:rsidR="009A1B2A" w:rsidRPr="00FC2D5F" w:rsidRDefault="009A1B2A" w:rsidP="00FC2D5F">
    <w:pPr>
      <w:pStyle w:val="Footer"/>
      <w:rPr>
        <w:b/>
        <w:i/>
        <w:color w:val="0000FF"/>
      </w:rPr>
    </w:pPr>
    <w:bookmarkStart w:id="10" w:name="_cp_change_1010"/>
  </w:p>
  <w:bookmarkEnd w:id="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A1B2A" w:rsidRPr="00D94637" w14:paraId="16C1AA67" w14:textId="77777777" w:rsidTr="00FC2D5F">
      <w:trPr>
        <w:jc w:val="center"/>
      </w:trPr>
      <w:tc>
        <w:tcPr>
          <w:tcW w:w="5000" w:type="pct"/>
          <w:gridSpan w:val="7"/>
          <w:shd w:val="solid" w:color="E6E6FA" w:fill="E6E6FA"/>
          <w:tcMar>
            <w:top w:w="57" w:type="dxa"/>
          </w:tcMar>
        </w:tcPr>
        <w:p w14:paraId="7F450AF1" w14:textId="77777777" w:rsidR="009A1B2A" w:rsidRPr="00D94637" w:rsidRDefault="009A1B2A" w:rsidP="00D94637">
          <w:pPr>
            <w:pStyle w:val="FooterText"/>
            <w:pBdr>
              <w:top w:val="single" w:sz="4" w:space="1" w:color="auto"/>
            </w:pBdr>
            <w:spacing w:before="200"/>
            <w:rPr>
              <w:b/>
              <w:i/>
              <w:color w:val="0000FF"/>
              <w:sz w:val="2"/>
              <w:szCs w:val="2"/>
            </w:rPr>
          </w:pPr>
          <w:bookmarkStart w:id="13" w:name="_cp_change_969"/>
          <w:bookmarkStart w:id="14" w:name="_cp_change_981"/>
        </w:p>
      </w:tc>
    </w:tr>
    <w:tr w:rsidR="009A1B2A" w:rsidRPr="00B310DC" w14:paraId="01236916" w14:textId="77777777" w:rsidTr="00FC2D5F">
      <w:trPr>
        <w:jc w:val="center"/>
      </w:trPr>
      <w:tc>
        <w:tcPr>
          <w:tcW w:w="2500" w:type="pct"/>
          <w:gridSpan w:val="2"/>
          <w:shd w:val="solid" w:color="E6E6FA" w:fill="E6E6FA"/>
          <w:tcMar>
            <w:top w:w="0" w:type="dxa"/>
          </w:tcMar>
        </w:tcPr>
        <w:p w14:paraId="1EB2E5CC" w14:textId="77777777" w:rsidR="009A1B2A" w:rsidRPr="00AD7BF2" w:rsidRDefault="009A1B2A" w:rsidP="004F54B2">
          <w:pPr>
            <w:pStyle w:val="FooterTex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 xml:space="preserve">8878/25 </w:t>
          </w:r>
        </w:p>
      </w:tc>
      <w:tc>
        <w:tcPr>
          <w:tcW w:w="625" w:type="pct"/>
          <w:shd w:val="solid" w:color="E6E6FA" w:fill="E6E6FA"/>
          <w:tcMar>
            <w:top w:w="0" w:type="dxa"/>
          </w:tcMar>
        </w:tcPr>
        <w:p w14:paraId="50267550" w14:textId="77777777" w:rsidR="009A1B2A" w:rsidRPr="00AD7BF2" w:rsidRDefault="009A1B2A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1286" w:type="pct"/>
          <w:gridSpan w:val="3"/>
          <w:shd w:val="solid" w:color="E6E6FA" w:fill="E6E6FA"/>
          <w:tcMar>
            <w:top w:w="0" w:type="dxa"/>
          </w:tcMar>
        </w:tcPr>
        <w:p w14:paraId="6E6F4C5C" w14:textId="77777777" w:rsidR="009A1B2A" w:rsidRPr="002511D8" w:rsidRDefault="009A1B2A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589" w:type="pct"/>
          <w:shd w:val="solid" w:color="E6E6FA" w:fill="E6E6FA"/>
          <w:tcMar>
            <w:top w:w="0" w:type="dxa"/>
          </w:tcMar>
        </w:tcPr>
        <w:p w14:paraId="3ED15E82" w14:textId="77777777" w:rsidR="009A1B2A" w:rsidRPr="00B310DC" w:rsidRDefault="009A1B2A" w:rsidP="00D94637">
          <w:pPr>
            <w:pStyle w:val="FooterText"/>
            <w:jc w:val="righ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fldChar w:fldCharType="begin"/>
          </w:r>
          <w:r>
            <w:rPr>
              <w:b/>
              <w:i/>
              <w:color w:val="0000FF"/>
              <w:u w:color="0000FF"/>
            </w:rPr>
            <w:instrText>PAGE  \* MERGEFORMAT</w:instrText>
          </w:r>
          <w:r>
            <w:rPr>
              <w:b/>
              <w:i/>
              <w:color w:val="0000FF"/>
              <w:u w:color="0000FF"/>
            </w:rPr>
            <w:fldChar w:fldCharType="separate"/>
          </w:r>
          <w:r>
            <w:rPr>
              <w:b/>
              <w:i/>
              <w:noProof/>
              <w:color w:val="0000FF"/>
              <w:u w:color="0000FF"/>
            </w:rPr>
            <w:t>1</w:t>
          </w:r>
          <w:r>
            <w:rPr>
              <w:b/>
              <w:i/>
              <w:color w:val="0000FF"/>
              <w:u w:color="0000FF"/>
            </w:rPr>
            <w:fldChar w:fldCharType="end"/>
          </w:r>
        </w:p>
      </w:tc>
    </w:tr>
    <w:tr w:rsidR="009A1B2A" w:rsidRPr="00D94637" w14:paraId="7859EF77" w14:textId="77777777" w:rsidTr="00FC2D5F">
      <w:trPr>
        <w:jc w:val="center"/>
      </w:trPr>
      <w:tc>
        <w:tcPr>
          <w:tcW w:w="1774" w:type="pct"/>
          <w:shd w:val="solid" w:color="E6E6FA" w:fill="E6E6FA"/>
        </w:tcPr>
        <w:p w14:paraId="46832BE3" w14:textId="77777777" w:rsidR="009A1B2A" w:rsidRPr="00AD7BF2" w:rsidRDefault="009A1B2A" w:rsidP="00D94637">
          <w:pPr>
            <w:pStyle w:val="FooterText"/>
            <w:spacing w:before="40"/>
            <w:rPr>
              <w:b/>
              <w:i/>
              <w:color w:val="0000FF"/>
            </w:rPr>
          </w:pPr>
        </w:p>
      </w:tc>
      <w:tc>
        <w:tcPr>
          <w:tcW w:w="1455" w:type="pct"/>
          <w:gridSpan w:val="3"/>
          <w:shd w:val="solid" w:color="E6E6FA" w:fill="E6E6FA"/>
        </w:tcPr>
        <w:p w14:paraId="31377477" w14:textId="77777777" w:rsidR="009A1B2A" w:rsidRPr="00AD7BF2" w:rsidRDefault="009A1B2A" w:rsidP="00D204D6">
          <w:pPr>
            <w:pStyle w:val="FooterText"/>
            <w:spacing w:before="40"/>
            <w:jc w:val="center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>JAI 2</w:t>
          </w:r>
        </w:p>
      </w:tc>
      <w:tc>
        <w:tcPr>
          <w:tcW w:w="742" w:type="pct"/>
          <w:shd w:val="solid" w:color="E6E6FA" w:fill="E6E6FA"/>
        </w:tcPr>
        <w:p w14:paraId="377BC5BC" w14:textId="77777777" w:rsidR="009A1B2A" w:rsidRPr="00D94637" w:rsidRDefault="009A1B2A" w:rsidP="002F0099">
          <w:pPr>
            <w:pStyle w:val="FooterText"/>
            <w:jc w:val="center"/>
            <w:rPr>
              <w:b/>
              <w:i/>
              <w:color w:val="0000FF"/>
              <w:position w:val="-4"/>
              <w:sz w:val="36"/>
            </w:rPr>
          </w:pPr>
        </w:p>
      </w:tc>
      <w:tc>
        <w:tcPr>
          <w:tcW w:w="1029" w:type="pct"/>
          <w:gridSpan w:val="2"/>
          <w:shd w:val="solid" w:color="E6E6FA" w:fill="E6E6FA"/>
        </w:tcPr>
        <w:p w14:paraId="225D823C" w14:textId="77777777" w:rsidR="009A1B2A" w:rsidRPr="00695BAF" w:rsidRDefault="009A1B2A" w:rsidP="00D94637">
          <w:pPr>
            <w:pStyle w:val="FooterText"/>
            <w:jc w:val="right"/>
            <w:rPr>
              <w:b/>
              <w:i/>
              <w:caps/>
              <w:color w:val="0000FF"/>
              <w:spacing w:val="-20"/>
              <w:sz w:val="16"/>
            </w:rPr>
          </w:pPr>
          <w:r>
            <w:rPr>
              <w:b/>
              <w:i/>
              <w:caps/>
              <w:color w:val="0000FF"/>
              <w:spacing w:val="-20"/>
              <w:position w:val="-4"/>
              <w:sz w:val="36"/>
              <w:u w:color="0000FF"/>
            </w:rPr>
            <w:t>EN</w:t>
          </w:r>
        </w:p>
      </w:tc>
    </w:tr>
    <w:bookmarkEnd w:id="13"/>
  </w:tbl>
  <w:p w14:paraId="2D44A6DC" w14:textId="77777777" w:rsidR="009A1B2A" w:rsidRPr="00FC2D5F" w:rsidRDefault="009A1B2A" w:rsidP="00FC2D5F">
    <w:pPr>
      <w:pStyle w:val="FooterCouncil"/>
    </w:pPr>
  </w:p>
  <w:bookmarkEnd w:id="1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DF4D" w14:textId="77777777" w:rsidR="00064002" w:rsidRPr="00C500A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32B8" w14:textId="77777777" w:rsidR="00064002" w:rsidRPr="00C500A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29A0" w14:textId="77777777" w:rsidR="00064002" w:rsidRPr="00C500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A1A54" w14:textId="77777777" w:rsidR="00544ADC" w:rsidRPr="00C500A7" w:rsidRDefault="00544ADC">
      <w:r w:rsidRPr="00C500A7">
        <w:separator/>
      </w:r>
    </w:p>
  </w:footnote>
  <w:footnote w:type="continuationSeparator" w:id="0">
    <w:p w14:paraId="386BE4E8" w14:textId="77777777" w:rsidR="00544ADC" w:rsidRPr="00C500A7" w:rsidRDefault="00544ADC">
      <w:r w:rsidRPr="00C500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6E5A6" w14:textId="77777777" w:rsidR="009A1B2A" w:rsidRPr="00FC2D5F" w:rsidRDefault="009A1B2A" w:rsidP="00FC2D5F">
    <w:pPr>
      <w:pStyle w:val="Header"/>
      <w:rPr>
        <w:b/>
        <w:i/>
        <w:color w:val="0000FF"/>
      </w:rPr>
    </w:pPr>
    <w:bookmarkStart w:id="8" w:name="_cp_change_955"/>
  </w:p>
  <w:bookmarkEnd w:id="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56A37" w14:textId="77777777" w:rsidR="009A1B2A" w:rsidRPr="00A252BC" w:rsidRDefault="009A1B2A">
    <w:pPr>
      <w:rPr>
        <w:b/>
        <w:i/>
        <w:color w:val="000000" w:themeColor="text1"/>
      </w:rPr>
    </w:pPr>
    <w:bookmarkStart w:id="9" w:name="_cp_change_954"/>
  </w:p>
  <w:bookmarkEnd w:id="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5877" w14:textId="77777777" w:rsidR="009A1B2A" w:rsidRPr="00FC2D5F" w:rsidRDefault="009A1B2A" w:rsidP="00FC2D5F">
    <w:pPr>
      <w:pStyle w:val="HeaderCouncil"/>
      <w:rPr>
        <w:b/>
        <w:i/>
        <w:color w:val="0000FF"/>
      </w:rPr>
    </w:pPr>
    <w:bookmarkStart w:id="11" w:name="_cp_change_951"/>
    <w:bookmarkStart w:id="12" w:name="_cp_change_953"/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1481CF4" wp14:editId="568BA89C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208745598" name="DW_WATERMARK_ab1d5206-57d5-46d1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123455" name="DW_WATERMARK_ab1d5206-57d5-46d1-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1"/>
    <w:r>
      <w:t> </w:t>
    </w:r>
  </w:p>
  <w:bookmarkEnd w:id="1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6F1D" w14:textId="77777777" w:rsidR="00064002" w:rsidRPr="00C500A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92F1" w14:textId="77777777" w:rsidR="00064002" w:rsidRPr="00C500A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8624" w14:textId="77777777" w:rsidR="00064002" w:rsidRPr="00C500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8433212">
    <w:abstractNumId w:val="9"/>
  </w:num>
  <w:num w:numId="2" w16cid:durableId="1178038700">
    <w:abstractNumId w:val="9"/>
  </w:num>
  <w:num w:numId="3" w16cid:durableId="1947423564">
    <w:abstractNumId w:val="7"/>
  </w:num>
  <w:num w:numId="4" w16cid:durableId="1546211242">
    <w:abstractNumId w:val="7"/>
  </w:num>
  <w:num w:numId="5" w16cid:durableId="58990506">
    <w:abstractNumId w:val="6"/>
  </w:num>
  <w:num w:numId="6" w16cid:durableId="1369721005">
    <w:abstractNumId w:val="6"/>
  </w:num>
  <w:num w:numId="7" w16cid:durableId="2047824791">
    <w:abstractNumId w:val="5"/>
  </w:num>
  <w:num w:numId="8" w16cid:durableId="1574050198">
    <w:abstractNumId w:val="5"/>
  </w:num>
  <w:num w:numId="9" w16cid:durableId="156580007">
    <w:abstractNumId w:val="4"/>
  </w:num>
  <w:num w:numId="10" w16cid:durableId="184368791">
    <w:abstractNumId w:val="4"/>
  </w:num>
  <w:num w:numId="11" w16cid:durableId="416633860">
    <w:abstractNumId w:val="8"/>
  </w:num>
  <w:num w:numId="12" w16cid:durableId="573466761">
    <w:abstractNumId w:val="8"/>
  </w:num>
  <w:num w:numId="13" w16cid:durableId="1781223829">
    <w:abstractNumId w:val="3"/>
  </w:num>
  <w:num w:numId="14" w16cid:durableId="1455975725">
    <w:abstractNumId w:val="3"/>
  </w:num>
  <w:num w:numId="15" w16cid:durableId="553125200">
    <w:abstractNumId w:val="2"/>
  </w:num>
  <w:num w:numId="16" w16cid:durableId="220024100">
    <w:abstractNumId w:val="2"/>
  </w:num>
  <w:num w:numId="17" w16cid:durableId="570500816">
    <w:abstractNumId w:val="1"/>
  </w:num>
  <w:num w:numId="18" w16cid:durableId="1969041340">
    <w:abstractNumId w:val="1"/>
  </w:num>
  <w:num w:numId="19" w16cid:durableId="1279145445">
    <w:abstractNumId w:val="0"/>
  </w:num>
  <w:num w:numId="20" w16cid:durableId="1190267029">
    <w:abstractNumId w:val="0"/>
  </w:num>
  <w:num w:numId="21" w16cid:durableId="166098119">
    <w:abstractNumId w:val="9"/>
  </w:num>
  <w:num w:numId="22" w16cid:durableId="44187906">
    <w:abstractNumId w:val="7"/>
  </w:num>
  <w:num w:numId="23" w16cid:durableId="1913613417">
    <w:abstractNumId w:val="6"/>
  </w:num>
  <w:num w:numId="24" w16cid:durableId="514420689">
    <w:abstractNumId w:val="5"/>
  </w:num>
  <w:num w:numId="25" w16cid:durableId="1846826229">
    <w:abstractNumId w:val="4"/>
  </w:num>
  <w:num w:numId="26" w16cid:durableId="1467704363">
    <w:abstractNumId w:val="8"/>
  </w:num>
  <w:num w:numId="27" w16cid:durableId="630327593">
    <w:abstractNumId w:val="3"/>
  </w:num>
  <w:num w:numId="28" w16cid:durableId="670452468">
    <w:abstractNumId w:val="2"/>
  </w:num>
  <w:num w:numId="29" w16cid:durableId="1320109545">
    <w:abstractNumId w:val="1"/>
  </w:num>
  <w:num w:numId="30" w16cid:durableId="561987617">
    <w:abstractNumId w:val="0"/>
  </w:num>
  <w:num w:numId="31" w16cid:durableId="385684334">
    <w:abstractNumId w:val="9"/>
  </w:num>
  <w:num w:numId="32" w16cid:durableId="218903902">
    <w:abstractNumId w:val="7"/>
  </w:num>
  <w:num w:numId="33" w16cid:durableId="1029181678">
    <w:abstractNumId w:val="6"/>
  </w:num>
  <w:num w:numId="34" w16cid:durableId="1066563823">
    <w:abstractNumId w:val="5"/>
  </w:num>
  <w:num w:numId="35" w16cid:durableId="1088967158">
    <w:abstractNumId w:val="4"/>
  </w:num>
  <w:num w:numId="36" w16cid:durableId="1764035499">
    <w:abstractNumId w:val="8"/>
  </w:num>
  <w:num w:numId="37" w16cid:durableId="378870290">
    <w:abstractNumId w:val="3"/>
  </w:num>
  <w:num w:numId="38" w16cid:durableId="28645496">
    <w:abstractNumId w:val="2"/>
  </w:num>
  <w:num w:numId="39" w16cid:durableId="1508714840">
    <w:abstractNumId w:val="1"/>
  </w:num>
  <w:num w:numId="40" w16cid:durableId="1483085807">
    <w:abstractNumId w:val="0"/>
  </w:num>
  <w:num w:numId="41" w16cid:durableId="1578243393">
    <w:abstractNumId w:val="10"/>
  </w:num>
  <w:num w:numId="42" w16cid:durableId="896011599">
    <w:abstractNumId w:val="10"/>
  </w:num>
  <w:num w:numId="43" w16cid:durableId="1419130448">
    <w:abstractNumId w:val="10"/>
  </w:num>
  <w:num w:numId="44" w16cid:durableId="9165922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PL"/>
    <w:docVar w:name="dvnumam" w:val="0"/>
    <w:docVar w:name="dvpe" w:val="775.423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15/848 w sprawie postępowania upadłościowego w celu zastąpienia jego załączników A i B(COM(2025/0040) – C10-0009/2025 – 2025/0023(COD))"/>
  </w:docVars>
  <w:rsids>
    <w:rsidRoot w:val="00544ADC"/>
    <w:rsid w:val="00002272"/>
    <w:rsid w:val="00011758"/>
    <w:rsid w:val="00064002"/>
    <w:rsid w:val="000677B9"/>
    <w:rsid w:val="000811C0"/>
    <w:rsid w:val="000831BA"/>
    <w:rsid w:val="000A42CC"/>
    <w:rsid w:val="000E7DD9"/>
    <w:rsid w:val="0010095E"/>
    <w:rsid w:val="00116E6C"/>
    <w:rsid w:val="00125B37"/>
    <w:rsid w:val="00145F1A"/>
    <w:rsid w:val="00187494"/>
    <w:rsid w:val="001F32AE"/>
    <w:rsid w:val="0026394A"/>
    <w:rsid w:val="002767FF"/>
    <w:rsid w:val="002B18FE"/>
    <w:rsid w:val="002B5493"/>
    <w:rsid w:val="00343214"/>
    <w:rsid w:val="00361C00"/>
    <w:rsid w:val="00395FA1"/>
    <w:rsid w:val="003A45A9"/>
    <w:rsid w:val="003D7AE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EC7"/>
    <w:rsid w:val="0050519A"/>
    <w:rsid w:val="005072A1"/>
    <w:rsid w:val="00514517"/>
    <w:rsid w:val="00544AD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FE3"/>
    <w:rsid w:val="00930C23"/>
    <w:rsid w:val="0093193B"/>
    <w:rsid w:val="009509D8"/>
    <w:rsid w:val="00950B64"/>
    <w:rsid w:val="00981893"/>
    <w:rsid w:val="009A1B2A"/>
    <w:rsid w:val="00A1687D"/>
    <w:rsid w:val="00A43E52"/>
    <w:rsid w:val="00A4678D"/>
    <w:rsid w:val="00A778C7"/>
    <w:rsid w:val="00AA3AD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0A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71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35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03BF1"/>
  <w15:chartTrackingRefBased/>
  <w15:docId w15:val="{2B5150AF-A8B1-49A3-B4E8-10B08C98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811C0"/>
    <w:pPr>
      <w:spacing w:after="120"/>
    </w:pPr>
  </w:style>
  <w:style w:type="paragraph" w:customStyle="1" w:styleId="NormalBold">
    <w:name w:val="NormalBold"/>
    <w:basedOn w:val="Normal"/>
    <w:rsid w:val="000811C0"/>
    <w:rPr>
      <w:b/>
    </w:rPr>
  </w:style>
  <w:style w:type="paragraph" w:customStyle="1" w:styleId="NormalHanging12a">
    <w:name w:val="NormalHanging12a"/>
    <w:basedOn w:val="Normal"/>
    <w:rsid w:val="000811C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811C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11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11C0"/>
    <w:pPr>
      <w:spacing w:before="240"/>
    </w:pPr>
    <w:rPr>
      <w:b/>
    </w:rPr>
  </w:style>
  <w:style w:type="paragraph" w:customStyle="1" w:styleId="EPComma">
    <w:name w:val="EPComma"/>
    <w:basedOn w:val="Normal"/>
    <w:rsid w:val="000811C0"/>
    <w:pPr>
      <w:spacing w:before="480" w:after="240"/>
    </w:pPr>
  </w:style>
  <w:style w:type="paragraph" w:styleId="Header">
    <w:name w:val="header"/>
    <w:basedOn w:val="Normal"/>
    <w:link w:val="HeaderChar"/>
    <w:rsid w:val="009A1B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1B2A"/>
    <w:rPr>
      <w:sz w:val="24"/>
      <w:lang w:val="pl-PL"/>
    </w:rPr>
  </w:style>
  <w:style w:type="paragraph" w:styleId="Footer">
    <w:name w:val="footer"/>
    <w:basedOn w:val="Normal"/>
    <w:link w:val="FooterChar"/>
    <w:rsid w:val="009A1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1B2A"/>
    <w:rPr>
      <w:sz w:val="24"/>
      <w:lang w:val="pl-PL"/>
    </w:rPr>
  </w:style>
  <w:style w:type="paragraph" w:customStyle="1" w:styleId="FooterText">
    <w:name w:val="Footer Text"/>
    <w:basedOn w:val="Normal"/>
    <w:unhideWhenUsed/>
    <w:rsid w:val="009A1B2A"/>
    <w:pPr>
      <w:widowControl/>
    </w:pPr>
    <w:rPr>
      <w:rFonts w:eastAsia="Calibri"/>
      <w:szCs w:val="22"/>
      <w:lang w:eastAsia="en-US"/>
    </w:rPr>
  </w:style>
  <w:style w:type="paragraph" w:customStyle="1" w:styleId="FooterCouncil">
    <w:name w:val="Footer Council"/>
    <w:basedOn w:val="Normal"/>
    <w:rsid w:val="009A1B2A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">
    <w:name w:val="Header Council"/>
    <w:basedOn w:val="Normal"/>
    <w:rsid w:val="009A1B2A"/>
    <w:pPr>
      <w:widowControl/>
    </w:pPr>
    <w:rPr>
      <w:rFonts w:eastAsia="Calibri"/>
      <w:sz w:val="2"/>
      <w:szCs w:val="22"/>
      <w:lang w:eastAsia="en-US"/>
    </w:rPr>
  </w:style>
  <w:style w:type="paragraph" w:customStyle="1" w:styleId="Normal12Hanging">
    <w:name w:val="Normal12Hanging"/>
    <w:basedOn w:val="Normal"/>
    <w:link w:val="Normal12HangingChar"/>
    <w:rsid w:val="00145F1A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145F1A"/>
    <w:rPr>
      <w:snapToGrid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2025-10-31T10:26:00Z</dcterms:created>
  <dcterms:modified xsi:type="dcterms:W3CDTF">2025-10-31T10:26:00Z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