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085C" w14:paraId="3C192C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747F2F" w14:textId="77777777" w:rsidR="00751A4A" w:rsidRPr="00BE085C" w:rsidRDefault="007B489F" w:rsidP="0010095E">
            <w:pPr>
              <w:pStyle w:val="EPName"/>
            </w:pPr>
            <w:r w:rsidRPr="00BE085C">
              <w:t>Evropski parlament</w:t>
            </w:r>
          </w:p>
          <w:p w14:paraId="723FF9E6" w14:textId="77777777" w:rsidR="00751A4A" w:rsidRPr="00BE08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085C">
              <w:t>2024</w:t>
            </w:r>
            <w:r w:rsidR="00817416" w:rsidRPr="00BE085C">
              <w:t>-202</w:t>
            </w:r>
            <w:r w:rsidRPr="00BE085C">
              <w:t>9</w:t>
            </w:r>
          </w:p>
        </w:tc>
        <w:tc>
          <w:tcPr>
            <w:tcW w:w="2268" w:type="dxa"/>
            <w:shd w:val="clear" w:color="auto" w:fill="auto"/>
          </w:tcPr>
          <w:p w14:paraId="1B62E5DE" w14:textId="77777777" w:rsidR="00751A4A" w:rsidRPr="00BE085C" w:rsidRDefault="00187494" w:rsidP="0010095E">
            <w:pPr>
              <w:pStyle w:val="EPLogo"/>
            </w:pPr>
            <w:r w:rsidRPr="00BE085C">
              <w:rPr>
                <w:noProof/>
                <w:lang w:eastAsia="ja-JP"/>
              </w:rPr>
              <w:drawing>
                <wp:inline distT="0" distB="0" distL="0" distR="0" wp14:anchorId="040EC515" wp14:editId="45AB65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BE7D20" w14:textId="77777777" w:rsidR="00D058B8" w:rsidRPr="00BE085C" w:rsidRDefault="00D058B8" w:rsidP="004C5D52">
      <w:pPr>
        <w:pStyle w:val="LineTop"/>
      </w:pPr>
    </w:p>
    <w:p w14:paraId="22D302A1" w14:textId="77777777" w:rsidR="00680577" w:rsidRPr="00BE085C" w:rsidRDefault="007B489F" w:rsidP="00680577">
      <w:pPr>
        <w:pStyle w:val="EPBodyTA1"/>
      </w:pPr>
      <w:r w:rsidRPr="00BE085C">
        <w:t>SPREJETA BESEDILA</w:t>
      </w:r>
    </w:p>
    <w:p w14:paraId="14189157" w14:textId="77777777" w:rsidR="00D058B8" w:rsidRPr="00BE085C" w:rsidRDefault="00D058B8" w:rsidP="00D058B8">
      <w:pPr>
        <w:pStyle w:val="LineBottom"/>
      </w:pPr>
    </w:p>
    <w:p w14:paraId="0D8C6896" w14:textId="2652C3C7" w:rsidR="007B489F" w:rsidRPr="00BE085C" w:rsidRDefault="007B489F" w:rsidP="007B489F">
      <w:pPr>
        <w:pStyle w:val="ATHeading1"/>
      </w:pPr>
      <w:bookmarkStart w:id="0" w:name="TANumber"/>
      <w:r w:rsidRPr="00BE085C">
        <w:t>P10_TA(2025)0</w:t>
      </w:r>
      <w:r w:rsidR="002A2ECC" w:rsidRPr="00BE085C">
        <w:t>181</w:t>
      </w:r>
      <w:bookmarkEnd w:id="0"/>
    </w:p>
    <w:p w14:paraId="5E94FBE3" w14:textId="77777777" w:rsidR="007B489F" w:rsidRPr="00BE085C" w:rsidRDefault="007B489F" w:rsidP="007B489F">
      <w:pPr>
        <w:pStyle w:val="ATHeading2"/>
      </w:pPr>
      <w:bookmarkStart w:id="1" w:name="title"/>
      <w:r w:rsidRPr="00BE085C">
        <w:t>Podaljšanje časovnega okvira za vzpostavitev sistema Eurojusta za vodenje zadev</w:t>
      </w:r>
      <w:bookmarkEnd w:id="1"/>
    </w:p>
    <w:p w14:paraId="1490128D" w14:textId="77777777" w:rsidR="007B489F" w:rsidRPr="00BE085C" w:rsidRDefault="007B489F" w:rsidP="007B489F">
      <w:pPr>
        <w:rPr>
          <w:i/>
          <w:vanish/>
        </w:rPr>
      </w:pPr>
      <w:r w:rsidRPr="00BE085C">
        <w:rPr>
          <w:i/>
        </w:rPr>
        <w:fldChar w:fldCharType="begin"/>
      </w:r>
      <w:r w:rsidRPr="00BE085C">
        <w:rPr>
          <w:i/>
        </w:rPr>
        <w:instrText xml:space="preserve"> TC"(</w:instrText>
      </w:r>
      <w:bookmarkStart w:id="2" w:name="DocNumber"/>
      <w:r w:rsidRPr="00BE085C">
        <w:rPr>
          <w:i/>
        </w:rPr>
        <w:instrText>A10-0152/2025</w:instrText>
      </w:r>
      <w:bookmarkEnd w:id="2"/>
      <w:r w:rsidRPr="00BE085C">
        <w:rPr>
          <w:i/>
        </w:rPr>
        <w:instrText xml:space="preserve"> - Poročevalec: Javier Zarzalejos)"\l3 \n&gt; \* MERGEFORMAT </w:instrText>
      </w:r>
      <w:r w:rsidRPr="00BE085C">
        <w:rPr>
          <w:i/>
        </w:rPr>
        <w:fldChar w:fldCharType="end"/>
      </w:r>
    </w:p>
    <w:p w14:paraId="762471F4" w14:textId="77777777" w:rsidR="007B489F" w:rsidRPr="00BE085C" w:rsidRDefault="007B489F" w:rsidP="007B489F">
      <w:pPr>
        <w:rPr>
          <w:vanish/>
        </w:rPr>
      </w:pPr>
      <w:bookmarkStart w:id="3" w:name="Commission"/>
      <w:r w:rsidRPr="00BE085C">
        <w:rPr>
          <w:vanish/>
        </w:rPr>
        <w:t>Odbor za državljanske svoboščine, pravosodje in notranje zadeve</w:t>
      </w:r>
      <w:bookmarkEnd w:id="3"/>
    </w:p>
    <w:p w14:paraId="6F348976" w14:textId="77777777" w:rsidR="007B489F" w:rsidRPr="00BE085C" w:rsidRDefault="007B489F" w:rsidP="007B489F">
      <w:pPr>
        <w:rPr>
          <w:vanish/>
        </w:rPr>
      </w:pPr>
      <w:bookmarkStart w:id="4" w:name="PE"/>
      <w:r w:rsidRPr="00BE085C">
        <w:rPr>
          <w:vanish/>
        </w:rPr>
        <w:t>PE775.648</w:t>
      </w:r>
      <w:bookmarkEnd w:id="4"/>
    </w:p>
    <w:p w14:paraId="4D8A5C64" w14:textId="6FD7B8F5" w:rsidR="007B489F" w:rsidRPr="00BE085C" w:rsidRDefault="007B489F" w:rsidP="007B489F">
      <w:pPr>
        <w:pStyle w:val="ATHeading3"/>
      </w:pPr>
      <w:bookmarkStart w:id="5" w:name="Sujet"/>
      <w:r w:rsidRPr="00BE085C">
        <w:t xml:space="preserve">Zakonodajna resolucija Evropskega parlamenta z dne </w:t>
      </w:r>
      <w:r w:rsidR="008F12B7" w:rsidRPr="00BE085C">
        <w:t>10</w:t>
      </w:r>
      <w:r w:rsidRPr="00BE085C">
        <w:t xml:space="preserve">. septembra 2025 o predlogu uredbe Evropskega parlamenta in Sveta o spremembi </w:t>
      </w:r>
      <w:r w:rsidR="008F12B7" w:rsidRPr="00BE085C">
        <w:t>U</w:t>
      </w:r>
      <w:r w:rsidRPr="00BE085C">
        <w:t>redbe (EU) 2018/1727 glede podaljšanja časovnega okvira za vzpostavitev sistema Eurojusta za vodenje zadev</w:t>
      </w:r>
      <w:bookmarkEnd w:id="5"/>
      <w:r w:rsidRPr="00BE085C">
        <w:t xml:space="preserve"> </w:t>
      </w:r>
      <w:bookmarkStart w:id="6" w:name="References"/>
      <w:r w:rsidRPr="00BE085C">
        <w:t>(COM(2025)0143 – C10-0061/2025 – 2025/0074(COD))</w:t>
      </w:r>
      <w:bookmarkEnd w:id="6"/>
    </w:p>
    <w:p w14:paraId="50075127" w14:textId="77777777" w:rsidR="007B489F" w:rsidRPr="00BE085C" w:rsidRDefault="007B489F" w:rsidP="007B489F"/>
    <w:p w14:paraId="2DA215D5" w14:textId="77777777" w:rsidR="009340FE" w:rsidRPr="00BE085C" w:rsidRDefault="009340FE" w:rsidP="009340FE">
      <w:pPr>
        <w:pStyle w:val="NormalBold"/>
      </w:pPr>
      <w:bookmarkStart w:id="7" w:name="TextBodyBegin"/>
      <w:bookmarkEnd w:id="7"/>
      <w:r w:rsidRPr="00BE085C">
        <w:t>(Redni zakonodajni postopek: prva obravnava)</w:t>
      </w:r>
    </w:p>
    <w:p w14:paraId="3E2C623F" w14:textId="77777777" w:rsidR="009340FE" w:rsidRPr="00BE085C" w:rsidRDefault="009340FE" w:rsidP="009340FE">
      <w:pPr>
        <w:pStyle w:val="EPComma"/>
      </w:pPr>
      <w:r w:rsidRPr="00BE085C">
        <w:rPr>
          <w:i/>
        </w:rPr>
        <w:t>Evropski parlament</w:t>
      </w:r>
      <w:r w:rsidRPr="00BE085C">
        <w:t>,</w:t>
      </w:r>
    </w:p>
    <w:p w14:paraId="47C1EADF" w14:textId="77777777" w:rsidR="009340FE" w:rsidRPr="00BE085C" w:rsidRDefault="009340FE" w:rsidP="009340FE">
      <w:pPr>
        <w:pStyle w:val="NormalHanging12a"/>
      </w:pPr>
      <w:r w:rsidRPr="00BE085C">
        <w:t>–</w:t>
      </w:r>
      <w:r w:rsidRPr="00BE085C">
        <w:tab/>
        <w:t>ob upoštevanju predloga Komisije Evropskemu parlamentu in Svetu (COM(2025)0143),</w:t>
      </w:r>
    </w:p>
    <w:p w14:paraId="755C3AA2" w14:textId="77777777" w:rsidR="009340FE" w:rsidRPr="00BE085C" w:rsidRDefault="009340FE" w:rsidP="009340FE">
      <w:pPr>
        <w:pStyle w:val="NormalHanging12a"/>
      </w:pPr>
      <w:r w:rsidRPr="00BE085C">
        <w:t>–</w:t>
      </w:r>
      <w:r w:rsidRPr="00BE085C">
        <w:tab/>
        <w:t>ob upoštevanju člena 294(2) in člena 85 Pogodbe o delovanju Evropske unije, na podlagi katerih je Komisija podala predlog Parlamentu (C10</w:t>
      </w:r>
      <w:r w:rsidRPr="00BE085C">
        <w:noBreakHyphen/>
        <w:t>0061/2025),</w:t>
      </w:r>
    </w:p>
    <w:p w14:paraId="6E425FF2" w14:textId="77777777" w:rsidR="009340FE" w:rsidRPr="00BE085C" w:rsidRDefault="009340FE" w:rsidP="009340FE">
      <w:pPr>
        <w:pStyle w:val="NormalHanging12a"/>
      </w:pPr>
      <w:r w:rsidRPr="00BE085C">
        <w:t>–</w:t>
      </w:r>
      <w:r w:rsidRPr="00BE085C">
        <w:tab/>
        <w:t>ob upoštevanju člena 294(3) Pogodbe o delovanju Evropske unije,</w:t>
      </w:r>
    </w:p>
    <w:p w14:paraId="1F05E867" w14:textId="2A209336" w:rsidR="008F12B7" w:rsidRPr="00BE085C" w:rsidRDefault="008F12B7" w:rsidP="009340FE">
      <w:pPr>
        <w:pStyle w:val="NormalHanging12a"/>
      </w:pPr>
      <w:r w:rsidRPr="00BE085C">
        <w:t>–</w:t>
      </w:r>
      <w:r w:rsidRPr="00BE085C">
        <w:tab/>
        <w:t>ob upoštevanju zaveze predstavnika Sveta v pismu z dne 23. julija 2025, da bo odobril stališče Evropskega parlamenta v skladu s členom 294(4) Pogodbe o delovanju Evropske unije,</w:t>
      </w:r>
    </w:p>
    <w:p w14:paraId="0367B3F0" w14:textId="77777777" w:rsidR="009340FE" w:rsidRPr="00BE085C" w:rsidRDefault="009340FE" w:rsidP="009340FE">
      <w:pPr>
        <w:pStyle w:val="NormalHanging12a"/>
      </w:pPr>
      <w:r w:rsidRPr="00BE085C">
        <w:t>–</w:t>
      </w:r>
      <w:r w:rsidRPr="00BE085C">
        <w:tab/>
        <w:t>ob upoštevanju člena 60 Poslovnika,</w:t>
      </w:r>
    </w:p>
    <w:p w14:paraId="3C6EBCC1" w14:textId="77777777" w:rsidR="009340FE" w:rsidRPr="00BE085C" w:rsidRDefault="009340FE" w:rsidP="009340FE">
      <w:pPr>
        <w:pStyle w:val="NormalHanging12a"/>
      </w:pPr>
      <w:r w:rsidRPr="00BE085C">
        <w:t>–</w:t>
      </w:r>
      <w:r w:rsidRPr="00BE085C">
        <w:tab/>
        <w:t>ob upoštevanju poročila Odbora za državljanske svoboščine, pravosodje in notranje zadeve (A10</w:t>
      </w:r>
      <w:r w:rsidRPr="00BE085C">
        <w:noBreakHyphen/>
        <w:t>0152/2025),</w:t>
      </w:r>
    </w:p>
    <w:p w14:paraId="7F4C0549" w14:textId="1AD25FFB" w:rsidR="009340FE" w:rsidRPr="00BE085C" w:rsidRDefault="009340FE" w:rsidP="009340FE">
      <w:pPr>
        <w:pStyle w:val="NormalHanging12a"/>
      </w:pPr>
      <w:r w:rsidRPr="00BE085C">
        <w:t>1.</w:t>
      </w:r>
      <w:r w:rsidRPr="00BE085C">
        <w:tab/>
      </w:r>
      <w:r w:rsidR="0078689D" w:rsidRPr="00BE085C">
        <w:t>sprejme stališče v prvi obravnavi, kakor je določeno v nadaljevanju;</w:t>
      </w:r>
    </w:p>
    <w:p w14:paraId="2273C52C" w14:textId="77777777" w:rsidR="009340FE" w:rsidRPr="00BE085C" w:rsidRDefault="009340FE" w:rsidP="009340FE">
      <w:pPr>
        <w:pStyle w:val="NormalHanging12a"/>
      </w:pPr>
      <w:r w:rsidRPr="00BE085C">
        <w:t>2.</w:t>
      </w:r>
      <w:r w:rsidRPr="00BE085C">
        <w:tab/>
        <w:t>poziva Komisijo, naj mu zadevo ponovno predloži, če svoj predlog nadomesti, ga bistveno spremeni ali ga namerava bistveno spremeniti;</w:t>
      </w:r>
    </w:p>
    <w:p w14:paraId="0486104C" w14:textId="35D05E3B" w:rsidR="0078689D" w:rsidRPr="00BE085C" w:rsidRDefault="009340FE" w:rsidP="002276CC">
      <w:pPr>
        <w:ind w:left="567" w:hanging="567"/>
        <w:sectPr w:rsidR="0078689D" w:rsidRPr="00BE085C" w:rsidSect="00A32D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E085C">
        <w:t>3.</w:t>
      </w:r>
      <w:r w:rsidRPr="00BE085C">
        <w:tab/>
        <w:t>naroči svoji predsednici, naj stališče Parlamenta posreduje Svetu</w:t>
      </w:r>
      <w:r w:rsidR="0078689D" w:rsidRPr="00BE085C">
        <w:t>,</w:t>
      </w:r>
      <w:r w:rsidRPr="00BE085C">
        <w:t xml:space="preserve"> Komisiji </w:t>
      </w:r>
      <w:r w:rsidR="0078689D" w:rsidRPr="00BE085C">
        <w:t>in</w:t>
      </w:r>
      <w:r w:rsidRPr="00BE085C">
        <w:t xml:space="preserve"> nacionalnim parlamentom.</w:t>
      </w:r>
    </w:p>
    <w:p w14:paraId="24D0AA3C" w14:textId="3FAD0F76" w:rsidR="0078689D" w:rsidRPr="00BE085C" w:rsidRDefault="0078689D" w:rsidP="0078689D">
      <w:pPr>
        <w:widowControl/>
        <w:spacing w:after="240"/>
        <w:rPr>
          <w:b/>
        </w:rPr>
      </w:pPr>
      <w:r w:rsidRPr="00BE085C">
        <w:rPr>
          <w:b/>
        </w:rPr>
        <w:lastRenderedPageBreak/>
        <w:t>P10_TC1-COD(2025)0074</w:t>
      </w:r>
    </w:p>
    <w:p w14:paraId="0E47B941" w14:textId="1B67FF87" w:rsidR="00E45976" w:rsidRDefault="0078689D" w:rsidP="00E45976">
      <w:pPr>
        <w:widowControl/>
        <w:spacing w:after="240"/>
        <w:rPr>
          <w:rFonts w:eastAsia="Calibri"/>
          <w:b/>
          <w:noProof/>
          <w:szCs w:val="22"/>
          <w:lang w:eastAsia="en-US"/>
        </w:rPr>
      </w:pPr>
      <w:r w:rsidRPr="00BE085C">
        <w:rPr>
          <w:b/>
        </w:rPr>
        <w:t xml:space="preserve">Stališče Evropskega parlamenta, sprejeto v prvi obravnavi dne 10. septembra 2025 z namenom sprejetja Uredbe (EU) 2025/... Evropskega parlamenta in Sveta </w:t>
      </w:r>
      <w:r w:rsidRPr="00BE085C">
        <w:rPr>
          <w:rFonts w:eastAsia="Calibri"/>
          <w:b/>
          <w:noProof/>
          <w:szCs w:val="22"/>
          <w:lang w:eastAsia="en-US"/>
        </w:rPr>
        <w:t xml:space="preserve">o </w:t>
      </w:r>
      <w:r w:rsidR="00E45976" w:rsidRPr="00BE085C">
        <w:rPr>
          <w:rFonts w:eastAsia="Calibri"/>
          <w:b/>
          <w:noProof/>
          <w:szCs w:val="22"/>
          <w:lang w:eastAsia="en-US"/>
        </w:rPr>
        <w:t>spremembi Uredbe (EU) 2018/1727 glede podaljšanja časovnega okvira za vzpostavitev sistema Eurojusta za vodenje zadev</w:t>
      </w:r>
    </w:p>
    <w:p w14:paraId="682C7C07" w14:textId="6490D741" w:rsidR="00D659D3" w:rsidRPr="00BE085C" w:rsidRDefault="00D659D3" w:rsidP="00D659D3">
      <w:pPr>
        <w:widowControl/>
        <w:spacing w:before="120" w:after="120"/>
        <w:rPr>
          <w:rFonts w:eastAsia="Calibri"/>
          <w:b/>
          <w:noProof/>
          <w:szCs w:val="22"/>
          <w:lang w:eastAsia="en-US"/>
        </w:rPr>
      </w:pPr>
      <w:r w:rsidRPr="00AC061B">
        <w:rPr>
          <w:bCs/>
          <w:i/>
        </w:rPr>
        <w:t>(Ker je bil dosežen sporazum med Parlamentom in Svetom, je stališče Parlamenta enako končnemu zakonodajnemu aktu, Uredbi (EU) 2025/</w:t>
      </w:r>
      <w:r>
        <w:rPr>
          <w:bCs/>
          <w:i/>
        </w:rPr>
        <w:t>2082</w:t>
      </w:r>
      <w:r w:rsidRPr="00AC061B">
        <w:rPr>
          <w:bCs/>
          <w:i/>
        </w:rPr>
        <w:t>.)</w:t>
      </w:r>
    </w:p>
    <w:sectPr w:rsidR="00D659D3" w:rsidRPr="00BE085C" w:rsidSect="00A32D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D6201" w14:textId="77777777" w:rsidR="007B489F" w:rsidRPr="00A32D73" w:rsidRDefault="007B489F">
      <w:r w:rsidRPr="00A32D73">
        <w:separator/>
      </w:r>
    </w:p>
  </w:endnote>
  <w:endnote w:type="continuationSeparator" w:id="0">
    <w:p w14:paraId="2FF9D0C7" w14:textId="77777777" w:rsidR="007B489F" w:rsidRPr="00A32D73" w:rsidRDefault="007B489F">
      <w:r w:rsidRPr="00A32D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2070C" w14:textId="77777777" w:rsidR="00064002" w:rsidRPr="00A32D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C8CA8" w14:textId="77777777" w:rsidR="00064002" w:rsidRPr="00A32D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6CE6E" w14:textId="77777777" w:rsidR="00064002" w:rsidRPr="00A32D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B5212" w14:textId="77777777" w:rsidR="007B489F" w:rsidRPr="00A32D73" w:rsidRDefault="007B489F">
      <w:r w:rsidRPr="00A32D73">
        <w:separator/>
      </w:r>
    </w:p>
  </w:footnote>
  <w:footnote w:type="continuationSeparator" w:id="0">
    <w:p w14:paraId="29A0F420" w14:textId="77777777" w:rsidR="007B489F" w:rsidRPr="00A32D73" w:rsidRDefault="007B489F">
      <w:r w:rsidRPr="00A32D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D76CD" w14:textId="77777777" w:rsidR="00064002" w:rsidRPr="00A32D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C170C" w14:textId="77777777" w:rsidR="00064002" w:rsidRPr="00A32D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7529C" w14:textId="77777777" w:rsidR="00064002" w:rsidRPr="00A32D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5182164">
    <w:abstractNumId w:val="9"/>
  </w:num>
  <w:num w:numId="2" w16cid:durableId="1345286163">
    <w:abstractNumId w:val="9"/>
  </w:num>
  <w:num w:numId="3" w16cid:durableId="6371829">
    <w:abstractNumId w:val="7"/>
  </w:num>
  <w:num w:numId="4" w16cid:durableId="187304418">
    <w:abstractNumId w:val="7"/>
  </w:num>
  <w:num w:numId="5" w16cid:durableId="2098166544">
    <w:abstractNumId w:val="6"/>
  </w:num>
  <w:num w:numId="6" w16cid:durableId="1415055009">
    <w:abstractNumId w:val="6"/>
  </w:num>
  <w:num w:numId="7" w16cid:durableId="235668798">
    <w:abstractNumId w:val="5"/>
  </w:num>
  <w:num w:numId="8" w16cid:durableId="709959628">
    <w:abstractNumId w:val="5"/>
  </w:num>
  <w:num w:numId="9" w16cid:durableId="727266021">
    <w:abstractNumId w:val="4"/>
  </w:num>
  <w:num w:numId="10" w16cid:durableId="1231575641">
    <w:abstractNumId w:val="4"/>
  </w:num>
  <w:num w:numId="11" w16cid:durableId="1862091391">
    <w:abstractNumId w:val="8"/>
  </w:num>
  <w:num w:numId="12" w16cid:durableId="1088044697">
    <w:abstractNumId w:val="8"/>
  </w:num>
  <w:num w:numId="13" w16cid:durableId="899290473">
    <w:abstractNumId w:val="3"/>
  </w:num>
  <w:num w:numId="14" w16cid:durableId="327447485">
    <w:abstractNumId w:val="3"/>
  </w:num>
  <w:num w:numId="15" w16cid:durableId="130172688">
    <w:abstractNumId w:val="2"/>
  </w:num>
  <w:num w:numId="16" w16cid:durableId="1680231395">
    <w:abstractNumId w:val="2"/>
  </w:num>
  <w:num w:numId="17" w16cid:durableId="2106878928">
    <w:abstractNumId w:val="1"/>
  </w:num>
  <w:num w:numId="18" w16cid:durableId="600919996">
    <w:abstractNumId w:val="1"/>
  </w:num>
  <w:num w:numId="19" w16cid:durableId="600917706">
    <w:abstractNumId w:val="0"/>
  </w:num>
  <w:num w:numId="20" w16cid:durableId="92676137">
    <w:abstractNumId w:val="0"/>
  </w:num>
  <w:num w:numId="21" w16cid:durableId="1140072712">
    <w:abstractNumId w:val="9"/>
  </w:num>
  <w:num w:numId="22" w16cid:durableId="1707102482">
    <w:abstractNumId w:val="7"/>
  </w:num>
  <w:num w:numId="23" w16cid:durableId="432164651">
    <w:abstractNumId w:val="6"/>
  </w:num>
  <w:num w:numId="24" w16cid:durableId="358509792">
    <w:abstractNumId w:val="5"/>
  </w:num>
  <w:num w:numId="25" w16cid:durableId="338776487">
    <w:abstractNumId w:val="4"/>
  </w:num>
  <w:num w:numId="26" w16cid:durableId="797993463">
    <w:abstractNumId w:val="8"/>
  </w:num>
  <w:num w:numId="27" w16cid:durableId="973173592">
    <w:abstractNumId w:val="3"/>
  </w:num>
  <w:num w:numId="28" w16cid:durableId="793253076">
    <w:abstractNumId w:val="2"/>
  </w:num>
  <w:num w:numId="29" w16cid:durableId="1555966977">
    <w:abstractNumId w:val="1"/>
  </w:num>
  <w:num w:numId="30" w16cid:durableId="2080126996">
    <w:abstractNumId w:val="0"/>
  </w:num>
  <w:num w:numId="31" w16cid:durableId="434907978">
    <w:abstractNumId w:val="9"/>
  </w:num>
  <w:num w:numId="32" w16cid:durableId="375199811">
    <w:abstractNumId w:val="7"/>
  </w:num>
  <w:num w:numId="33" w16cid:durableId="882137477">
    <w:abstractNumId w:val="6"/>
  </w:num>
  <w:num w:numId="34" w16cid:durableId="589654656">
    <w:abstractNumId w:val="5"/>
  </w:num>
  <w:num w:numId="35" w16cid:durableId="1908300970">
    <w:abstractNumId w:val="4"/>
  </w:num>
  <w:num w:numId="36" w16cid:durableId="101076458">
    <w:abstractNumId w:val="8"/>
  </w:num>
  <w:num w:numId="37" w16cid:durableId="2107068371">
    <w:abstractNumId w:val="3"/>
  </w:num>
  <w:num w:numId="38" w16cid:durableId="131792945">
    <w:abstractNumId w:val="2"/>
  </w:num>
  <w:num w:numId="39" w16cid:durableId="34353658">
    <w:abstractNumId w:val="1"/>
  </w:num>
  <w:num w:numId="40" w16cid:durableId="2107000298">
    <w:abstractNumId w:val="0"/>
  </w:num>
  <w:num w:numId="41" w16cid:durableId="737050130">
    <w:abstractNumId w:val="10"/>
  </w:num>
  <w:num w:numId="42" w16cid:durableId="1576620438">
    <w:abstractNumId w:val="10"/>
  </w:num>
  <w:num w:numId="43" w16cid:durableId="1553731413">
    <w:abstractNumId w:val="10"/>
  </w:num>
  <w:num w:numId="44" w16cid:durableId="4007586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SL"/>
    <w:docVar w:name="dvnumam" w:val="0"/>
    <w:docVar w:name="dvpe" w:val="775.648"/>
    <w:docVar w:name="dvrapporteur" w:val="Poročevalec: "/>
    <w:docVar w:name="dvstar" w:val="***I"/>
    <w:docVar w:name="dvtitre" w:val="Zakonodajna resolucija Evropskega parlamenta z dne xx. septembra 2025 o predlogu uredbe Evropskega parlamenta in Sveta o spremembi uredbe (EU) 2018/1727 glede podaljšanja časovnega okvira za vzpostavitev sistema Eurojusta za vodenje zadev(COM(2025)0143 – C10-0061/2025 – 2025/0074(COD))"/>
  </w:docVars>
  <w:rsids>
    <w:rsidRoot w:val="007B489F"/>
    <w:rsid w:val="00002272"/>
    <w:rsid w:val="00064002"/>
    <w:rsid w:val="000677B9"/>
    <w:rsid w:val="000831BA"/>
    <w:rsid w:val="00096684"/>
    <w:rsid w:val="000A42CC"/>
    <w:rsid w:val="000E7DD9"/>
    <w:rsid w:val="0010095E"/>
    <w:rsid w:val="00125B37"/>
    <w:rsid w:val="00187494"/>
    <w:rsid w:val="001F32AE"/>
    <w:rsid w:val="002276CC"/>
    <w:rsid w:val="002767FF"/>
    <w:rsid w:val="002A2EC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32D8"/>
    <w:rsid w:val="00731ADD"/>
    <w:rsid w:val="00734777"/>
    <w:rsid w:val="00747932"/>
    <w:rsid w:val="00751A4A"/>
    <w:rsid w:val="00756632"/>
    <w:rsid w:val="00762C74"/>
    <w:rsid w:val="0078689D"/>
    <w:rsid w:val="00786EC0"/>
    <w:rsid w:val="007B489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12B7"/>
    <w:rsid w:val="009265CB"/>
    <w:rsid w:val="00930C23"/>
    <w:rsid w:val="0093193B"/>
    <w:rsid w:val="009340FE"/>
    <w:rsid w:val="009509D8"/>
    <w:rsid w:val="00950B64"/>
    <w:rsid w:val="00981893"/>
    <w:rsid w:val="00A10608"/>
    <w:rsid w:val="00A1687D"/>
    <w:rsid w:val="00A32D73"/>
    <w:rsid w:val="00A43E52"/>
    <w:rsid w:val="00A4678D"/>
    <w:rsid w:val="00A778C7"/>
    <w:rsid w:val="00AB441E"/>
    <w:rsid w:val="00AB6293"/>
    <w:rsid w:val="00AE0928"/>
    <w:rsid w:val="00AF3B82"/>
    <w:rsid w:val="00AF65E5"/>
    <w:rsid w:val="00B12E95"/>
    <w:rsid w:val="00B22876"/>
    <w:rsid w:val="00B558F0"/>
    <w:rsid w:val="00BD48FE"/>
    <w:rsid w:val="00BD7BD8"/>
    <w:rsid w:val="00BE085C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9D3"/>
    <w:rsid w:val="00D834A0"/>
    <w:rsid w:val="00D872DF"/>
    <w:rsid w:val="00D91E21"/>
    <w:rsid w:val="00DA7FCD"/>
    <w:rsid w:val="00DB5A45"/>
    <w:rsid w:val="00E365E1"/>
    <w:rsid w:val="00E44765"/>
    <w:rsid w:val="00E4597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E06B2"/>
  <w15:chartTrackingRefBased/>
  <w15:docId w15:val="{1763D492-2203-4F22-AA00-FCBA3D6C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340FE"/>
    <w:pPr>
      <w:spacing w:before="480" w:after="240"/>
    </w:pPr>
  </w:style>
  <w:style w:type="paragraph" w:customStyle="1" w:styleId="NormalBold">
    <w:name w:val="NormalBold"/>
    <w:basedOn w:val="Normal"/>
    <w:rsid w:val="009340FE"/>
    <w:rPr>
      <w:b/>
    </w:rPr>
  </w:style>
  <w:style w:type="paragraph" w:customStyle="1" w:styleId="NormalHanging12a">
    <w:name w:val="NormalHanging12a"/>
    <w:basedOn w:val="Normal"/>
    <w:rsid w:val="009340F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8689D"/>
    <w:rPr>
      <w:sz w:val="24"/>
      <w:lang w:val="sl-SI"/>
    </w:rPr>
  </w:style>
  <w:style w:type="character" w:styleId="Hyperlink">
    <w:name w:val="Hyperlink"/>
    <w:uiPriority w:val="99"/>
    <w:rsid w:val="00E45976"/>
    <w:rPr>
      <w:color w:val="0000FF"/>
      <w:u w:val="single"/>
    </w:rPr>
  </w:style>
  <w:style w:type="character" w:styleId="CommentReference">
    <w:name w:val="annotation reference"/>
    <w:basedOn w:val="DefaultParagraphFont"/>
    <w:rsid w:val="008F12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F12B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F12B7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F12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F12B7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8F1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5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2025-10-21T09:13:00Z</dcterms:created>
  <dcterms:modified xsi:type="dcterms:W3CDTF">2025-10-21T09:13:00Z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