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D2031A" w14:paraId="5929AAB6" w14:textId="77777777" w:rsidTr="0010095E">
        <w:trPr>
          <w:trHeight w:hRule="exact" w:val="1418"/>
        </w:trPr>
        <w:tc>
          <w:tcPr>
            <w:tcW w:w="6804" w:type="dxa"/>
            <w:shd w:val="clear" w:color="auto" w:fill="auto"/>
            <w:vAlign w:val="center"/>
          </w:tcPr>
          <w:p w14:paraId="6450FB81" w14:textId="77777777" w:rsidR="00751A4A" w:rsidRPr="00D2031A" w:rsidRDefault="009E3480" w:rsidP="0010095E">
            <w:pPr>
              <w:pStyle w:val="EPName"/>
            </w:pPr>
            <w:bookmarkStart w:id="0" w:name="_GoBack"/>
            <w:bookmarkEnd w:id="0"/>
            <w:r w:rsidRPr="00D2031A">
              <w:t>Ευρωπαϊκό Κοινοβούλιο</w:t>
            </w:r>
          </w:p>
          <w:p w14:paraId="11CD6E7D" w14:textId="77777777" w:rsidR="00751A4A" w:rsidRPr="00D2031A" w:rsidRDefault="005F1B17" w:rsidP="005F1B17">
            <w:pPr>
              <w:pStyle w:val="EPTerm"/>
              <w:rPr>
                <w:rStyle w:val="HideTWBExt"/>
                <w:noProof w:val="0"/>
                <w:vanish w:val="0"/>
                <w:color w:val="auto"/>
              </w:rPr>
            </w:pPr>
            <w:r w:rsidRPr="00D2031A">
              <w:t>2024</w:t>
            </w:r>
            <w:r w:rsidR="00817416" w:rsidRPr="00D2031A">
              <w:t>-202</w:t>
            </w:r>
            <w:r w:rsidRPr="00D2031A">
              <w:t>9</w:t>
            </w:r>
          </w:p>
        </w:tc>
        <w:tc>
          <w:tcPr>
            <w:tcW w:w="2268" w:type="dxa"/>
            <w:shd w:val="clear" w:color="auto" w:fill="auto"/>
          </w:tcPr>
          <w:p w14:paraId="11147719" w14:textId="77777777" w:rsidR="00751A4A" w:rsidRPr="00D2031A" w:rsidRDefault="00187494" w:rsidP="0010095E">
            <w:pPr>
              <w:pStyle w:val="EPLogo"/>
            </w:pPr>
            <w:r w:rsidRPr="00D2031A">
              <w:rPr>
                <w:noProof/>
                <w:lang w:val="en-GB"/>
              </w:rPr>
              <w:drawing>
                <wp:inline distT="0" distB="0" distL="0" distR="0" wp14:anchorId="7D2619ED" wp14:editId="39BD9448">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2E86DD89" w14:textId="77777777" w:rsidR="00D058B8" w:rsidRPr="00D2031A" w:rsidRDefault="00D058B8" w:rsidP="004C5D52">
      <w:pPr>
        <w:pStyle w:val="LineTop"/>
      </w:pPr>
    </w:p>
    <w:p w14:paraId="06EDAD4F" w14:textId="77777777" w:rsidR="00680577" w:rsidRPr="00D2031A" w:rsidRDefault="009E3480" w:rsidP="00680577">
      <w:pPr>
        <w:pStyle w:val="EPBodyTA1"/>
      </w:pPr>
      <w:r w:rsidRPr="00D2031A">
        <w:t>ΚΕΙΜΕΝΑ ΠΟΥ ΕΓΚΡΙΘΗΚΑΝ</w:t>
      </w:r>
    </w:p>
    <w:p w14:paraId="671E6FB0" w14:textId="77777777" w:rsidR="00D058B8" w:rsidRPr="00D2031A" w:rsidRDefault="00D058B8" w:rsidP="00D058B8">
      <w:pPr>
        <w:pStyle w:val="LineBottom"/>
      </w:pPr>
    </w:p>
    <w:p w14:paraId="15AF916D" w14:textId="39AE3A5C" w:rsidR="009E3480" w:rsidRPr="00D2031A" w:rsidRDefault="009E3480" w:rsidP="009E3480">
      <w:pPr>
        <w:pStyle w:val="ATHeading1"/>
      </w:pPr>
      <w:bookmarkStart w:id="1" w:name="TANumber"/>
      <w:r w:rsidRPr="00D2031A">
        <w:t>P10_TA(2025)0</w:t>
      </w:r>
      <w:r w:rsidR="007A1099" w:rsidRPr="00D2031A">
        <w:t>185</w:t>
      </w:r>
      <w:bookmarkEnd w:id="1"/>
    </w:p>
    <w:p w14:paraId="0B6AB7F3" w14:textId="7C7386E9" w:rsidR="009E3480" w:rsidRPr="00D2031A" w:rsidRDefault="00464571" w:rsidP="00464571">
      <w:pPr>
        <w:pStyle w:val="ATHeading2"/>
      </w:pPr>
      <w:bookmarkStart w:id="2" w:name="title"/>
      <w:r w:rsidRPr="00D2031A">
        <w:t>Επενδύσεις και μεταρρυθμίσεις για την ευρωπαϊκή ανταγωνιστικότητα και δημιουργία Ένωσης Κεφαλαιαγορών</w:t>
      </w:r>
      <w:bookmarkEnd w:id="2"/>
    </w:p>
    <w:p w14:paraId="181FA558" w14:textId="77777777" w:rsidR="009E3480" w:rsidRPr="00D2031A" w:rsidRDefault="009E3480" w:rsidP="009E3480">
      <w:pPr>
        <w:rPr>
          <w:i/>
          <w:vanish/>
        </w:rPr>
      </w:pPr>
      <w:r w:rsidRPr="00D2031A">
        <w:rPr>
          <w:i/>
        </w:rPr>
        <w:fldChar w:fldCharType="begin"/>
      </w:r>
      <w:r w:rsidRPr="00D2031A">
        <w:rPr>
          <w:i/>
        </w:rPr>
        <w:instrText xml:space="preserve"> TC"(</w:instrText>
      </w:r>
      <w:bookmarkStart w:id="3" w:name="DocNumber"/>
      <w:r w:rsidRPr="00D2031A">
        <w:rPr>
          <w:i/>
        </w:rPr>
        <w:instrText>A10-0124/2025</w:instrText>
      </w:r>
      <w:bookmarkEnd w:id="3"/>
      <w:r w:rsidRPr="00D2031A">
        <w:rPr>
          <w:i/>
        </w:rPr>
        <w:instrText xml:space="preserve"> - Εισηγήτρια: Aurore Lalucq)"\l3 \n&gt; \* MERGEFORMAT </w:instrText>
      </w:r>
      <w:r w:rsidRPr="00D2031A">
        <w:rPr>
          <w:i/>
        </w:rPr>
        <w:fldChar w:fldCharType="end"/>
      </w:r>
    </w:p>
    <w:p w14:paraId="1116E010" w14:textId="77777777" w:rsidR="009E3480" w:rsidRPr="00D2031A" w:rsidRDefault="009E3480" w:rsidP="009E3480">
      <w:pPr>
        <w:rPr>
          <w:vanish/>
        </w:rPr>
      </w:pPr>
      <w:bookmarkStart w:id="4" w:name="Commission"/>
      <w:r w:rsidRPr="00D2031A">
        <w:rPr>
          <w:vanish/>
        </w:rPr>
        <w:t>Επιτροπή Οικονομικής και Νομισματικής Πολιτικής</w:t>
      </w:r>
      <w:bookmarkEnd w:id="4"/>
    </w:p>
    <w:p w14:paraId="359E770B" w14:textId="77777777" w:rsidR="009E3480" w:rsidRPr="00D2031A" w:rsidRDefault="009E3480" w:rsidP="009E3480">
      <w:pPr>
        <w:rPr>
          <w:vanish/>
        </w:rPr>
      </w:pPr>
      <w:bookmarkStart w:id="5" w:name="PE"/>
      <w:r w:rsidRPr="00D2031A">
        <w:rPr>
          <w:vanish/>
        </w:rPr>
        <w:t>PE770.112</w:t>
      </w:r>
      <w:bookmarkEnd w:id="5"/>
    </w:p>
    <w:p w14:paraId="1B49A170" w14:textId="5874182B" w:rsidR="009E3480" w:rsidRPr="00D2031A" w:rsidRDefault="009E3480" w:rsidP="009E3480">
      <w:pPr>
        <w:pStyle w:val="ATHeading3"/>
      </w:pPr>
      <w:bookmarkStart w:id="6" w:name="Sujet"/>
      <w:r w:rsidRPr="00D2031A">
        <w:t xml:space="preserve">Ψήφισμα του Ευρωπαϊκού Κοινοβουλίου </w:t>
      </w:r>
      <w:r w:rsidR="00CB275B" w:rsidRPr="00D2031A">
        <w:t xml:space="preserve">της </w:t>
      </w:r>
      <w:r w:rsidR="008C111A" w:rsidRPr="00D2031A">
        <w:t>10ης</w:t>
      </w:r>
      <w:r w:rsidR="00CB275B" w:rsidRPr="00D2031A">
        <w:t xml:space="preserve"> Σεπτεμβρίου 2025 </w:t>
      </w:r>
      <w:r w:rsidRPr="00D2031A">
        <w:t xml:space="preserve">σχετικά με τη διευκόλυνση της χρηματοδότησης επενδύσεων και μεταρρυθμίσεων για την τόνωση της ευρωπαϊκής ανταγωνιστικότητας και τη δημιουργία Ένωσης Κεφαλαιαγορών (έκθεση </w:t>
      </w:r>
      <w:proofErr w:type="spellStart"/>
      <w:r w:rsidRPr="00D2031A">
        <w:t>Draghi</w:t>
      </w:r>
      <w:proofErr w:type="spellEnd"/>
      <w:r w:rsidRPr="00D2031A">
        <w:t>)</w:t>
      </w:r>
      <w:bookmarkEnd w:id="6"/>
      <w:r w:rsidRPr="00D2031A">
        <w:t xml:space="preserve"> </w:t>
      </w:r>
      <w:bookmarkStart w:id="7" w:name="References"/>
      <w:r w:rsidRPr="00D2031A">
        <w:t>(2024/2116(INI))</w:t>
      </w:r>
      <w:bookmarkEnd w:id="7"/>
    </w:p>
    <w:p w14:paraId="2A9A5702" w14:textId="77777777" w:rsidR="0090410D" w:rsidRPr="00D2031A" w:rsidRDefault="0090410D" w:rsidP="0090410D">
      <w:pPr>
        <w:pStyle w:val="EPComma"/>
      </w:pPr>
      <w:r w:rsidRPr="00D2031A">
        <w:rPr>
          <w:rStyle w:val="Italic"/>
        </w:rPr>
        <w:t>Το Ευρωπαϊκό Κοινοβούλιο,</w:t>
      </w:r>
    </w:p>
    <w:p w14:paraId="7E08AFE1" w14:textId="77777777" w:rsidR="0090410D" w:rsidRPr="00D2031A" w:rsidRDefault="0090410D" w:rsidP="0090410D">
      <w:pPr>
        <w:pStyle w:val="NormalHanging12a"/>
      </w:pPr>
      <w:r w:rsidRPr="00D2031A">
        <w:t>–</w:t>
      </w:r>
      <w:r w:rsidRPr="00D2031A">
        <w:tab/>
        <w:t>έχοντας υπόψη τη δημοσίευση της Προέδρου της Επιτροπής, της 18ης Ιουλίου 2024, με τίτλο «Η επιλογή της Ευρώπης: πολιτικές κατευθύνσεις για την επόμενη Ευρωπαϊκή Επιτροπή 2024-2029»,</w:t>
      </w:r>
    </w:p>
    <w:p w14:paraId="2E5047DF" w14:textId="6E849AF5" w:rsidR="0090410D" w:rsidRPr="00D2031A" w:rsidRDefault="0090410D" w:rsidP="0090410D">
      <w:pPr>
        <w:pStyle w:val="NormalHanging12a"/>
      </w:pPr>
      <w:r w:rsidRPr="00D2031A">
        <w:t>–</w:t>
      </w:r>
      <w:r w:rsidRPr="00D2031A">
        <w:tab/>
        <w:t xml:space="preserve">έχοντας υπόψη την έκθεση του </w:t>
      </w:r>
      <w:proofErr w:type="spellStart"/>
      <w:r w:rsidRPr="00D2031A">
        <w:t>Mario</w:t>
      </w:r>
      <w:proofErr w:type="spellEnd"/>
      <w:r w:rsidRPr="00D2031A">
        <w:t xml:space="preserve"> </w:t>
      </w:r>
      <w:proofErr w:type="spellStart"/>
      <w:r w:rsidRPr="00D2031A">
        <w:t>Draghi</w:t>
      </w:r>
      <w:proofErr w:type="spellEnd"/>
      <w:r w:rsidRPr="00D2031A">
        <w:t xml:space="preserve">, της 9ης Σεπτεμβρίου 2024, με τίτλο </w:t>
      </w:r>
      <w:r w:rsidR="00D2031A" w:rsidRPr="00D2031A">
        <w:t>«</w:t>
      </w:r>
      <w:r w:rsidRPr="00D2031A">
        <w:t xml:space="preserve">The </w:t>
      </w:r>
      <w:proofErr w:type="spellStart"/>
      <w:r w:rsidRPr="00D2031A">
        <w:t>future</w:t>
      </w:r>
      <w:proofErr w:type="spellEnd"/>
      <w:r w:rsidRPr="00D2031A">
        <w:t xml:space="preserve"> of European </w:t>
      </w:r>
      <w:proofErr w:type="spellStart"/>
      <w:r w:rsidRPr="00D2031A">
        <w:t>competitiveness</w:t>
      </w:r>
      <w:proofErr w:type="spellEnd"/>
      <w:r w:rsidR="00D2031A" w:rsidRPr="00D2031A">
        <w:t>»</w:t>
      </w:r>
      <w:r w:rsidRPr="00D2031A">
        <w:t xml:space="preserve"> (Το μέλλον της ευρωπαϊκής ανταγωνιστικότητας) (έκθεση </w:t>
      </w:r>
      <w:proofErr w:type="spellStart"/>
      <w:r w:rsidRPr="00D2031A">
        <w:t>Draghi</w:t>
      </w:r>
      <w:proofErr w:type="spellEnd"/>
      <w:r w:rsidRPr="00D2031A">
        <w:t>),</w:t>
      </w:r>
    </w:p>
    <w:p w14:paraId="58E1F6AC" w14:textId="6E53F10D" w:rsidR="0090410D" w:rsidRPr="00D2031A" w:rsidRDefault="0090410D" w:rsidP="0090410D">
      <w:pPr>
        <w:pStyle w:val="NormalHanging12a"/>
      </w:pPr>
      <w:r w:rsidRPr="00D2031A">
        <w:t>–</w:t>
      </w:r>
      <w:r w:rsidRPr="00D2031A">
        <w:tab/>
        <w:t xml:space="preserve">έχοντας υπόψη την έκθεση του </w:t>
      </w:r>
      <w:proofErr w:type="spellStart"/>
      <w:r w:rsidRPr="00D2031A">
        <w:t>Enrico</w:t>
      </w:r>
      <w:proofErr w:type="spellEnd"/>
      <w:r w:rsidRPr="00D2031A">
        <w:t xml:space="preserve"> </w:t>
      </w:r>
      <w:proofErr w:type="spellStart"/>
      <w:r w:rsidRPr="00D2031A">
        <w:t>Letta</w:t>
      </w:r>
      <w:proofErr w:type="spellEnd"/>
      <w:r w:rsidRPr="00D2031A">
        <w:t xml:space="preserve">, της 17ης Απριλίου 2024, με τίτλο </w:t>
      </w:r>
      <w:r w:rsidR="00D2031A" w:rsidRPr="00D2031A">
        <w:t>«</w:t>
      </w:r>
      <w:proofErr w:type="spellStart"/>
      <w:r w:rsidRPr="00D2031A">
        <w:t>Much</w:t>
      </w:r>
      <w:proofErr w:type="spellEnd"/>
      <w:r w:rsidRPr="00D2031A">
        <w:t xml:space="preserve"> </w:t>
      </w:r>
      <w:proofErr w:type="spellStart"/>
      <w:r w:rsidRPr="00D2031A">
        <w:t>more</w:t>
      </w:r>
      <w:proofErr w:type="spellEnd"/>
      <w:r w:rsidRPr="00D2031A">
        <w:t xml:space="preserve"> </w:t>
      </w:r>
      <w:proofErr w:type="spellStart"/>
      <w:r w:rsidRPr="00D2031A">
        <w:t>than</w:t>
      </w:r>
      <w:proofErr w:type="spellEnd"/>
      <w:r w:rsidRPr="00D2031A">
        <w:t xml:space="preserve"> a </w:t>
      </w:r>
      <w:proofErr w:type="spellStart"/>
      <w:r w:rsidRPr="00D2031A">
        <w:t>market</w:t>
      </w:r>
      <w:proofErr w:type="spellEnd"/>
      <w:r w:rsidR="00D2031A" w:rsidRPr="00D2031A">
        <w:t>»</w:t>
      </w:r>
      <w:r w:rsidRPr="00D2031A">
        <w:t xml:space="preserve"> (Κάτι περισσότερο από μια απλή αγορά) (έκθεση </w:t>
      </w:r>
      <w:proofErr w:type="spellStart"/>
      <w:r w:rsidRPr="00D2031A">
        <w:t>Letta</w:t>
      </w:r>
      <w:proofErr w:type="spellEnd"/>
      <w:r w:rsidRPr="00D2031A">
        <w:t>),</w:t>
      </w:r>
    </w:p>
    <w:p w14:paraId="6FC11B51" w14:textId="0D994D48" w:rsidR="0090410D" w:rsidRPr="00D2031A" w:rsidRDefault="0090410D" w:rsidP="0090410D">
      <w:pPr>
        <w:pStyle w:val="NormalHanging12a"/>
      </w:pPr>
      <w:r w:rsidRPr="00D2031A">
        <w:t>–</w:t>
      </w:r>
      <w:r w:rsidRPr="00D2031A">
        <w:tab/>
        <w:t xml:space="preserve">έχοντας υπόψη την έκθεση του </w:t>
      </w:r>
      <w:proofErr w:type="spellStart"/>
      <w:r w:rsidRPr="00D2031A">
        <w:t>Christian</w:t>
      </w:r>
      <w:proofErr w:type="spellEnd"/>
      <w:r w:rsidRPr="00D2031A">
        <w:t xml:space="preserve"> </w:t>
      </w:r>
      <w:proofErr w:type="spellStart"/>
      <w:r w:rsidRPr="00D2031A">
        <w:t>Noyer</w:t>
      </w:r>
      <w:proofErr w:type="spellEnd"/>
      <w:r w:rsidRPr="00D2031A">
        <w:t xml:space="preserve">, της 25ης Απριλίου 2024, με τίτλο </w:t>
      </w:r>
      <w:r w:rsidR="00D2031A" w:rsidRPr="00D2031A">
        <w:t>«</w:t>
      </w:r>
      <w:proofErr w:type="spellStart"/>
      <w:r w:rsidRPr="00D2031A">
        <w:t>Developing</w:t>
      </w:r>
      <w:proofErr w:type="spellEnd"/>
      <w:r w:rsidRPr="00D2031A">
        <w:t xml:space="preserve"> European </w:t>
      </w:r>
      <w:proofErr w:type="spellStart"/>
      <w:r w:rsidRPr="00D2031A">
        <w:t>capital</w:t>
      </w:r>
      <w:proofErr w:type="spellEnd"/>
      <w:r w:rsidRPr="00D2031A">
        <w:t xml:space="preserve"> </w:t>
      </w:r>
      <w:proofErr w:type="spellStart"/>
      <w:r w:rsidRPr="00D2031A">
        <w:t>markets</w:t>
      </w:r>
      <w:proofErr w:type="spellEnd"/>
      <w:r w:rsidRPr="00D2031A">
        <w:t xml:space="preserve"> </w:t>
      </w:r>
      <w:proofErr w:type="spellStart"/>
      <w:r w:rsidRPr="00D2031A">
        <w:t>to</w:t>
      </w:r>
      <w:proofErr w:type="spellEnd"/>
      <w:r w:rsidRPr="00D2031A">
        <w:t xml:space="preserve"> </w:t>
      </w:r>
      <w:proofErr w:type="spellStart"/>
      <w:r w:rsidRPr="00D2031A">
        <w:t>finance</w:t>
      </w:r>
      <w:proofErr w:type="spellEnd"/>
      <w:r w:rsidRPr="00D2031A">
        <w:t xml:space="preserve"> the </w:t>
      </w:r>
      <w:proofErr w:type="spellStart"/>
      <w:r w:rsidRPr="00D2031A">
        <w:t>future</w:t>
      </w:r>
      <w:proofErr w:type="spellEnd"/>
      <w:r w:rsidR="00D2031A" w:rsidRPr="00D2031A">
        <w:t>»</w:t>
      </w:r>
      <w:r w:rsidRPr="00D2031A">
        <w:t xml:space="preserve"> (Ανάπτυξη των ευρωπαϊκών κεφαλαιαγορών για τη χρηματοδότηση του μέλλοντος) (έκθεση </w:t>
      </w:r>
      <w:proofErr w:type="spellStart"/>
      <w:r w:rsidRPr="00D2031A">
        <w:t>Noyer</w:t>
      </w:r>
      <w:proofErr w:type="spellEnd"/>
      <w:r w:rsidRPr="00D2031A">
        <w:t>),</w:t>
      </w:r>
    </w:p>
    <w:p w14:paraId="5E41F5C6" w14:textId="4D367C1A" w:rsidR="0090410D" w:rsidRPr="00D2031A" w:rsidRDefault="0090410D" w:rsidP="0090410D">
      <w:pPr>
        <w:pStyle w:val="NormalHanging12a"/>
        <w:rPr>
          <w:snapToGrid/>
        </w:rPr>
      </w:pPr>
      <w:r w:rsidRPr="00D2031A">
        <w:t>–</w:t>
      </w:r>
      <w:r w:rsidRPr="00D2031A">
        <w:tab/>
        <w:t>έχοντας υπόψη τις ανακοινώσεις της Επιτροπής, της 29ης Ιανουαρίου 2025, με τίτλο «Πυξίδα ανταγωνιστικότητας για την ΕΕ» (COM(2025)0030), και της 26ης</w:t>
      </w:r>
      <w:r w:rsidR="00D2031A" w:rsidRPr="00D2031A">
        <w:t> </w:t>
      </w:r>
      <w:r w:rsidRPr="00D2031A">
        <w:t xml:space="preserve">Φεβρουαρίου 2025 με τίτλο «Η συμφωνία για καθαρή βιομηχανία: Κοινός χάρτης πορείας για την ανταγωνιστικότητα και την απανθρακοποίηση» (COM(2025)0085), </w:t>
      </w:r>
    </w:p>
    <w:p w14:paraId="237E96CE" w14:textId="77777777" w:rsidR="0090410D" w:rsidRPr="00D2031A" w:rsidRDefault="0090410D" w:rsidP="0090410D">
      <w:pPr>
        <w:pStyle w:val="NormalHanging12a"/>
      </w:pPr>
      <w:r w:rsidRPr="00D2031A">
        <w:t>–</w:t>
      </w:r>
      <w:r w:rsidRPr="00D2031A">
        <w:tab/>
        <w:t xml:space="preserve">έχοντας υπόψη την επιστολή για την άμυνα που απηύθυνε η Πρόεδρος </w:t>
      </w:r>
      <w:proofErr w:type="spellStart"/>
      <w:r w:rsidRPr="00D2031A">
        <w:t>von</w:t>
      </w:r>
      <w:proofErr w:type="spellEnd"/>
      <w:r w:rsidRPr="00D2031A">
        <w:t xml:space="preserve"> </w:t>
      </w:r>
      <w:proofErr w:type="spellStart"/>
      <w:r w:rsidRPr="00D2031A">
        <w:t>der</w:t>
      </w:r>
      <w:proofErr w:type="spellEnd"/>
      <w:r w:rsidRPr="00D2031A">
        <w:t xml:space="preserve"> </w:t>
      </w:r>
      <w:proofErr w:type="spellStart"/>
      <w:r w:rsidRPr="00D2031A">
        <w:t>Leyen</w:t>
      </w:r>
      <w:proofErr w:type="spellEnd"/>
      <w:r w:rsidRPr="00D2031A">
        <w:t xml:space="preserve"> στο Ευρωπαϊκό Συμβούλιο ενόψει της συνόδου του στις 6 Μαρτίου 2025,</w:t>
      </w:r>
    </w:p>
    <w:p w14:paraId="4A6C2990" w14:textId="77777777" w:rsidR="0090410D" w:rsidRPr="00D2031A" w:rsidRDefault="0090410D" w:rsidP="0090410D">
      <w:pPr>
        <w:pStyle w:val="NormalHanging12a"/>
      </w:pPr>
      <w:r w:rsidRPr="00D2031A">
        <w:t>–</w:t>
      </w:r>
      <w:r w:rsidRPr="00D2031A">
        <w:tab/>
        <w:t>έχοντας υπόψη τα συμπεράσματα του Ευρωπαϊκού Συμβουλίου, της 6ης Μαρτίου 2025, σχετικά με την ευρωπαϊκή άμυνα,</w:t>
      </w:r>
    </w:p>
    <w:p w14:paraId="32835327" w14:textId="77777777" w:rsidR="0090410D" w:rsidRPr="00D2031A" w:rsidRDefault="0090410D" w:rsidP="0090410D">
      <w:pPr>
        <w:pStyle w:val="NormalHanging12a"/>
        <w:rPr>
          <w:snapToGrid/>
        </w:rPr>
      </w:pPr>
      <w:r w:rsidRPr="00D2031A">
        <w:t>–</w:t>
      </w:r>
      <w:r w:rsidRPr="00D2031A">
        <w:tab/>
        <w:t>έχοντας υπόψη την ανακοίνωση της Επιτροπής, της 19ης Μαρτίου 2025, με τίτλο «Ένωση Αποταμιεύσεων και Επενδύσεων. Στρατηγική για την προώθηση της δημιουργίας πλούτου για τους πολίτες και της οικονομικής ανταγωνιστικότητας στην ΕΕ» (COM(2025)0124),</w:t>
      </w:r>
    </w:p>
    <w:p w14:paraId="7319D0D6" w14:textId="77777777" w:rsidR="0090410D" w:rsidRPr="00D2031A" w:rsidRDefault="0090410D" w:rsidP="0090410D">
      <w:pPr>
        <w:pStyle w:val="NormalHanging12a"/>
      </w:pPr>
      <w:r w:rsidRPr="00D2031A">
        <w:lastRenderedPageBreak/>
        <w:t>–</w:t>
      </w:r>
      <w:r w:rsidRPr="00D2031A">
        <w:tab/>
        <w:t xml:space="preserve">έχοντας υπόψη τη δήλωση του </w:t>
      </w:r>
      <w:proofErr w:type="spellStart"/>
      <w:r w:rsidRPr="00D2031A">
        <w:t>Eurogroup</w:t>
      </w:r>
      <w:proofErr w:type="spellEnd"/>
      <w:r w:rsidRPr="00D2031A">
        <w:t xml:space="preserve"> σε διευρυμένη σύνθεση, της 11ης Μαρτίου 2024, σχετικά με το μέλλον της Ένωσης Κεφαλαιαγορών,</w:t>
      </w:r>
    </w:p>
    <w:p w14:paraId="406DA17F" w14:textId="77777777" w:rsidR="0090410D" w:rsidRPr="00D2031A" w:rsidRDefault="0090410D" w:rsidP="0090410D">
      <w:pPr>
        <w:pStyle w:val="NormalHanging12a"/>
      </w:pPr>
      <w:r w:rsidRPr="00D2031A">
        <w:t>–</w:t>
      </w:r>
      <w:r w:rsidRPr="00D2031A">
        <w:tab/>
        <w:t xml:space="preserve">έχοντας υπόψη τον χάρτη πορείας υψηλού επιπέδου του Μαΐου 2024 για τη συνέχεια που δόθηκε στη δήλωση του </w:t>
      </w:r>
      <w:proofErr w:type="spellStart"/>
      <w:r w:rsidRPr="00D2031A">
        <w:t>Eurogroup</w:t>
      </w:r>
      <w:proofErr w:type="spellEnd"/>
      <w:r w:rsidRPr="00D2031A">
        <w:t xml:space="preserve"> σε διευρυμένη σύνθεση σχετικά με το μέλλον της Ένωσης Κεφαλαιαγορών,</w:t>
      </w:r>
    </w:p>
    <w:p w14:paraId="48D95370" w14:textId="77777777" w:rsidR="0090410D" w:rsidRPr="00D2031A" w:rsidRDefault="0090410D" w:rsidP="0090410D">
      <w:pPr>
        <w:pStyle w:val="NormalHanging12a"/>
      </w:pPr>
      <w:r w:rsidRPr="00D2031A">
        <w:t>–</w:t>
      </w:r>
      <w:r w:rsidRPr="00D2031A">
        <w:tab/>
        <w:t>έχοντας υπόψη τα συμπεράσματα του Ευρωπαϊκού Συμβουλίου της 17ης και 18ης Απριλίου 2024,</w:t>
      </w:r>
    </w:p>
    <w:p w14:paraId="5462C268" w14:textId="77777777" w:rsidR="0090410D" w:rsidRPr="00D2031A" w:rsidRDefault="0090410D" w:rsidP="0090410D">
      <w:pPr>
        <w:pStyle w:val="NormalHanging12a"/>
        <w:rPr>
          <w:snapToGrid/>
        </w:rPr>
      </w:pPr>
      <w:r w:rsidRPr="00D2031A">
        <w:t>–</w:t>
      </w:r>
      <w:r w:rsidRPr="00D2031A">
        <w:tab/>
        <w:t xml:space="preserve">έχοντας υπόψη τη διερευνητική γνωμοδότηση ECO/665 της Ευρωπαϊκής Οικονομικής και Κοινωνικής Επιτροπής με θέμα «Επενδύσεις και μεταρρυθμίσεις για την τόνωση της ευρωπαϊκής ανταγωνιστικότητας και δημιουργία μιας Ένωσης Κεφαλαιαγορών», η οποία εγκρίθηκε στις 30 Απριλίου 2025, </w:t>
      </w:r>
    </w:p>
    <w:p w14:paraId="6BC8FE00" w14:textId="2D24C94A" w:rsidR="0090410D" w:rsidRPr="00D2031A" w:rsidRDefault="0090410D" w:rsidP="0090410D">
      <w:pPr>
        <w:pStyle w:val="NormalHanging12a"/>
      </w:pPr>
      <w:r w:rsidRPr="00D2031A">
        <w:t>–</w:t>
      </w:r>
      <w:r w:rsidRPr="00D2031A">
        <w:tab/>
        <w:t xml:space="preserve">έχοντας υπόψη τη δήλωση της Ευρωπαϊκής Αρχής Ασφαλίσεων και Επαγγελματικών Συντάξεων (EIOPA), της 25ης Απριλίου 2024, με τίτλο </w:t>
      </w:r>
      <w:r w:rsidR="00D2031A" w:rsidRPr="00D2031A">
        <w:t>«</w:t>
      </w:r>
      <w:proofErr w:type="spellStart"/>
      <w:r w:rsidRPr="00D2031A">
        <w:t>How</w:t>
      </w:r>
      <w:proofErr w:type="spellEnd"/>
      <w:r w:rsidRPr="00D2031A">
        <w:t xml:space="preserve"> European </w:t>
      </w:r>
      <w:proofErr w:type="spellStart"/>
      <w:r w:rsidRPr="00D2031A">
        <w:t>insurers</w:t>
      </w:r>
      <w:proofErr w:type="spellEnd"/>
      <w:r w:rsidRPr="00D2031A">
        <w:t xml:space="preserve"> and </w:t>
      </w:r>
      <w:proofErr w:type="spellStart"/>
      <w:r w:rsidRPr="00D2031A">
        <w:t>pension</w:t>
      </w:r>
      <w:proofErr w:type="spellEnd"/>
      <w:r w:rsidRPr="00D2031A">
        <w:t xml:space="preserve"> </w:t>
      </w:r>
      <w:proofErr w:type="spellStart"/>
      <w:r w:rsidRPr="00D2031A">
        <w:t>funds</w:t>
      </w:r>
      <w:proofErr w:type="spellEnd"/>
      <w:r w:rsidRPr="00D2031A">
        <w:t xml:space="preserve"> </w:t>
      </w:r>
      <w:proofErr w:type="spellStart"/>
      <w:r w:rsidRPr="00D2031A">
        <w:t>can</w:t>
      </w:r>
      <w:proofErr w:type="spellEnd"/>
      <w:r w:rsidRPr="00D2031A">
        <w:t xml:space="preserve"> </w:t>
      </w:r>
      <w:proofErr w:type="spellStart"/>
      <w:r w:rsidRPr="00D2031A">
        <w:t>contribute</w:t>
      </w:r>
      <w:proofErr w:type="spellEnd"/>
      <w:r w:rsidRPr="00D2031A">
        <w:t xml:space="preserve"> </w:t>
      </w:r>
      <w:proofErr w:type="spellStart"/>
      <w:r w:rsidRPr="00D2031A">
        <w:t>to</w:t>
      </w:r>
      <w:proofErr w:type="spellEnd"/>
      <w:r w:rsidRPr="00D2031A">
        <w:t xml:space="preserve"> </w:t>
      </w:r>
      <w:proofErr w:type="spellStart"/>
      <w:r w:rsidRPr="00D2031A">
        <w:t>further</w:t>
      </w:r>
      <w:proofErr w:type="spellEnd"/>
      <w:r w:rsidRPr="00D2031A">
        <w:t xml:space="preserve"> </w:t>
      </w:r>
      <w:proofErr w:type="spellStart"/>
      <w:r w:rsidRPr="00D2031A">
        <w:t>strengthen</w:t>
      </w:r>
      <w:proofErr w:type="spellEnd"/>
      <w:r w:rsidRPr="00D2031A">
        <w:t xml:space="preserve"> the Capital </w:t>
      </w:r>
      <w:proofErr w:type="spellStart"/>
      <w:r w:rsidRPr="00D2031A">
        <w:t>Markets</w:t>
      </w:r>
      <w:proofErr w:type="spellEnd"/>
      <w:r w:rsidRPr="00D2031A">
        <w:t xml:space="preserve"> Union</w:t>
      </w:r>
      <w:r w:rsidR="00D2031A" w:rsidRPr="00D2031A">
        <w:t>»</w:t>
      </w:r>
      <w:r w:rsidRPr="00D2031A">
        <w:t xml:space="preserve"> (Τρόποι με τους οποίους οι Ευρωπαίοι ασφαλιστές και τα συνταξιοδοτικά ταμεία μπορούν να συμβάλουν στην περαιτέρω ενίσχυση της Ένωσης Κεφαλαιαγορών), το έγγραφο εργασίας της, της 11ης Σεπτεμβρίου 2024, με τίτλο </w:t>
      </w:r>
      <w:r w:rsidR="00D2031A" w:rsidRPr="00D2031A">
        <w:t>«</w:t>
      </w:r>
      <w:r w:rsidRPr="00D2031A">
        <w:t xml:space="preserve">A </w:t>
      </w:r>
      <w:proofErr w:type="spellStart"/>
      <w:r w:rsidRPr="00D2031A">
        <w:t>simple</w:t>
      </w:r>
      <w:proofErr w:type="spellEnd"/>
      <w:r w:rsidRPr="00D2031A">
        <w:t xml:space="preserve"> and </w:t>
      </w:r>
      <w:proofErr w:type="spellStart"/>
      <w:r w:rsidRPr="00D2031A">
        <w:t>long-term</w:t>
      </w:r>
      <w:proofErr w:type="spellEnd"/>
      <w:r w:rsidRPr="00D2031A">
        <w:t xml:space="preserve"> European </w:t>
      </w:r>
      <w:proofErr w:type="spellStart"/>
      <w:r w:rsidRPr="00D2031A">
        <w:t>savings</w:t>
      </w:r>
      <w:proofErr w:type="spellEnd"/>
      <w:r w:rsidRPr="00D2031A">
        <w:t xml:space="preserve"> </w:t>
      </w:r>
      <w:proofErr w:type="spellStart"/>
      <w:r w:rsidRPr="00D2031A">
        <w:t>product</w:t>
      </w:r>
      <w:proofErr w:type="spellEnd"/>
      <w:r w:rsidRPr="00D2031A">
        <w:t xml:space="preserve">: the </w:t>
      </w:r>
      <w:proofErr w:type="spellStart"/>
      <w:r w:rsidRPr="00D2031A">
        <w:t>future</w:t>
      </w:r>
      <w:proofErr w:type="spellEnd"/>
      <w:r w:rsidRPr="00D2031A">
        <w:t xml:space="preserve"> </w:t>
      </w:r>
      <w:proofErr w:type="spellStart"/>
      <w:r w:rsidRPr="00D2031A">
        <w:t>Pan</w:t>
      </w:r>
      <w:proofErr w:type="spellEnd"/>
      <w:r w:rsidRPr="00D2031A">
        <w:t xml:space="preserve">-European </w:t>
      </w:r>
      <w:proofErr w:type="spellStart"/>
      <w:r w:rsidRPr="00D2031A">
        <w:t>Pension</w:t>
      </w:r>
      <w:proofErr w:type="spellEnd"/>
      <w:r w:rsidRPr="00D2031A">
        <w:t xml:space="preserve"> </w:t>
      </w:r>
      <w:proofErr w:type="spellStart"/>
      <w:r w:rsidRPr="00D2031A">
        <w:t>Product</w:t>
      </w:r>
      <w:proofErr w:type="spellEnd"/>
      <w:r w:rsidR="00D2031A" w:rsidRPr="00D2031A">
        <w:t>»</w:t>
      </w:r>
      <w:r w:rsidRPr="00D2031A">
        <w:t xml:space="preserve"> (Ένα απλό και μακροπρόθεσμο ευρωπαϊκό προϊόν αποταμιεύσεων: Το μελλοντικό πανευρωπαϊκό συνταξιοδοτικό προϊόν), την έκθεσή της, της 15ης Απριλίου 2025, σχετικά με το κόστος και τις προηγούμενες επιδόσεις, καθώς και την έκθεσή της, της 7ης Νοεμβρίου 2024</w:t>
      </w:r>
      <w:r w:rsidR="00D2031A" w:rsidRPr="00D2031A">
        <w:t>,</w:t>
      </w:r>
      <w:r w:rsidRPr="00D2031A">
        <w:t xml:space="preserve"> με τίτλο </w:t>
      </w:r>
      <w:r w:rsidR="00D2031A" w:rsidRPr="00D2031A">
        <w:t>«</w:t>
      </w:r>
      <w:proofErr w:type="spellStart"/>
      <w:r w:rsidRPr="00D2031A">
        <w:t>Prudential</w:t>
      </w:r>
      <w:proofErr w:type="spellEnd"/>
      <w:r w:rsidRPr="00D2031A">
        <w:t xml:space="preserve"> </w:t>
      </w:r>
      <w:proofErr w:type="spellStart"/>
      <w:r w:rsidRPr="00D2031A">
        <w:t>Treatment</w:t>
      </w:r>
      <w:proofErr w:type="spellEnd"/>
      <w:r w:rsidRPr="00D2031A">
        <w:t xml:space="preserve"> of </w:t>
      </w:r>
      <w:proofErr w:type="spellStart"/>
      <w:r w:rsidRPr="00D2031A">
        <w:t>Sustainability</w:t>
      </w:r>
      <w:proofErr w:type="spellEnd"/>
      <w:r w:rsidRPr="00D2031A">
        <w:t xml:space="preserve"> </w:t>
      </w:r>
      <w:proofErr w:type="spellStart"/>
      <w:r w:rsidRPr="00D2031A">
        <w:t>Risks</w:t>
      </w:r>
      <w:proofErr w:type="spellEnd"/>
      <w:r w:rsidR="00D2031A" w:rsidRPr="00D2031A">
        <w:t>»</w:t>
      </w:r>
      <w:r w:rsidRPr="00D2031A">
        <w:t xml:space="preserve"> (Προληπτική αντιμετώπιση των κινδύνων βιωσιμότητας),</w:t>
      </w:r>
    </w:p>
    <w:p w14:paraId="18C52742" w14:textId="34427B95" w:rsidR="0090410D" w:rsidRPr="00D2031A" w:rsidRDefault="0090410D" w:rsidP="0090410D">
      <w:pPr>
        <w:pStyle w:val="NormalHanging12a"/>
        <w:rPr>
          <w:snapToGrid/>
        </w:rPr>
      </w:pPr>
      <w:r w:rsidRPr="00D2031A">
        <w:t>–</w:t>
      </w:r>
      <w:r w:rsidRPr="00D2031A">
        <w:tab/>
        <w:t xml:space="preserve">έχοντας υπόψη το έγγραφο θέσης της Ευρωπαϊκής Αρχής Κινητών Αξιών και Αγορών (ESMA), της 22ας Μαΐου 2024, με τίτλο </w:t>
      </w:r>
      <w:r w:rsidR="00D2031A" w:rsidRPr="00D2031A">
        <w:t>«</w:t>
      </w:r>
      <w:proofErr w:type="spellStart"/>
      <w:r w:rsidRPr="00D2031A">
        <w:t>Building</w:t>
      </w:r>
      <w:proofErr w:type="spellEnd"/>
      <w:r w:rsidRPr="00D2031A">
        <w:t xml:space="preserve"> </w:t>
      </w:r>
      <w:proofErr w:type="spellStart"/>
      <w:r w:rsidRPr="00D2031A">
        <w:t>more</w:t>
      </w:r>
      <w:proofErr w:type="spellEnd"/>
      <w:r w:rsidRPr="00D2031A">
        <w:t xml:space="preserve"> </w:t>
      </w:r>
      <w:proofErr w:type="spellStart"/>
      <w:r w:rsidRPr="00D2031A">
        <w:t>effective</w:t>
      </w:r>
      <w:proofErr w:type="spellEnd"/>
      <w:r w:rsidRPr="00D2031A">
        <w:t xml:space="preserve"> and </w:t>
      </w:r>
      <w:proofErr w:type="spellStart"/>
      <w:r w:rsidRPr="00D2031A">
        <w:t>attractive</w:t>
      </w:r>
      <w:proofErr w:type="spellEnd"/>
      <w:r w:rsidRPr="00D2031A">
        <w:t xml:space="preserve"> </w:t>
      </w:r>
      <w:proofErr w:type="spellStart"/>
      <w:r w:rsidRPr="00D2031A">
        <w:t>capital</w:t>
      </w:r>
      <w:proofErr w:type="spellEnd"/>
      <w:r w:rsidRPr="00D2031A">
        <w:t xml:space="preserve"> </w:t>
      </w:r>
      <w:proofErr w:type="spellStart"/>
      <w:r w:rsidRPr="00D2031A">
        <w:t>markets</w:t>
      </w:r>
      <w:proofErr w:type="spellEnd"/>
      <w:r w:rsidRPr="00D2031A">
        <w:t xml:space="preserve"> in the EU</w:t>
      </w:r>
      <w:r w:rsidR="00D2031A" w:rsidRPr="00D2031A">
        <w:t>»</w:t>
      </w:r>
      <w:r w:rsidRPr="00D2031A">
        <w:t xml:space="preserve"> (Οικοδόμηση αποτελεσματικότερων και ελκυστικότερων κεφαλαιαγορών στην ΕΕ), την έκθεση αγοράς της ESMA, της 18ης Δεκεμβρίου 2023, με τίτλο </w:t>
      </w:r>
      <w:r w:rsidR="00D2031A" w:rsidRPr="00D2031A">
        <w:t>«</w:t>
      </w:r>
      <w:proofErr w:type="spellStart"/>
      <w:r w:rsidRPr="00D2031A">
        <w:t>Costs</w:t>
      </w:r>
      <w:proofErr w:type="spellEnd"/>
      <w:r w:rsidRPr="00D2031A">
        <w:t xml:space="preserve"> and </w:t>
      </w:r>
      <w:proofErr w:type="spellStart"/>
      <w:r w:rsidRPr="00D2031A">
        <w:t>Performance</w:t>
      </w:r>
      <w:proofErr w:type="spellEnd"/>
      <w:r w:rsidRPr="00D2031A">
        <w:t xml:space="preserve"> of EU </w:t>
      </w:r>
      <w:proofErr w:type="spellStart"/>
      <w:r w:rsidRPr="00D2031A">
        <w:t>Retail</w:t>
      </w:r>
      <w:proofErr w:type="spellEnd"/>
      <w:r w:rsidRPr="00D2031A">
        <w:t xml:space="preserve"> Investment </w:t>
      </w:r>
      <w:proofErr w:type="spellStart"/>
      <w:r w:rsidRPr="00D2031A">
        <w:t>Products</w:t>
      </w:r>
      <w:proofErr w:type="spellEnd"/>
      <w:r w:rsidRPr="00D2031A">
        <w:t xml:space="preserve"> 2023</w:t>
      </w:r>
      <w:r w:rsidR="00D2031A" w:rsidRPr="00D2031A">
        <w:t>»</w:t>
      </w:r>
      <w:r w:rsidRPr="00D2031A">
        <w:t xml:space="preserve"> (Κόστος και επιδόσεις των επενδυτικών προϊόντων της ΕΕ για το ευρύ επενδυτικό κοινό), καθώς και τη γνωμοδότηση της ESMA, της 24ης Ιουλίου 2024, με τίτλο </w:t>
      </w:r>
      <w:r w:rsidR="00D2031A" w:rsidRPr="00D2031A">
        <w:t>«</w:t>
      </w:r>
      <w:proofErr w:type="spellStart"/>
      <w:r w:rsidRPr="00D2031A">
        <w:t>Sustainable</w:t>
      </w:r>
      <w:proofErr w:type="spellEnd"/>
      <w:r w:rsidRPr="00D2031A">
        <w:t xml:space="preserve"> </w:t>
      </w:r>
      <w:proofErr w:type="spellStart"/>
      <w:r w:rsidRPr="00D2031A">
        <w:t>investment</w:t>
      </w:r>
      <w:proofErr w:type="spellEnd"/>
      <w:r w:rsidRPr="00D2031A">
        <w:t xml:space="preserve">: </w:t>
      </w:r>
      <w:proofErr w:type="spellStart"/>
      <w:r w:rsidRPr="00D2031A">
        <w:t>Facilitating</w:t>
      </w:r>
      <w:proofErr w:type="spellEnd"/>
      <w:r w:rsidRPr="00D2031A">
        <w:t xml:space="preserve"> the </w:t>
      </w:r>
      <w:proofErr w:type="spellStart"/>
      <w:r w:rsidRPr="00D2031A">
        <w:t>investor</w:t>
      </w:r>
      <w:proofErr w:type="spellEnd"/>
      <w:r w:rsidRPr="00D2031A">
        <w:t xml:space="preserve"> </w:t>
      </w:r>
      <w:proofErr w:type="spellStart"/>
      <w:r w:rsidRPr="00D2031A">
        <w:t>journey</w:t>
      </w:r>
      <w:proofErr w:type="spellEnd"/>
      <w:r w:rsidRPr="00D2031A">
        <w:t xml:space="preserve"> – A </w:t>
      </w:r>
      <w:proofErr w:type="spellStart"/>
      <w:r w:rsidRPr="00D2031A">
        <w:t>holistic</w:t>
      </w:r>
      <w:proofErr w:type="spellEnd"/>
      <w:r w:rsidRPr="00D2031A">
        <w:t xml:space="preserve"> </w:t>
      </w:r>
      <w:proofErr w:type="spellStart"/>
      <w:r w:rsidRPr="00D2031A">
        <w:t>vision</w:t>
      </w:r>
      <w:proofErr w:type="spellEnd"/>
      <w:r w:rsidRPr="00D2031A">
        <w:t xml:space="preserve"> for the </w:t>
      </w:r>
      <w:proofErr w:type="spellStart"/>
      <w:r w:rsidRPr="00D2031A">
        <w:t>long</w:t>
      </w:r>
      <w:proofErr w:type="spellEnd"/>
      <w:r w:rsidRPr="00D2031A">
        <w:t xml:space="preserve"> </w:t>
      </w:r>
      <w:proofErr w:type="spellStart"/>
      <w:r w:rsidRPr="00D2031A">
        <w:t>term</w:t>
      </w:r>
      <w:proofErr w:type="spellEnd"/>
      <w:r w:rsidR="00D2031A" w:rsidRPr="00D2031A">
        <w:t>»</w:t>
      </w:r>
      <w:r w:rsidRPr="00D2031A">
        <w:t xml:space="preserve"> (Βιώσιμες επενδύσεις: Διευκόλυνση της διαδρομής των επενδυτών – Ένα ολιστικό όραμα για το μακροπρόθεσμο μέλλον), </w:t>
      </w:r>
    </w:p>
    <w:p w14:paraId="5E7FE01F" w14:textId="3E43CD15" w:rsidR="0090410D" w:rsidRPr="00D2031A" w:rsidRDefault="0090410D" w:rsidP="0090410D">
      <w:pPr>
        <w:pStyle w:val="NormalHanging12a"/>
      </w:pPr>
      <w:r w:rsidRPr="00D2031A">
        <w:t>–</w:t>
      </w:r>
      <w:r w:rsidRPr="00D2031A">
        <w:tab/>
        <w:t xml:space="preserve">έχοντας υπόψη την έκθεση της Ευρωπαϊκής Αρχής Κινητών Αξιών και Αγορών, της 21ης Σεπτεμβρίου 2023, με τίτλο </w:t>
      </w:r>
      <w:r w:rsidR="00D2031A" w:rsidRPr="00D2031A">
        <w:t>«</w:t>
      </w:r>
      <w:r w:rsidRPr="00D2031A">
        <w:t xml:space="preserve">The EU </w:t>
      </w:r>
      <w:proofErr w:type="spellStart"/>
      <w:r w:rsidRPr="00D2031A">
        <w:t>securitisation</w:t>
      </w:r>
      <w:proofErr w:type="spellEnd"/>
      <w:r w:rsidRPr="00D2031A">
        <w:t xml:space="preserve"> </w:t>
      </w:r>
      <w:proofErr w:type="spellStart"/>
      <w:r w:rsidRPr="00D2031A">
        <w:t>market</w:t>
      </w:r>
      <w:proofErr w:type="spellEnd"/>
      <w:r w:rsidRPr="00D2031A">
        <w:t xml:space="preserve"> – </w:t>
      </w:r>
      <w:proofErr w:type="spellStart"/>
      <w:r w:rsidRPr="00D2031A">
        <w:t>an</w:t>
      </w:r>
      <w:proofErr w:type="spellEnd"/>
      <w:r w:rsidRPr="00D2031A">
        <w:t xml:space="preserve"> </w:t>
      </w:r>
      <w:proofErr w:type="spellStart"/>
      <w:r w:rsidRPr="00D2031A">
        <w:t>overview</w:t>
      </w:r>
      <w:proofErr w:type="spellEnd"/>
      <w:r w:rsidR="00D2031A" w:rsidRPr="00D2031A">
        <w:t>»</w:t>
      </w:r>
      <w:r w:rsidRPr="00D2031A">
        <w:t xml:space="preserve"> (Η</w:t>
      </w:r>
      <w:r w:rsidR="00D2031A" w:rsidRPr="00D2031A">
        <w:t> </w:t>
      </w:r>
      <w:r w:rsidRPr="00D2031A">
        <w:t>αγορά τιτλοποιήσεων της ΕΕ – Επισκόπηση),</w:t>
      </w:r>
    </w:p>
    <w:p w14:paraId="6AC5FA99" w14:textId="77777777" w:rsidR="0090410D" w:rsidRPr="00D2031A" w:rsidRDefault="0090410D" w:rsidP="0090410D">
      <w:pPr>
        <w:pStyle w:val="NormalHanging12a"/>
      </w:pPr>
      <w:r w:rsidRPr="00D2031A">
        <w:t>–</w:t>
      </w:r>
      <w:r w:rsidRPr="00D2031A">
        <w:tab/>
        <w:t>έχοντας υπόψη τη δήλωση του διοικητικού συμβουλίου της Ευρωπαϊκής Κεντρικής Τράπεζας, της 7ης Μαρτίου 2024, σχετικά με την προώθηση της Ένωσης Κεφαλαιαγορών,</w:t>
      </w:r>
    </w:p>
    <w:p w14:paraId="482BAAA8" w14:textId="3534FB91" w:rsidR="0090410D" w:rsidRPr="00D2031A" w:rsidRDefault="0090410D" w:rsidP="0090410D">
      <w:pPr>
        <w:pStyle w:val="NormalHanging12a"/>
        <w:rPr>
          <w:snapToGrid/>
        </w:rPr>
      </w:pPr>
      <w:r w:rsidRPr="00D2031A">
        <w:t>–</w:t>
      </w:r>
      <w:r w:rsidRPr="00D2031A">
        <w:tab/>
        <w:t>έχοντας υπόψη την πρόταση της Επιτροπής, της 12ης Φεβρουαρίου 2025, για κανονισμό του Ευρωπαϊκού Κοινοβουλίου και του Συμβουλίου για την τροποποίηση του κανονισμού (ΕΕ) αριθ. 909/2014 σχετικά με βραχύτερο κύκλο διακανονισμού στην Ένωση (COM(2025)0038),</w:t>
      </w:r>
    </w:p>
    <w:p w14:paraId="4E3EB83C" w14:textId="77777777" w:rsidR="0090410D" w:rsidRPr="00D2031A" w:rsidRDefault="0090410D" w:rsidP="0090410D">
      <w:pPr>
        <w:pStyle w:val="NormalHanging12a"/>
      </w:pPr>
      <w:r w:rsidRPr="00D2031A">
        <w:lastRenderedPageBreak/>
        <w:t>–</w:t>
      </w:r>
      <w:r w:rsidRPr="00D2031A">
        <w:tab/>
        <w:t xml:space="preserve">έχοντας υπόψη την πρωτοβουλία των ευρωπαϊκών πρωταθλητών στον τομέα της τεχνολογίας (European </w:t>
      </w:r>
      <w:proofErr w:type="spellStart"/>
      <w:r w:rsidRPr="00D2031A">
        <w:t>Tech</w:t>
      </w:r>
      <w:proofErr w:type="spellEnd"/>
      <w:r w:rsidRPr="00D2031A">
        <w:t xml:space="preserve"> </w:t>
      </w:r>
      <w:proofErr w:type="spellStart"/>
      <w:r w:rsidRPr="00D2031A">
        <w:t>Champions</w:t>
      </w:r>
      <w:proofErr w:type="spellEnd"/>
      <w:r w:rsidRPr="00D2031A">
        <w:t xml:space="preserve"> </w:t>
      </w:r>
      <w:proofErr w:type="spellStart"/>
      <w:r w:rsidRPr="00D2031A">
        <w:t>Initiative</w:t>
      </w:r>
      <w:proofErr w:type="spellEnd"/>
      <w:r w:rsidRPr="00D2031A">
        <w:t>) που δρομολογήθηκε τον Φεβρουάριο του 2023,</w:t>
      </w:r>
    </w:p>
    <w:p w14:paraId="572EC165" w14:textId="77777777" w:rsidR="0090410D" w:rsidRPr="00D2031A" w:rsidRDefault="0090410D" w:rsidP="0090410D">
      <w:pPr>
        <w:widowControl/>
        <w:spacing w:after="240"/>
        <w:ind w:left="567" w:hanging="567"/>
      </w:pPr>
      <w:r w:rsidRPr="00D2031A">
        <w:t>–</w:t>
      </w:r>
      <w:r w:rsidRPr="00D2031A">
        <w:tab/>
        <w:t>έχοντας υπόψη την έκθεση της Επιτροπής Οικονομικών Υποθέσεων, της 17ης Ιουνίου 2025, σχετικά με τις χρηματοδοτικές δραστηριότητες της Ευρωπαϊκής Τράπεζας Επενδύσεων — ετήσια έκθεση 2024,</w:t>
      </w:r>
    </w:p>
    <w:p w14:paraId="37BE133D" w14:textId="77777777" w:rsidR="0090410D" w:rsidRPr="00D2031A" w:rsidRDefault="0090410D" w:rsidP="0090410D">
      <w:pPr>
        <w:pStyle w:val="NormalHanging12a"/>
      </w:pPr>
      <w:r w:rsidRPr="00D2031A">
        <w:t>–</w:t>
      </w:r>
      <w:r w:rsidRPr="00D2031A">
        <w:tab/>
        <w:t>έχοντας υπόψη το ψήφισμά του της 8ης Οκτωβρίου 2020 σχετικά με την περαιτέρω προώθηση της Ένωσης Κεφαλαιαγορών (CMU): τη βελτίωση της πρόσβασης σε χρηματοδότηση μέσω κεφαλαιαγορών, ιδίως για τις ΜΜΕ, και την περαιτέρω διευκόλυνση της συμμετοχής ιδιωτών επενδυτών</w:t>
      </w:r>
      <w:r w:rsidRPr="00D2031A">
        <w:rPr>
          <w:rStyle w:val="FootnoteReference"/>
        </w:rPr>
        <w:footnoteReference w:id="1"/>
      </w:r>
      <w:r w:rsidRPr="00D2031A">
        <w:t>,</w:t>
      </w:r>
    </w:p>
    <w:p w14:paraId="11F4D2F2" w14:textId="77777777" w:rsidR="0090410D" w:rsidRPr="00D2031A" w:rsidRDefault="0090410D" w:rsidP="0090410D">
      <w:pPr>
        <w:pStyle w:val="NormalHanging12a"/>
      </w:pPr>
      <w:r w:rsidRPr="00D2031A">
        <w:t>–</w:t>
      </w:r>
      <w:r w:rsidRPr="00D2031A">
        <w:tab/>
        <w:t>έχοντας υπόψη το ψήφισμά του, της 9ης Ιουλίου 2015, σχετικά με την Οικοδόμηση μιας Ένωσης Κεφαλαιαγορών</w:t>
      </w:r>
      <w:r w:rsidRPr="00D2031A">
        <w:rPr>
          <w:rStyle w:val="FootnoteReference"/>
        </w:rPr>
        <w:footnoteReference w:id="2"/>
      </w:r>
      <w:r w:rsidRPr="00D2031A">
        <w:t>,</w:t>
      </w:r>
    </w:p>
    <w:p w14:paraId="784D41D6" w14:textId="77777777" w:rsidR="0090410D" w:rsidRPr="00D2031A" w:rsidRDefault="0090410D" w:rsidP="0090410D">
      <w:pPr>
        <w:pStyle w:val="NormalHanging12a"/>
      </w:pPr>
      <w:r w:rsidRPr="00D2031A">
        <w:t>–</w:t>
      </w:r>
      <w:r w:rsidRPr="00D2031A">
        <w:tab/>
        <w:t>έχοντας υπόψη το άρθρο 55 του Κανονισμού του,</w:t>
      </w:r>
    </w:p>
    <w:p w14:paraId="46E3AA39" w14:textId="77777777" w:rsidR="0090410D" w:rsidRPr="00D2031A" w:rsidRDefault="0090410D" w:rsidP="0090410D">
      <w:pPr>
        <w:pStyle w:val="NormalHanging12a"/>
      </w:pPr>
      <w:r w:rsidRPr="00D2031A">
        <w:t>–</w:t>
      </w:r>
      <w:r w:rsidRPr="00D2031A">
        <w:tab/>
        <w:t>έχοντας υπόψη τη γνωμοδότηση της Επιτροπής Προϋπολογισμών,</w:t>
      </w:r>
    </w:p>
    <w:p w14:paraId="270633BC" w14:textId="77777777" w:rsidR="0090410D" w:rsidRPr="00D2031A" w:rsidRDefault="0090410D" w:rsidP="0090410D">
      <w:pPr>
        <w:pStyle w:val="NormalHanging12a"/>
      </w:pPr>
      <w:r w:rsidRPr="00D2031A">
        <w:t>–</w:t>
      </w:r>
      <w:r w:rsidRPr="00D2031A">
        <w:tab/>
        <w:t>έχοντας υπόψη την έκθεση της Επιτροπής Οικονομικής και Νομισματικής Πολιτικής (A10-0124/2025),</w:t>
      </w:r>
    </w:p>
    <w:p w14:paraId="33FB83C5" w14:textId="77777777" w:rsidR="0090410D" w:rsidRPr="00D2031A" w:rsidRDefault="0090410D" w:rsidP="0090410D">
      <w:pPr>
        <w:pStyle w:val="NormalHanging12a"/>
        <w:rPr>
          <w:snapToGrid/>
        </w:rPr>
      </w:pPr>
      <w:r w:rsidRPr="00D2031A">
        <w:t>Α.</w:t>
      </w:r>
      <w:r w:rsidRPr="00D2031A">
        <w:tab/>
        <w:t xml:space="preserve">λαμβάνοντας υπόψη ότι η έκθεση </w:t>
      </w:r>
      <w:proofErr w:type="spellStart"/>
      <w:r w:rsidRPr="00D2031A">
        <w:t>Draghi</w:t>
      </w:r>
      <w:proofErr w:type="spellEnd"/>
      <w:r w:rsidRPr="00D2031A">
        <w:t xml:space="preserve"> επεσήμανε σοβαρές ελλείψεις όσον αφορά τη γενική ανταγωνιστικότητα της ευρωπαϊκής οικονομίας και τη στασιμότητα της παραγωγικότητας, και πρότεινε ότι η λύση έγκειται στην προσέλκυση επενδύσεων, μεταξύ άλλων μέσω της απελευθέρωσης ιδιωτικών κεφαλαίων, με τη δημιουργία της Ένωσης Αποταμιεύσεων και Επενδύσεων· λαμβάνοντας υπόψη ότι στην έκθεση </w:t>
      </w:r>
      <w:proofErr w:type="spellStart"/>
      <w:r w:rsidRPr="00D2031A">
        <w:t>Draghi</w:t>
      </w:r>
      <w:proofErr w:type="spellEnd"/>
      <w:r w:rsidRPr="00D2031A">
        <w:t xml:space="preserve"> εκτιμάται ότι απαιτούνται τουλάχιστον 750 έως 800 δισεκατομμύρια EUR σε πρόσθετες ετήσιες επενδύσεις για την επανεκκίνηση της βιώσιμης ανάπτυξης, την αποκατάσταση της παραγωγικότητας της ΕΕ, τη στήριξη της ανταγωνιστικότητας, την προώθηση της καινοτομίας, τη στήριξη της ενεργειακής μετάβασης της ΕΕ, την ενίσχυση της ηγετικής θέσης της στην ψηφιακή τεχνολογία, την επίτευξη των περιβαλλοντικών και κοινωνικών στόχων της ΕΕ και την αύξηση της άμυνας και της ασφάλειας, καθώς και τη μείωση των εξαρτήσεων· λαμβάνοντας υπόψη ότι το ποσό αυτό αντιστοιχούσε στο 4,4-4,7 % του ΑΕΠ της ΕΕ το 2023</w:t>
      </w:r>
      <w:r w:rsidRPr="00D2031A">
        <w:rPr>
          <w:rStyle w:val="FootnoteReference"/>
        </w:rPr>
        <w:footnoteReference w:id="3"/>
      </w:r>
      <w:r w:rsidRPr="00D2031A">
        <w:t>·</w:t>
      </w:r>
    </w:p>
    <w:p w14:paraId="52FAF98D" w14:textId="77777777" w:rsidR="0090410D" w:rsidRPr="00D2031A" w:rsidRDefault="0090410D" w:rsidP="0090410D">
      <w:pPr>
        <w:pStyle w:val="NormalHanging12a"/>
      </w:pPr>
      <w:r w:rsidRPr="00D2031A">
        <w:t>Β.</w:t>
      </w:r>
      <w:r w:rsidRPr="00D2031A">
        <w:tab/>
        <w:t>λαμβάνοντας υπόψη ότι, σύμφωνα με την έκθεση, καμία εταιρεία στην Ένωση με χρηματιστηριακή αξία άνω των 100 δισεκατομμυρίων EUR δεν έχει συσταθεί ως νέα οντότητα τα τελευταία 50 χρόνια, ενώ κατά την ίδια περίοδο δημιουργήθηκαν στις Ηνωμένες Πολιτείες έξι εταιρείες αξίας άνω του ενός τρισεκατομμυρίου δολαρίων·</w:t>
      </w:r>
    </w:p>
    <w:p w14:paraId="01448007" w14:textId="77777777" w:rsidR="0090410D" w:rsidRPr="00D2031A" w:rsidRDefault="0090410D" w:rsidP="0090410D">
      <w:pPr>
        <w:pStyle w:val="NormalHanging12a"/>
      </w:pPr>
      <w:r w:rsidRPr="00D2031A">
        <w:t>Γ.</w:t>
      </w:r>
      <w:r w:rsidRPr="00D2031A">
        <w:tab/>
        <w:t xml:space="preserve">λαμβάνοντας υπόψη ότι το σχέδιο </w:t>
      </w:r>
      <w:proofErr w:type="spellStart"/>
      <w:r w:rsidRPr="00D2031A">
        <w:t>ReArm</w:t>
      </w:r>
      <w:proofErr w:type="spellEnd"/>
      <w:r w:rsidRPr="00D2031A">
        <w:t xml:space="preserve"> Europe αποτελείται από πέντε πυλώνες που στοχεύουν στη χρηματοδότηση της ασφάλειας και της άμυνας της Ευρώπης, καλύπτοντας τόσο τις δημόσιες επενδύσεις όσο και την Ευρωπαϊκή Ένωση Αποταμιεύσεων και Επενδύσεων·</w:t>
      </w:r>
    </w:p>
    <w:p w14:paraId="3BF02BF0" w14:textId="77777777" w:rsidR="0090410D" w:rsidRPr="00D2031A" w:rsidRDefault="0090410D" w:rsidP="0090410D">
      <w:pPr>
        <w:pStyle w:val="NormalHanging12a"/>
      </w:pPr>
      <w:r w:rsidRPr="00D2031A">
        <w:lastRenderedPageBreak/>
        <w:t>Δ.</w:t>
      </w:r>
      <w:r w:rsidRPr="00D2031A">
        <w:tab/>
        <w:t>λαμβάνοντας υπόψη ότι οι εν εξελίξει εμπορικοί πόλεμοι και οι δασμολογικές διαφορές προκαλούν σημαντική αβεβαιότητα στις παγκόσμιες αγορές, επηρεάζοντας αρνητικά την ανάπτυξη, τον πληθωρισμό και τις προβλέψεις για την απασχόληση, επηρεάζοντας ιδίως τις διασυνοριακές επενδύσεις και διαταράσσοντας τις καθιερωμένες αλυσίδες εφοδιασμού· λαμβάνοντας υπόψη ότι η επιβολή δασμών και εμπορικών φραγμών υπονομεύει τα οφέλη του εμπορίου και των ανταγωνιστικών αγορών· λαμβάνοντας υπόψη ότι αυτές οι γεωπολιτικές εντάσεις δημιουργούν πρόσθετους κινδύνους για τους επενδυτές, μειώνοντας την εμπιστοσύνη και εμποδίζοντας τη διασυνοριακή ροή ιδιωτικών κεφαλαίων, η οποία είναι ζωτικής σημασίας για τη χρηματοδότηση της καινοτομίας, των νεοφυών επιχειρήσεων και των εταιρειών υψηλής ανάπτυξης· λαμβάνοντας υπόψη ότι η αστάθεια που προκαλείται από αυτές τις εμπορικές συγκρούσεις ενέχει τον κίνδυνο επιβράδυνσης της ανάπτυξης της Ένωσης Κεφαλαιαγορών, αποθαρρύνοντας τις επενδύσεις στην ευρωπαϊκή αγορά, ιδίως σε τομείς υψηλού κινδύνου που εξαρτώνται σε μεγάλο βαθμό από τα παγκόσμια εμπορικά δίκτυα·</w:t>
      </w:r>
    </w:p>
    <w:p w14:paraId="07D27427" w14:textId="77777777" w:rsidR="0090410D" w:rsidRPr="00D2031A" w:rsidRDefault="0090410D" w:rsidP="0090410D">
      <w:pPr>
        <w:pStyle w:val="NormalHanging12a"/>
      </w:pPr>
      <w:r w:rsidRPr="00D2031A">
        <w:t>Ε.</w:t>
      </w:r>
      <w:r w:rsidRPr="00D2031A">
        <w:tab/>
        <w:t>λαμβάνοντας υπόψη ότι οι συνεχιζόμενες γεωπολιτικές αβεβαιότητες επηρεάζουν τους μακροοικονομικούς δείκτες, αυξάνουν την αστάθεια στις χρηματοπιστωτικές αγορές και αποδυναμώνουν το δολάριο ΗΠΑ· λαμβάνοντας υπόψη ότι αυτό θα μπορούσε να ενισχύσει τη θέση του ευρώ ως ενός πιο εξέχοντος παγκόσμιου νομίσματος, ενισχύοντας την οικονομική κυριαρχία και ανθεκτικότητα της Ευρώπης·</w:t>
      </w:r>
    </w:p>
    <w:p w14:paraId="2FBEB291" w14:textId="77777777" w:rsidR="0090410D" w:rsidRPr="00D2031A" w:rsidRDefault="0090410D" w:rsidP="0090410D">
      <w:pPr>
        <w:pStyle w:val="NormalHanging12a"/>
      </w:pPr>
      <w:r w:rsidRPr="00D2031A">
        <w:t>ΣΤ.</w:t>
      </w:r>
      <w:r w:rsidRPr="00D2031A">
        <w:tab/>
        <w:t>λαμβάνοντας υπόψη ότι ιστορικά στην Ευρώπη ο ιδιωτικός τομέας συνέβαλε περίπου στα τέσσερα πέμπτα των παραγωγικών επενδύσεων, ενώ ο δημόσιος τομέας κάλυπτε το υπόλοιπο ένα πέμπτο</w:t>
      </w:r>
      <w:r w:rsidRPr="00D2031A">
        <w:rPr>
          <w:rStyle w:val="FootnoteReference"/>
        </w:rPr>
        <w:footnoteReference w:id="4"/>
      </w:r>
      <w:r w:rsidRPr="00D2031A">
        <w:t>·</w:t>
      </w:r>
    </w:p>
    <w:p w14:paraId="41D53992" w14:textId="77777777" w:rsidR="0090410D" w:rsidRPr="00D2031A" w:rsidRDefault="0090410D" w:rsidP="0090410D">
      <w:pPr>
        <w:widowControl/>
        <w:spacing w:after="240"/>
        <w:ind w:left="567" w:hanging="567"/>
      </w:pPr>
      <w:r w:rsidRPr="00D2031A">
        <w:t>Ζ.</w:t>
      </w:r>
      <w:r w:rsidRPr="00D2031A">
        <w:tab/>
        <w:t>λαμβάνοντας υπόψη ότι τα συνολικά επίπεδα των παραγωγικών επενδύσεων στην ΕΕ ήταν σημαντικά χαμηλότερα από ό,τι στις ΗΠΑ κατά τη διάρκεια των τελευταίων δύο δεκαετιών·</w:t>
      </w:r>
    </w:p>
    <w:p w14:paraId="2C0E6829" w14:textId="77777777" w:rsidR="0090410D" w:rsidRPr="00D2031A" w:rsidRDefault="0090410D" w:rsidP="0090410D">
      <w:pPr>
        <w:pStyle w:val="NormalHanging12a"/>
      </w:pPr>
      <w:r w:rsidRPr="00D2031A">
        <w:t>Η.</w:t>
      </w:r>
      <w:r w:rsidRPr="00D2031A">
        <w:tab/>
        <w:t>λαμβάνοντας υπόψη ότι μόνο το 18 % των Ευρωπαίων πολιτών διαθέτουν υψηλό επίπεδο χρηματοοικονομικών γνώσεων, όπως επισημαίνεται από το Ευρωπαϊκό παρατηρητήριο χρηματοοικονομικού αλφαβητισμού που εκπόνησε η Ευρωπαϊκή Επιτροπή· λαμβάνοντας υπόψη ότι η πλειονότητα, το 64 %, έχει μέσο επίπεδο χρηματοοικονομικών γνώσεων και το 18 % διαθέτει χαμηλό επίπεδο χρηματοοικονομικών γνώσεων, γεγονός που δημιουργεί σημαντικό χάσμα στις χρηματοοικονομικές ικανότητες των ευρωπαίων πολιτών· λαμβάνοντας υπόψη ότι μόνο τέσσερα κράτη μέλη διαθέτουν υψηλά επίπεδα χρηματοοικονομικών γνώσεων, και συγκεκριμένα οι Κάτω Χώρες, η Δανία, η Σουηδία και η Σλοβενία· λαμβάνοντας υπόψη ότι η αύξηση των χρηματοοικονομικών γνώσεων θα μπορούσε να επιτρέψει σε πολίτες να λαμβάνουν τεκμηριωμένες αποφάσεις σχετικά με τις αποταμιεύσεις, τις επενδύσεις και τον σχεδιασμό της συνταξιοδότησης, βελτιώνοντας έτσι τη μακροπρόθεσμη οικονομική τους ευημερία· λαμβάνοντας υπόψη ότι η ενίσχυση της χρηματοοικονομικής εκπαίδευσης σε ολόκληρη την ΕΕ είναι απαραίτητη για τον εφοδιασμό των πολιτών με τις δεξιότητες που απαιτούνται για την πλοήγησή τους στις ολοένα και πιο σύνθετες χρηματοπιστωτικές αγορές και την πλήρη αξιοποίηση των επενδυτικών ευκαιριών, οι οποίες θα συμβάλλουν στην ανάπτυξη της οικονομίας·</w:t>
      </w:r>
    </w:p>
    <w:p w14:paraId="3FBEC9BB" w14:textId="3BC2C9FA" w:rsidR="0090410D" w:rsidRPr="00D2031A" w:rsidRDefault="0090410D" w:rsidP="0090410D">
      <w:pPr>
        <w:pStyle w:val="NormalHanging12a"/>
      </w:pPr>
      <w:r w:rsidRPr="00D2031A">
        <w:lastRenderedPageBreak/>
        <w:t>Θ.</w:t>
      </w:r>
      <w:r w:rsidRPr="00D2031A">
        <w:tab/>
        <w:t xml:space="preserve">λαμβάνοντας υπόψη ότι, σύμφωνα με την έκθεση </w:t>
      </w:r>
      <w:proofErr w:type="spellStart"/>
      <w:r w:rsidRPr="00D2031A">
        <w:t>Draghi</w:t>
      </w:r>
      <w:proofErr w:type="spellEnd"/>
      <w:r w:rsidRPr="00D2031A">
        <w:t>, οι αποταμιεύσεις των νοικοκυριών στην ΕΕ ανήλθαν σε 1 390 δισ</w:t>
      </w:r>
      <w:r w:rsidR="00CB275B" w:rsidRPr="00D2031A">
        <w:t>εκατομμύρια</w:t>
      </w:r>
      <w:r w:rsidRPr="00D2031A">
        <w:t xml:space="preserve"> EUR το 2022, έναντι 840 δισ</w:t>
      </w:r>
      <w:r w:rsidR="00CB275B" w:rsidRPr="00D2031A">
        <w:t>εκατομμυρίων</w:t>
      </w:r>
      <w:r w:rsidRPr="00D2031A">
        <w:t xml:space="preserve"> EUR στις ΗΠΑ·</w:t>
      </w:r>
    </w:p>
    <w:p w14:paraId="154DE6CC" w14:textId="77777777" w:rsidR="0090410D" w:rsidRPr="00D2031A" w:rsidRDefault="0090410D" w:rsidP="0090410D">
      <w:pPr>
        <w:pStyle w:val="NormalHanging12a"/>
        <w:rPr>
          <w:snapToGrid/>
          <w:vertAlign w:val="superscript"/>
        </w:rPr>
      </w:pPr>
      <w:r w:rsidRPr="00D2031A">
        <w:t>Ι.</w:t>
      </w:r>
      <w:r w:rsidRPr="00D2031A">
        <w:tab/>
        <w:t>λαμβάνοντας υπόψη ότι οι χρηματοοικονομικοί τίτλοι (εισηγμένες μετοχές, ομόλογα, αμοιβαία κεφάλαια και παράγωγα) που κατέχονται άμεσα από νοικοκυριά αντιπροσωπεύουν επί του παρόντος το 43 % του πλούτου των νοικοκυριών των ΗΠΑ, αλλά μόνο το 17 % του πλούτου των νοικοκυριών της ΕΕ</w:t>
      </w:r>
      <w:r w:rsidRPr="00D2031A">
        <w:rPr>
          <w:rStyle w:val="FootnoteReference"/>
        </w:rPr>
        <w:footnoteReference w:id="5"/>
      </w:r>
      <w:r w:rsidRPr="00D2031A">
        <w:t>·</w:t>
      </w:r>
    </w:p>
    <w:p w14:paraId="689BEE1C" w14:textId="77777777" w:rsidR="0090410D" w:rsidRPr="00D2031A" w:rsidRDefault="0090410D" w:rsidP="0090410D">
      <w:pPr>
        <w:widowControl/>
        <w:spacing w:after="240"/>
        <w:ind w:left="567" w:hanging="567"/>
      </w:pPr>
      <w:r w:rsidRPr="00D2031A">
        <w:t>ΙΑ.</w:t>
      </w:r>
      <w:r w:rsidRPr="00D2031A">
        <w:tab/>
        <w:t>λαμβάνοντας υπόψη ότι τα νοικοκυριά της ΕΕ εξοικονομούσαν το 14,79 % του διαθέσιμου εισοδήματός τους (</w:t>
      </w:r>
      <w:proofErr w:type="spellStart"/>
      <w:r w:rsidRPr="00D2031A">
        <w:t>υπερτριπλάσιο</w:t>
      </w:r>
      <w:proofErr w:type="spellEnd"/>
      <w:r w:rsidRPr="00D2031A">
        <w:t xml:space="preserve"> του επιπέδου του 4,7 % στις ΗΠΑ</w:t>
      </w:r>
      <w:r w:rsidRPr="00D2031A">
        <w:rPr>
          <w:rStyle w:val="FootnoteReference"/>
        </w:rPr>
        <w:footnoteReference w:id="6"/>
      </w:r>
      <w:r w:rsidRPr="00D2031A">
        <w:t>) και ότι οι πολίτες της ΕΕ κατείχαν το 31,01 % των αποταμιεύσεών τους (11,63 τρισεκατομμύρια EUR) σε μετρητά και καταθέσεις (σε σύγκριση με το 12,1 % στις Ηνωμένες Πολιτείες), οι οποίες προσφέρουν μόνο περιορισμένες αποδόσεις· λαμβάνοντας υπόψη ότι κατείχαν το 36 % (13,42 τρισεκατομμύρια EUR) σε μετοχές και επενδυτικά κεφάλαια (49,1 % στις Ηνωμένες Πολιτείες) και το 27 % (10,06 τρισεκατομμύρια EUR) σε ασφαλίσεις, συντάξεις και τυποποιημένες εγγυήσεις</w:t>
      </w:r>
      <w:r w:rsidRPr="00D2031A">
        <w:rPr>
          <w:rStyle w:val="FootnoteReference"/>
        </w:rPr>
        <w:footnoteReference w:id="7"/>
      </w:r>
      <w:r w:rsidRPr="00D2031A">
        <w:t xml:space="preserve"> (27,5 % στις Ηνωμένες Πολιτείες)·</w:t>
      </w:r>
    </w:p>
    <w:p w14:paraId="410A8562" w14:textId="77777777" w:rsidR="0090410D" w:rsidRPr="00D2031A" w:rsidRDefault="0090410D" w:rsidP="0090410D">
      <w:pPr>
        <w:pStyle w:val="NormalHanging12a"/>
        <w:rPr>
          <w:snapToGrid/>
        </w:rPr>
      </w:pPr>
      <w:r w:rsidRPr="00D2031A">
        <w:t>ΙΒ.</w:t>
      </w:r>
      <w:r w:rsidRPr="00D2031A">
        <w:tab/>
        <w:t>λαμβάνοντας υπόψη ότι έως και 8 τρισεκατομμύρια EUR θα μπορούσαν να διοχετευθούν σε επενδυτικά μέσα βασιζόμενα στην αγορά – που ισοδυναμούν με περίπου 350 δισεκατομμυρίων EUR ετησίως</w:t>
      </w:r>
      <w:r w:rsidRPr="00D2031A">
        <w:rPr>
          <w:rStyle w:val="FootnoteReference"/>
        </w:rPr>
        <w:footnoteReference w:id="8"/>
      </w:r>
      <w:r w:rsidRPr="00D2031A">
        <w:t xml:space="preserve"> –, εάν τα νοικοκυριά της ΕΕ προσαρμόσουν την κατανομή τους μεταξύ καταθέσεων και χρηματοοικονομικών περιουσιακών στοιχείων ώστε να αντικατοπτρίζουν τη δομή που παρατηρείται στα νοικοκυριά των ΗΠΑ·</w:t>
      </w:r>
    </w:p>
    <w:p w14:paraId="4BABD8F1" w14:textId="3ACB56EF" w:rsidR="0090410D" w:rsidRPr="00D2031A" w:rsidRDefault="0090410D" w:rsidP="0090410D">
      <w:pPr>
        <w:pStyle w:val="NormalHanging12a"/>
      </w:pPr>
      <w:r w:rsidRPr="00D2031A">
        <w:t>ΙΓ.</w:t>
      </w:r>
      <w:r w:rsidRPr="00D2031A">
        <w:tab/>
        <w:t>λαμβάνοντας υπόψη ότι τα ευρωπαϊκά νοικοκυριά επενδύουν περίπου 300 δισ</w:t>
      </w:r>
      <w:r w:rsidR="00CB275B" w:rsidRPr="00D2031A">
        <w:t>εκατομμύρια</w:t>
      </w:r>
      <w:r w:rsidRPr="00D2031A">
        <w:t xml:space="preserve"> EUR</w:t>
      </w:r>
      <w:r w:rsidRPr="00D2031A">
        <w:rPr>
          <w:rStyle w:val="FootnoteReference"/>
        </w:rPr>
        <w:footnoteReference w:id="9"/>
      </w:r>
      <w:r w:rsidRPr="00D2031A">
        <w:t xml:space="preserve"> ετησίως εκτός της ΕΕ – κυρίως στις Ηνωμένες Πολιτείες –· λαμβάνοντας υπόψη ότι το ποσό αυτό είναι συγκρίσιμο με το πρόσθετο κεφάλαιο που θα μπορούσε να κινητοποιηθεί εντός της ΕΕ υπό συνθήκες περισσότερο προσανατολισμένες στην αγορά·</w:t>
      </w:r>
    </w:p>
    <w:p w14:paraId="1AAE7550" w14:textId="77777777" w:rsidR="0090410D" w:rsidRPr="00D2031A" w:rsidRDefault="0090410D" w:rsidP="0090410D">
      <w:pPr>
        <w:pStyle w:val="NormalHanging12a"/>
      </w:pPr>
      <w:r w:rsidRPr="00D2031A">
        <w:t>ΙΔ.</w:t>
      </w:r>
      <w:r w:rsidRPr="00D2031A">
        <w:tab/>
        <w:t>λαμβάνοντας υπόψη ότι περίπου το 70 % της εταιρικής χρηματοδότησης στην ΕΕ έχει τη μορφή δανεισμού από τράπεζες, σε αντίθεση με τις ΗΠΑ, όπου περίπου το 77 % της εταιρικής χρηματοδότησης χρηματοδοτείται από τις κεφαλαιαγορές·</w:t>
      </w:r>
    </w:p>
    <w:p w14:paraId="31D736C9" w14:textId="77777777" w:rsidR="0090410D" w:rsidRPr="00D2031A" w:rsidRDefault="0090410D" w:rsidP="0090410D">
      <w:pPr>
        <w:pStyle w:val="NormalHanging12a"/>
      </w:pPr>
      <w:r w:rsidRPr="00D2031A">
        <w:t>ΙΕ.</w:t>
      </w:r>
      <w:r w:rsidRPr="00D2031A">
        <w:tab/>
        <w:t xml:space="preserve">λαμβάνοντας υπόψη ότι, σύμφωνα με την έκθεση </w:t>
      </w:r>
      <w:proofErr w:type="spellStart"/>
      <w:r w:rsidRPr="00D2031A">
        <w:t>Draghi</w:t>
      </w:r>
      <w:proofErr w:type="spellEnd"/>
      <w:r w:rsidRPr="00D2031A">
        <w:t>, μεταξύ 2008 και 2021, ιδρύθηκαν 147 ευρωπαϊκές εταιρείες-</w:t>
      </w:r>
      <w:proofErr w:type="spellStart"/>
      <w:r w:rsidRPr="00D2031A">
        <w:t>μονόκεροι</w:t>
      </w:r>
      <w:proofErr w:type="spellEnd"/>
      <w:r w:rsidRPr="00D2031A">
        <w:t xml:space="preserve"> (νεοφυείς επιχειρήσεις αξίας ενός δισεκατομμυρίου USD και άνω), 40 από τις οποίες μετέφεραν την έδρα τους στο </w:t>
      </w:r>
      <w:r w:rsidRPr="00D2031A">
        <w:lastRenderedPageBreak/>
        <w:t>εξωτερικό, κυρίως στις ΗΠΑ· λαμβάνοντας υπόψη ότι ο διοικητικός φόρτος της Ένωσης εκτιμάται σε περίπου 150 δισεκατομμύρια EUR (1,3 % του ετήσιου ΑΕΠ), ότι οι εσωτερικοί φραγμοί παρουσιάζονται, σύμφωνα με το Διεθνές Νομισματικό Ταμείο (ΔΝΤ), ως δασμός 100 % στην εσωτερική αγορά και ότι μόνο 4 από τις 50 κορυφαίες εταιρείες τεχνολογίας παγκοσμίως είναι ευρωπαϊκές·</w:t>
      </w:r>
    </w:p>
    <w:p w14:paraId="285D83C1" w14:textId="77777777" w:rsidR="0090410D" w:rsidRPr="00D2031A" w:rsidRDefault="0090410D" w:rsidP="0090410D">
      <w:pPr>
        <w:pStyle w:val="NormalHanging12a"/>
        <w:rPr>
          <w:snapToGrid/>
        </w:rPr>
      </w:pPr>
      <w:r w:rsidRPr="00D2031A">
        <w:t>ΙΣΤ.</w:t>
      </w:r>
      <w:r w:rsidRPr="00D2031A">
        <w:tab/>
        <w:t>λαμβάνοντας υπόψη ότι οι δαπάνες για έρευνα και ανάπτυξη αντιπροσώπευαν το 2,2 % του ΑΕΠ της ΕΕ το 2023, αλλά το 3,4 % στις ΗΠΑ και το 2,6 % στην Κίνα, ενώ η στρατηγική της Λισαβόνας του 2000 έχει θέσει ως στόχο δαπανών για έρευνα και ανάπτυξη το 3 %· λαμβάνοντας υπόψη ότι από το σύνολο των δαπανών έρευνας και ανάπτυξης στην ΕΕ, ο ιδιωτικός τομέας αντιπροσώπευε το μερίδιο του 66 %, σε σύγκριση με 78 % στις ΗΠΑ και 77,7 % στην Κίνα·</w:t>
      </w:r>
    </w:p>
    <w:p w14:paraId="26944893" w14:textId="77777777" w:rsidR="0090410D" w:rsidRPr="00D2031A" w:rsidRDefault="0090410D" w:rsidP="0090410D">
      <w:pPr>
        <w:pStyle w:val="NormalHanging12a"/>
      </w:pPr>
      <w:r w:rsidRPr="00D2031A">
        <w:t>ΙΖ.</w:t>
      </w:r>
      <w:r w:rsidRPr="00D2031A">
        <w:tab/>
        <w:t>λαμβάνοντας υπόψη ότι, σύμφωνα με το ΔΝΤ, οι εναπομένοντες μη δασμολογικοί φραγμοί που περιορίζουν το εμπόριο εντός της ΕΕ εκτιμάται ότι βρίσκονται σε δασμολογικό επίπεδο της τάξης του 45 % περίπου για τον μέσο μεταποιητικό τομέα (τριπλάσιο του επιπέδου που εκτιμάται για τις πολιτείες των ΗΠΑ) και του 110 % για τον μέσο όρο του τομέα των υπηρεσιών</w:t>
      </w:r>
      <w:r w:rsidRPr="00D2031A">
        <w:rPr>
          <w:rStyle w:val="FootnoteReference"/>
        </w:rPr>
        <w:footnoteReference w:id="10"/>
      </w:r>
      <w:r w:rsidRPr="00D2031A">
        <w:t>· λαμβάνοντας υπόψη ότι μεταξύ των αναφερόμενων φραγμών στην ενιαία αγορά, οι μικρές και μεσαίου μεγέθους επιχειρήσεις (ΜΜΕ) επισήμαναν τον ΦΠΑ για το 17 %, την πρόσβαση στην αγορά για το 12 %, τη χρηματοδότηση για το 10 % και τις απαιτήσεις των αγορών για το 6 %</w:t>
      </w:r>
      <w:r w:rsidRPr="00D2031A">
        <w:rPr>
          <w:rStyle w:val="FootnoteReference"/>
        </w:rPr>
        <w:footnoteReference w:id="11"/>
      </w:r>
      <w:r w:rsidRPr="00D2031A">
        <w:t>·</w:t>
      </w:r>
    </w:p>
    <w:p w14:paraId="21B0F17E" w14:textId="77777777" w:rsidR="0090410D" w:rsidRPr="00D2031A" w:rsidRDefault="0090410D" w:rsidP="0090410D">
      <w:pPr>
        <w:pStyle w:val="NormalHanging12a"/>
      </w:pPr>
      <w:r w:rsidRPr="00D2031A">
        <w:t>ΙΗ.</w:t>
      </w:r>
      <w:r w:rsidRPr="00D2031A">
        <w:tab/>
        <w:t>λαμβάνοντας υπόψη ότι οι ευρωπαϊκές κεφαλαιαγορές είναι ιδιαίτερα κατακερματισμένες, με σημαντικό αριθμό τόπων διαπραγμάτευσης να λειτουργούν σε ολόκληρη την ήπειρο και ιδίως, τον Μάρτιο του 2023, υπήρχαν 295 τόποι διαπραγμάτευσης, 14 κεντρικοί αντισυμβαλλόμενοι (CCP) και 32 κεντρικά αποθετήρια τίτλων (ΚΑΤ) στην ΕΕ· λαμβάνοντας υπόψη ότι το 56-68 % των συναλλαγών στον τόπο διαπραγμάτευσης το 2023 πραγματοποιήθηκαν στο εγχώριο χρηματιστήριο για τους πέντε σημαντικότερους δείκτες μετοχών της Δυτικής Ευρώπης (AEX 25, CAC 40, DAX 40, IBEX 35 και MIB 40)</w:t>
      </w:r>
      <w:r w:rsidRPr="00D2031A">
        <w:rPr>
          <w:rStyle w:val="FootnoteReference"/>
        </w:rPr>
        <w:footnoteReference w:id="12"/>
      </w:r>
      <w:r w:rsidRPr="00D2031A">
        <w:t>·</w:t>
      </w:r>
    </w:p>
    <w:p w14:paraId="1C2D2A32" w14:textId="77777777" w:rsidR="0090410D" w:rsidRPr="00D2031A" w:rsidRDefault="0090410D" w:rsidP="0090410D">
      <w:pPr>
        <w:pStyle w:val="NormalHanging12a"/>
      </w:pPr>
      <w:r w:rsidRPr="00D2031A">
        <w:t>ΙΘ.</w:t>
      </w:r>
      <w:r w:rsidRPr="00D2031A">
        <w:tab/>
        <w:t>λαμβάνοντας υπόψη ότι η ολοκλήρωση των κεφαλαιαγορών, αν και αναγκαία, δεν επαρκεί από μόνη της για την επίτευξη της στοχευμένης αύξησης των επενδύσεων· λαμβάνοντας υπόψη ότι τα φορολογικά καθεστώτα και τα καθεστώτα αφερεγγυότητας σε όλα τα κράτη μέλη εξακολουθούν να μην είναι σε μεγάλο βαθμό ευθυγραμμισμένα·</w:t>
      </w:r>
    </w:p>
    <w:p w14:paraId="0BB87538" w14:textId="77777777" w:rsidR="0090410D" w:rsidRPr="00D2031A" w:rsidRDefault="0090410D" w:rsidP="0090410D">
      <w:pPr>
        <w:pStyle w:val="NormalHanging12a"/>
      </w:pPr>
      <w:r w:rsidRPr="00D2031A">
        <w:t>Κ.</w:t>
      </w:r>
      <w:r w:rsidRPr="00D2031A">
        <w:tab/>
        <w:t xml:space="preserve">λαμβάνοντας υπόψη ότι, σύμφωνα με την έκθεση </w:t>
      </w:r>
      <w:proofErr w:type="spellStart"/>
      <w:r w:rsidRPr="00D2031A">
        <w:t>Letta</w:t>
      </w:r>
      <w:proofErr w:type="spellEnd"/>
      <w:r w:rsidRPr="00D2031A">
        <w:t xml:space="preserve">, ο φορολογικός κατακερματισμός εξακολουθεί να αποτελεί σημαντικό φραγμό για τις επιχειρήσεις της ΕΕ, ιδίως τις ΜΜΕ, και η καλύτερη ευθυγράμμιση χάρη σε ένα πιο συντονισμένο ενωσιακό φορολογικό πλαίσιο είναι καίριας σημασίας για τη διευκόλυνση της </w:t>
      </w:r>
      <w:r w:rsidRPr="00D2031A">
        <w:lastRenderedPageBreak/>
        <w:t>ελεύθερης κυκλοφορίας των εργαζομένων, των αγαθών και των υπηρεσιών και για τη στήριξη της ανάπτυξης και των ιδιωτικών επενδύσεων</w:t>
      </w:r>
      <w:r w:rsidRPr="00D2031A">
        <w:rPr>
          <w:rStyle w:val="FootnoteReference"/>
        </w:rPr>
        <w:footnoteReference w:id="13"/>
      </w:r>
      <w:r w:rsidRPr="00D2031A">
        <w:t>·</w:t>
      </w:r>
    </w:p>
    <w:p w14:paraId="3E758989" w14:textId="77777777" w:rsidR="0090410D" w:rsidRPr="00D2031A" w:rsidRDefault="0090410D" w:rsidP="0090410D">
      <w:pPr>
        <w:pStyle w:val="NormalHanging12a"/>
      </w:pPr>
      <w:r w:rsidRPr="00D2031A">
        <w:t>ΚΑ.</w:t>
      </w:r>
      <w:r w:rsidRPr="00D2031A">
        <w:tab/>
        <w:t>λαμβάνοντας υπόψη ότι η έλλειψη ευκαιριών εξόδου για τους επενδυτές αποτελεί βασικό παράγοντα για την υπανάπτυξη των ταμείων επιχειρηματικών κεφαλαίων και κεφαλαίων ανάπτυξης στην ΕΕ· λαμβάνοντας υπόψη ότι η ΕΕ βασίζεται υπερβολικά στην τραπεζική χρηματοδότηση</w:t>
      </w:r>
      <w:r w:rsidRPr="00D2031A">
        <w:rPr>
          <w:rStyle w:val="FootnoteReference"/>
        </w:rPr>
        <w:footnoteReference w:id="14"/>
      </w:r>
      <w:r w:rsidRPr="00D2031A">
        <w:t>·</w:t>
      </w:r>
    </w:p>
    <w:p w14:paraId="3E2A1C58" w14:textId="77777777" w:rsidR="0090410D" w:rsidRPr="00D2031A" w:rsidRDefault="0090410D" w:rsidP="0090410D">
      <w:pPr>
        <w:pStyle w:val="NormalHanging12a"/>
      </w:pPr>
      <w:r w:rsidRPr="00D2031A">
        <w:t>ΚΒ.</w:t>
      </w:r>
      <w:r w:rsidRPr="00D2031A">
        <w:tab/>
        <w:t>λαμβάνοντας υπόψη ότι ο προϋπολογισμός της ΕΕ θα πρέπει να έχει ως έναν από τους κεντρικούς του στόχους την ανταγωνιστικότητα, να προωθεί από κοινού συμφωνημένες στρατηγικές προτεραιότητες και να χρηματοδοτεί τα ευρωπαϊκά δημόσια αγαθά, συμβάλλοντας έτσι στην αύξηση της παραγωγικότητας και διασφαλίζοντας παράλληλα την οικονομική, κοινωνική και εδαφική συνοχή· λαμβάνοντας υπόψη ότι απαιτείται ισχυρότερος συντονισμός μεταξύ των προϋπολογισμών της ΕΕ και των κρατών μελών προκειμένου να αποφευχθεί ο κατακερματισμός στην ενιαία αγορά και να ενισχυθεί ο συνολικός αντίκτυπος των δημόσιων επενδύσεων·</w:t>
      </w:r>
    </w:p>
    <w:p w14:paraId="708E320F" w14:textId="77777777" w:rsidR="0090410D" w:rsidRPr="00D2031A" w:rsidRDefault="0090410D" w:rsidP="0090410D">
      <w:pPr>
        <w:pStyle w:val="NormalHanging12a"/>
      </w:pPr>
      <w:r w:rsidRPr="00D2031A">
        <w:t>ΚΓ.</w:t>
      </w:r>
      <w:r w:rsidRPr="00D2031A">
        <w:tab/>
        <w:t>λαμβάνοντας υπόψη ότι ασφαλή περιουσιακά στοιχεία έχουν εκδοθεί σε ενωσιακό επίπεδο από Ευρωπαίους εκδότες, όπως η Ευρωπαϊκή Τράπεζα Επενδύσεων, το Ευρωπαϊκό Ταμείο Χρηματοπιστωτικής Σταθερότητας, ο Ευρωπαϊκός Μηχανισμός Σταθερότητας και, από το 1976, η Ευρωπαϊκή Οικονομική Κοινότητα και, στη συνέχεια, η ίδια η ΕΕ</w:t>
      </w:r>
      <w:r w:rsidRPr="00D2031A">
        <w:rPr>
          <w:bCs/>
          <w:iCs/>
          <w:vertAlign w:val="superscript"/>
        </w:rPr>
        <w:footnoteReference w:id="15"/>
      </w:r>
      <w:r w:rsidRPr="00D2031A">
        <w:t>·</w:t>
      </w:r>
    </w:p>
    <w:p w14:paraId="1A235E57" w14:textId="77777777" w:rsidR="0090410D" w:rsidRPr="00D2031A" w:rsidRDefault="0090410D" w:rsidP="0090410D">
      <w:pPr>
        <w:pStyle w:val="NormalHanging12a"/>
      </w:pPr>
      <w:r w:rsidRPr="00D2031A">
        <w:t>ΚΔ.</w:t>
      </w:r>
      <w:r w:rsidRPr="00D2031A">
        <w:tab/>
        <w:t>λαμβάνοντας υπόψη ότι η χρηματοδότηση με ίδια κεφάλαια έχει σημαντικό αναξιοποίητο δυναμικό όσον αφορά τη στήριξη της ανάπτυξης και της καινοτομίας των εταιρειών της ΕΕ·</w:t>
      </w:r>
    </w:p>
    <w:p w14:paraId="59E6F0DE" w14:textId="77777777" w:rsidR="0090410D" w:rsidRPr="00D2031A" w:rsidRDefault="0090410D" w:rsidP="0090410D">
      <w:pPr>
        <w:pStyle w:val="NormalHanging12a"/>
      </w:pPr>
      <w:r w:rsidRPr="00D2031A">
        <w:t>ΚΕ.</w:t>
      </w:r>
      <w:r w:rsidRPr="00D2031A">
        <w:tab/>
        <w:t>λαμβάνοντας υπόψη ότι το μεγαλύτερο μέσο επιμερισμού του κινδύνου της Ένωσης είναι σήμερα το πρόγραμμα InvestEU· λαμβάνοντας υπόψη ότι οι περισσότεροι εταίροι υλοποίησης εξακολουθούν να επικεντρώνονται κυρίως στις επενδύσεις χαμηλότερου κινδύνου·</w:t>
      </w:r>
    </w:p>
    <w:p w14:paraId="0BB35682" w14:textId="77777777" w:rsidR="0090410D" w:rsidRPr="00D2031A" w:rsidRDefault="0090410D" w:rsidP="0090410D">
      <w:pPr>
        <w:pStyle w:val="NormalHanging12a"/>
      </w:pPr>
      <w:r w:rsidRPr="00D2031A">
        <w:t>ΚΣΤ.</w:t>
      </w:r>
      <w:r w:rsidRPr="00D2031A">
        <w:tab/>
        <w:t>λαμβάνοντας υπόψη ότι η πολιτική αντίσταση και τα αποκλίνοντα εθνικά συμφέροντα εμπόδισαν την επίτευξη συναίνεσης για την υλοποίηση μιας Ένωσης Κεφαλαιαγορών·</w:t>
      </w:r>
    </w:p>
    <w:p w14:paraId="7A0A753E" w14:textId="77777777" w:rsidR="0090410D" w:rsidRPr="00D2031A" w:rsidRDefault="0090410D" w:rsidP="0090410D">
      <w:pPr>
        <w:pStyle w:val="Normal12a24b"/>
      </w:pPr>
      <w:r w:rsidRPr="00D2031A">
        <w:rPr>
          <w:rStyle w:val="BoldItalic"/>
        </w:rPr>
        <w:t>Διαμόρφωση ενός κοινού οράματος για την παραγωγικότητα της Ευρώπης και την ανάγκη για βιώσιμη ανάπτυξη</w:t>
      </w:r>
    </w:p>
    <w:p w14:paraId="7E40B851" w14:textId="4AA5D464" w:rsidR="0090410D" w:rsidRPr="00D2031A" w:rsidRDefault="00D2031A" w:rsidP="00D2031A">
      <w:pPr>
        <w:pStyle w:val="NormalHanging12a"/>
        <w:ind w:hanging="573"/>
      </w:pPr>
      <w:r w:rsidRPr="00D2031A">
        <w:t>1.</w:t>
      </w:r>
      <w:r w:rsidRPr="00D2031A">
        <w:tab/>
      </w:r>
      <w:r w:rsidR="0090410D" w:rsidRPr="00D2031A">
        <w:t xml:space="preserve">ζητεί τη γενική κινητοποίηση όλων των νομικών, διοικητικών και οικονομικών πόρων και των διαθέσιμων μέσων για την ενίσχυση της ασφάλειας και της βιομηχανικής και τεχνολογικής κυριαρχίας της ΕΕ, συμπεριλαμβανομένης της ενίσχυσης της </w:t>
      </w:r>
      <w:r w:rsidR="0090410D" w:rsidRPr="00D2031A">
        <w:lastRenderedPageBreak/>
        <w:t>ανθεκτικότητας και της προστασίας των υποδομών ζωτικής σημασίας - όπως τα συστήματα ηλεκτρικής ενέργειας, ύδρευσης και επικοινωνιών - για την προστασία των πολιτών και των επιχειρήσεων της ΕΕ και τον μετριασμό των επιπτώσεων των διακοπών ρεύματος και άλλων σημαντικών διαταραχών, την επιτάχυνση και τις επενδύσεις σε μεταβάσεις, την ενίσχυση της ανταγωνιστικότητας, τη δημιουργία βιώσιμης οικονομικής ανάπτυξης, τη δημιουργία ποιοτικών θέσεων εργασίας, τη στήριξη των ΜΜΕ και τη συμβολή στην ανοδική κοινωνική σύγκλιση και συνοχή, σε ένα πλαίσιο γεωπολιτικής αστάθειας και διεθνών εντάσεων· επισημαίνει ότι η Ευρώπη υστερεί και ότι η περιοχή μας θα διέτρεχε ενδεχομένως τον κίνδυνο να καταστεί ασήμαντη εάν δεν αναληφθεί περαιτέρω δράση·</w:t>
      </w:r>
    </w:p>
    <w:p w14:paraId="13EBF1BE" w14:textId="26BD63AE" w:rsidR="0090410D" w:rsidRPr="00D2031A" w:rsidRDefault="00D2031A" w:rsidP="00D2031A">
      <w:pPr>
        <w:pStyle w:val="NormalHanging12a"/>
        <w:ind w:hanging="573"/>
      </w:pPr>
      <w:r w:rsidRPr="00D2031A">
        <w:t>2.</w:t>
      </w:r>
      <w:r w:rsidRPr="00D2031A">
        <w:tab/>
      </w:r>
      <w:r w:rsidR="0090410D" w:rsidRPr="00D2031A">
        <w:t xml:space="preserve">χαιρετίζει την επανέναρξη της συζήτησης σχετικά με την ανάγκη να αποκατασταθούν η ανταγωνιστικότητα και η παραγωγικότητα και η οικονομική ανάπτυξη της ΕΕ, την οποία </w:t>
      </w:r>
      <w:proofErr w:type="spellStart"/>
      <w:r w:rsidR="0090410D" w:rsidRPr="00D2031A">
        <w:t>επανέφεραν</w:t>
      </w:r>
      <w:proofErr w:type="spellEnd"/>
      <w:r w:rsidR="0090410D" w:rsidRPr="00D2031A">
        <w:t xml:space="preserve"> στο προσκήνιο οι εκθέσεις </w:t>
      </w:r>
      <w:proofErr w:type="spellStart"/>
      <w:r w:rsidR="0090410D" w:rsidRPr="00D2031A">
        <w:t>Draghi</w:t>
      </w:r>
      <w:proofErr w:type="spellEnd"/>
      <w:r w:rsidR="0090410D" w:rsidRPr="00D2031A">
        <w:t xml:space="preserve"> και </w:t>
      </w:r>
      <w:proofErr w:type="spellStart"/>
      <w:r w:rsidR="0090410D" w:rsidRPr="00D2031A">
        <w:t>Letta</w:t>
      </w:r>
      <w:proofErr w:type="spellEnd"/>
      <w:r w:rsidR="0090410D" w:rsidRPr="00D2031A">
        <w:t>· υπενθυμίζει ότι η αύξηση της παραγωγικότητας θα μπορούσε να επιτευχθεί κυρίως μέσω επενδύσεων σε καινοτόμες δραστηριότητες, μεταξύ άλλων και στις μεταβάσεις· επισημαίνει ότι ο ανταγωνισμός μπορεί να τονώσει την παραγωγικότητα, τις επενδύσεις και την καινοτομία·</w:t>
      </w:r>
    </w:p>
    <w:p w14:paraId="5DA5B24E" w14:textId="35876869" w:rsidR="0090410D" w:rsidRPr="00D2031A" w:rsidRDefault="00D2031A" w:rsidP="00D2031A">
      <w:pPr>
        <w:pStyle w:val="NormalHanging12a"/>
        <w:ind w:hanging="573"/>
      </w:pPr>
      <w:r w:rsidRPr="00D2031A">
        <w:t>3.</w:t>
      </w:r>
      <w:r w:rsidRPr="00D2031A">
        <w:tab/>
      </w:r>
      <w:r w:rsidR="0090410D" w:rsidRPr="00D2031A">
        <w:t xml:space="preserve">υιοθετεί τις εκθέσεις </w:t>
      </w:r>
      <w:proofErr w:type="spellStart"/>
      <w:r w:rsidR="0090410D" w:rsidRPr="00D2031A">
        <w:t>Draghi</w:t>
      </w:r>
      <w:proofErr w:type="spellEnd"/>
      <w:r w:rsidR="0090410D" w:rsidRPr="00D2031A">
        <w:t xml:space="preserve"> και </w:t>
      </w:r>
      <w:proofErr w:type="spellStart"/>
      <w:r w:rsidR="0090410D" w:rsidRPr="00D2031A">
        <w:t>Letta</w:t>
      </w:r>
      <w:proofErr w:type="spellEnd"/>
      <w:r w:rsidR="0090410D" w:rsidRPr="00D2031A">
        <w:t xml:space="preserve"> ως μία από τις πολλές εκκλήσεις προς τους ευρωπαϊκούς και εθνικούς φορείς λήψης αποφάσεων, καθώς και ως σημείο εκκίνησης για τη λήψη μέτρων με σκοπό την ενθάρρυνση τόσο των ιδιωτικών όσο και των δημόσιων επενδύσεων, και, ιδίως, για τους τομείς τεχνολογίας που βρίσκονται σε μετάβαση, τον τομέα της αυτοκινητοβιομηχανίας και τις βαριές βιομηχανίες, όπως οι βιομηχανίες άνθρακα και χημικών προϊόντων που βρίσκονται σε μεταβατικό στάδιο· εκφράζει την ικανοποίησή του για το γεγονός ότι η Επιτροπή αναγνωρίζει τον ρόλο της δημόσιας χρηματοδότησης στην κινητοποίηση της ιδιωτικής χρηματοδότησης και στη στήριξη της καινοτομίας στην ΕΕ· επισημαίνει ότι η έλλειψη προόδου όσον αφορά την ολοκλήρωση των χρηματοπιστωτικών αγορών της ΕΕ οφειλόταν συχνά στις επιφυλάξεις των κρατών μελών της ΕΕ· καλεί τα κράτη μέλη να αξιοποιήσουν την υφιστάμενη δυναμική και να συνεργαστούν με το Κοινοβούλιο για την πραγματική προώθηση της ολοκλήρωσης των χρηματοπιστωτικών αγορών της ΕΕ· υπενθυμίζει ότι οι προσπάθειες της ΕΕ για την ολοκλήρωση της Ένωσης Κεφαλαιαγορών δεν έχουν αποφέρει οριστικό αποτέλεσμα από το 2015· ενθαρρύνει όλα τα μέρη να καταβάλλουν προσπάθειες για την επίτευξη της Ένωσης Αποταμιεύσεων και Επενδύσεων το συντομότερο δυνατόν·</w:t>
      </w:r>
    </w:p>
    <w:p w14:paraId="38B64197" w14:textId="31FF986D" w:rsidR="0090410D" w:rsidRPr="00D2031A" w:rsidRDefault="00D2031A" w:rsidP="00D2031A">
      <w:pPr>
        <w:pStyle w:val="NormalHanging12a"/>
        <w:ind w:hanging="573"/>
        <w:rPr>
          <w:snapToGrid/>
        </w:rPr>
      </w:pPr>
      <w:r w:rsidRPr="00D2031A">
        <w:rPr>
          <w:snapToGrid/>
        </w:rPr>
        <w:t>4.</w:t>
      </w:r>
      <w:r w:rsidRPr="00D2031A">
        <w:rPr>
          <w:snapToGrid/>
        </w:rPr>
        <w:tab/>
      </w:r>
      <w:r w:rsidR="0090410D" w:rsidRPr="00D2031A">
        <w:t>σημειώνει με ανησυχία τους κινδύνους αρνητικών κλυδωνισμών στην οικονομική ανάπτυξη</w:t>
      </w:r>
      <w:r w:rsidR="0090410D" w:rsidRPr="00D2031A">
        <w:rPr>
          <w:rStyle w:val="FootnoteReference"/>
        </w:rPr>
        <w:footnoteReference w:id="16"/>
      </w:r>
      <w:r w:rsidR="0090410D" w:rsidRPr="00D2031A">
        <w:t xml:space="preserve"> και τη συνεχιζόμενη αναταραχή στις χρηματοπιστωτικές αγορές και τις γεωπολιτικές αβεβαιότητες που θα μπορούσαν να απειλήσουν την ευημερία ιδίως των Ευρωπαίων πολιτών, εργαζομένων και επιχειρήσεων· σημειώνει ότι οι γεωπολιτικές αβεβαιότητες έχουν ήδη αυξήσει σημαντικά την αστάθεια των χρηματοπιστωτικών αγορών και έχουν συμβάλει στην αποδυνάμωση του δολαρίου ΗΠΑ, καθώς και ότι η ασφάλεια αποτελεί προϋπόθεση για τη βιώσιμη ανάπτυξη·</w:t>
      </w:r>
    </w:p>
    <w:p w14:paraId="42FEFCDF" w14:textId="6AAAB571" w:rsidR="0090410D" w:rsidRPr="00D2031A" w:rsidRDefault="00D2031A" w:rsidP="00D2031A">
      <w:pPr>
        <w:pStyle w:val="NormalHanging12a"/>
        <w:ind w:hanging="573"/>
      </w:pPr>
      <w:r w:rsidRPr="00D2031A">
        <w:t>5.</w:t>
      </w:r>
      <w:r w:rsidRPr="00D2031A">
        <w:tab/>
      </w:r>
      <w:r w:rsidR="0090410D" w:rsidRPr="00D2031A">
        <w:t xml:space="preserve">αναγνωρίζει ότι το ισχυρό κανονιστικό πλαίσιο της ΕΕ έχει συμβάλει στη χρηματοπιστωτική της σταθερότητα· θεωρεί ότι αυτή η νομοθετική σταθερότητα και προβλεψιμότητα θα μπορούσε να αποτελέσει πραγματικό συγκριτικό και </w:t>
      </w:r>
      <w:r w:rsidR="0090410D" w:rsidRPr="00D2031A">
        <w:lastRenderedPageBreak/>
        <w:t>ανταγωνιστικό πλεονέκτημα, δεδομένου ότι οι παράγοντες αυτοί είναι κρίσιμοι για την εμπιστοσύνη των διεθνών επενδυτών· επισημαίνει την εγγενή σχέση μεταξύ του κράτους δικαίου και της βιώσιμης και ανταγωνιστικής οικονομικής ανάπτυξης· επισημαίνει ότι η ευρωστία του χρηματοπιστωτικού τομέα αποτελεί βασικό στοιχείο της ανταγωνιστικότητάς του·</w:t>
      </w:r>
    </w:p>
    <w:p w14:paraId="4B37C7A2" w14:textId="07A5473D" w:rsidR="0090410D" w:rsidRPr="00D2031A" w:rsidRDefault="00D2031A" w:rsidP="00D2031A">
      <w:pPr>
        <w:pStyle w:val="NormalHanging12a"/>
        <w:ind w:hanging="573"/>
        <w:rPr>
          <w:bCs/>
          <w:snapToGrid/>
        </w:rPr>
      </w:pPr>
      <w:r w:rsidRPr="00D2031A">
        <w:rPr>
          <w:bCs/>
          <w:snapToGrid/>
        </w:rPr>
        <w:t>6.</w:t>
      </w:r>
      <w:r w:rsidRPr="00D2031A">
        <w:rPr>
          <w:bCs/>
          <w:snapToGrid/>
        </w:rPr>
        <w:tab/>
      </w:r>
      <w:r w:rsidR="0090410D" w:rsidRPr="00D2031A">
        <w:t>αναγνωρίζει το έργο που έχει πραγματοποιηθεί μέχρι σήμερα για την οικοδόμηση μιας ένωσης κεφαλαιαγορών, αρχής γενομένης από το «Σχέδιο δράσης για την οικοδόμηση Ένωσης Κεφαλαιαγορών» τον Σεπτέμβριο του 2015· εκφράζει τη λύπη του για το γεγονός ότι η πρόοδος στην ολοκλήρωση των κεφαλαιαγορών της ΕΕ υπήρξε έκτοτε περιορισμένη και ζητεί να επιταχυνθεί η διαδικασία αυτή· εκφράζει, εν προκειμένω, την ικανοποίησή του για την έγκριση της ανακοίνωσης της Επιτροπής με τίτλο «Ένωση αποταμιεύσεων και επενδύσεων – Στρατηγική για την προώθηση του πλούτου των πολιτών και της οικονομικής ανταγωνιστικότητας στην ΕΕ», στην οποία περιγράφονται διάφορες πρωτοβουλίες πολιτικής και η οποία αποσκοπεί στην ολοκλήρωση των χρηματοπιστωτικών αγορών της ΕΕ και στην αποτελεσματική διοχέτευση των αποταμιεύσεων σε επενδύσεις·</w:t>
      </w:r>
    </w:p>
    <w:p w14:paraId="35F27CC6" w14:textId="5C10B2B9" w:rsidR="0090410D" w:rsidRPr="00D2031A" w:rsidRDefault="00D2031A" w:rsidP="00D2031A">
      <w:pPr>
        <w:pStyle w:val="NormalHanging12a"/>
        <w:ind w:hanging="573"/>
      </w:pPr>
      <w:r w:rsidRPr="00D2031A">
        <w:t>7.</w:t>
      </w:r>
      <w:r w:rsidRPr="00D2031A">
        <w:tab/>
      </w:r>
      <w:r w:rsidR="0090410D" w:rsidRPr="00D2031A">
        <w:t>τονίζει ότι η ενίσχυση της εμπιστοσύνης στο τραπεζικό σύστημα, η διασφάλιση της χρηματοπιστωτικής σταθερότητας και η προώθηση μιας αποτελεσματικής ενιαίας αγοράς αποτελούν θεμελιώδεις στόχους για την ΕΕ· αναγνωρίζει ότι η ολοκλήρωση της Τραπεζικής Ένωσης πρέπει να αποτελεί στρατηγική προτεραιότητα για την εμβάθυνση της Οικονομικής και Νομισματικής Ένωσης· καλεί το Συμβούλιο να επιταχύνει την έγκριση της εναπομένουσας νομοθεσίας για να διαφυλαχθεί το πλαίσιο χρηματοπιστωτικής σταθερότητάς της και να ολοκληρωθεί η Τραπεζική Ένωση·</w:t>
      </w:r>
    </w:p>
    <w:p w14:paraId="32A9997D" w14:textId="73854E10" w:rsidR="0090410D" w:rsidRPr="00D2031A" w:rsidRDefault="00D2031A" w:rsidP="00D2031A">
      <w:pPr>
        <w:pStyle w:val="NormalHanging12a"/>
        <w:ind w:hanging="573"/>
      </w:pPr>
      <w:r w:rsidRPr="00D2031A">
        <w:t>8.</w:t>
      </w:r>
      <w:r w:rsidRPr="00D2031A">
        <w:tab/>
      </w:r>
      <w:r w:rsidR="0090410D" w:rsidRPr="00D2031A">
        <w:t>επιμένει στον επείγουσα ανάγκη ανάληψης δράσης, επιτάχυνσης της λήψης αποφάσεων, μείωσης των καθυστερήσεων εφαρμογής και επιτάχυνσης των αποφάσεων σχετικά με τα μέσα και τους μηχανισμούς στήριξης της ΕΕ·</w:t>
      </w:r>
    </w:p>
    <w:p w14:paraId="2F7216EB" w14:textId="0D222F82" w:rsidR="0090410D" w:rsidRPr="00D2031A" w:rsidRDefault="00D2031A" w:rsidP="00D2031A">
      <w:pPr>
        <w:pStyle w:val="NormalHanging12a"/>
        <w:ind w:hanging="573"/>
      </w:pPr>
      <w:r w:rsidRPr="00D2031A">
        <w:t>9.</w:t>
      </w:r>
      <w:r w:rsidRPr="00D2031A">
        <w:tab/>
      </w:r>
      <w:r w:rsidR="0090410D" w:rsidRPr="00D2031A">
        <w:t xml:space="preserve">θεωρεί ότι η Ένωση πρέπει να προωθήσει την Ένωση Κεφαλαιαγορών για τη μόχλευση επενδύσεων του ιδιωτικού τομέα· τονίζει ότι θα απαιτηθεί επίσης στήριξη από τον δημόσιο τομέα για την επίτευξη των ελάχιστων ετήσιων πρόσθετων επενδύσεων που απαιτούνται για την αποκατάσταση ενός βιώσιμου και καινοτόμου βιομηχανικού τομέα και για την εδραίωση της ευημερίας της Ένωσης· επισημαίνει ότι η αύξηση της παραγωγικότητας θα δημιουργούσε επίσης μεγαλύτερα δημοσιονομικά περιθώρια· </w:t>
      </w:r>
    </w:p>
    <w:p w14:paraId="46E60C4A" w14:textId="24AC9D7B" w:rsidR="0090410D" w:rsidRPr="00D2031A" w:rsidRDefault="00D2031A" w:rsidP="00D2031A">
      <w:pPr>
        <w:pStyle w:val="NormalHanging12a"/>
        <w:ind w:hanging="573"/>
      </w:pPr>
      <w:r w:rsidRPr="00D2031A">
        <w:t>10.</w:t>
      </w:r>
      <w:r w:rsidRPr="00D2031A">
        <w:tab/>
      </w:r>
      <w:r w:rsidR="0090410D" w:rsidRPr="00D2031A">
        <w:t>επισημαίνει ότι ένα υπερβολικά μεγάλο μέρος του κεφαλαίου δεν χρησιμοποιείται παραγωγικά στην ΕΕ· επισημαίνει ότι οι επιχειρήσεις, ιδίως οι ΜΜΕ, δεν είναι σε θέση να αξιοποιήσουν πλήρως τις υφιστάμενες κεφαλαιαγορές στην Ευρώπη για χρηματοδότηση και επενδύσεις·</w:t>
      </w:r>
    </w:p>
    <w:p w14:paraId="02724156" w14:textId="5D691DE4" w:rsidR="0090410D" w:rsidRPr="00D2031A" w:rsidRDefault="00D2031A" w:rsidP="00D2031A">
      <w:pPr>
        <w:pStyle w:val="NormalHanging12a"/>
        <w:tabs>
          <w:tab w:val="left" w:pos="6663"/>
        </w:tabs>
        <w:ind w:hanging="573"/>
        <w:rPr>
          <w:snapToGrid/>
        </w:rPr>
      </w:pPr>
      <w:r w:rsidRPr="00D2031A">
        <w:rPr>
          <w:snapToGrid/>
        </w:rPr>
        <w:t>11.</w:t>
      </w:r>
      <w:r w:rsidRPr="00D2031A">
        <w:rPr>
          <w:snapToGrid/>
        </w:rPr>
        <w:tab/>
      </w:r>
      <w:r w:rsidR="0090410D" w:rsidRPr="00D2031A">
        <w:t xml:space="preserve">διαπιστώνει, μετά λύπης, ότι πολλοί επιχειρηματίες που εδρεύουν στην ΕΕ πιστεύουν ότι πρέπει να </w:t>
      </w:r>
      <w:proofErr w:type="spellStart"/>
      <w:r w:rsidR="0090410D" w:rsidRPr="00D2031A">
        <w:t>μετεγκαταστήσουν</w:t>
      </w:r>
      <w:proofErr w:type="spellEnd"/>
      <w:r w:rsidR="0090410D" w:rsidRPr="00D2031A">
        <w:t xml:space="preserve"> τις επιχειρήσεις τους προκειμένου να έχουν ευκολότερη πρόσβαση σε χρηματοδότηση και πόρους· σημειώνει με ανησυχία το γεγονός ότι η έλλειψη μεγάλης κλίμακας ταμείων επιχειρηματικών κεφαλαίων και οικονομικά βιώσιμων δυνατοτήτων εξόδου στην ΕΕ τούς ωθεί να επεκταθούν με ξένες επενδύσεις και σε ξένες αγορές· σημειώνει ότι αυτό οφείλεται στην έλλειψη ολοκληρωμένης Ένωσης Κεφαλαιαγορών στην ΕΕ και στο γεγονός ότι οι αγορές της ΕΕ δεν είναι ακόμη σε θέση να καλύψουν τις ανάγκες τους· υπενθυμίζει ότι η ΕΕ δημιουργεί περισσότερες νεοφυείς επιχειρήσεις από ό,τι οι Ηνωμένες Πολιτείες </w:t>
      </w:r>
      <w:r w:rsidR="0090410D" w:rsidRPr="00D2031A">
        <w:lastRenderedPageBreak/>
        <w:t>ετησίως και ότι η απόδοση των επενδύσεων επιχειρηματικών κεφαλαίων είναι περίπου 6 % υψηλότερη στην ΕΕ από ό,τι στις ΗΠΑ</w:t>
      </w:r>
      <w:r w:rsidR="0090410D" w:rsidRPr="00D2031A">
        <w:rPr>
          <w:rStyle w:val="FootnoteReference"/>
        </w:rPr>
        <w:footnoteReference w:id="17"/>
      </w:r>
      <w:r w:rsidR="0090410D" w:rsidRPr="00D2031A">
        <w:t xml:space="preserve">, υπογραμμίζοντας την ανάγκη τα θεσμικά όργανα της ΕΕ να προωθήσουν ένα πιο ελκυστικό και υποστηρικτικό περιβάλλον για την καινοτομία και την ανάπτυξη· συμφωνεί με τις εκθέσεις </w:t>
      </w:r>
      <w:proofErr w:type="spellStart"/>
      <w:r w:rsidR="0090410D" w:rsidRPr="00D2031A">
        <w:t>Draghi</w:t>
      </w:r>
      <w:proofErr w:type="spellEnd"/>
      <w:r w:rsidR="0090410D" w:rsidRPr="00D2031A">
        <w:t xml:space="preserve"> και </w:t>
      </w:r>
      <w:proofErr w:type="spellStart"/>
      <w:r w:rsidR="0090410D" w:rsidRPr="00D2031A">
        <w:t>Letta</w:t>
      </w:r>
      <w:proofErr w:type="spellEnd"/>
      <w:r w:rsidR="0090410D" w:rsidRPr="00D2031A">
        <w:t xml:space="preserve"> ότι η ΕΕ θα πρέπει να αναπτύξει περαιτέρω τις αγορές επιχειρηματικών κεφαλαίων και, ως εκ τούτου, τονίζει τη σημασία της ανάπτυξης ενός ισχυρού οικοσυστήματος για επιχειρηματικά κεφάλαια και επενδύσεις στην ΕΕ και ζητεί την ανάπτυξη επιχειρηματικών κεφαλαίων και κεφαλαίων επιχειρηματικού κινδύνου προκειμένου οι εταιρείες να πραγματοποιούν επενδύσεις στις αγορές μας, όπως επαρκώς μεγάλη ευρωπαϊκή ανάπτυξη και εξαγορά κεφαλαίων· επισημαίνει ότι η δημόσια στήριξη στις αγορές επιχειρηματικών κεφαλαίων θα πρέπει να δίνει προτεραιότητα σε έργα που ευθυγραμμίζονται με τις προτεραιότητες της ΕΕ·</w:t>
      </w:r>
    </w:p>
    <w:p w14:paraId="74413A89" w14:textId="23E6842B" w:rsidR="0090410D" w:rsidRPr="00D2031A" w:rsidRDefault="00D2031A" w:rsidP="00D2031A">
      <w:pPr>
        <w:pStyle w:val="NormalHanging12a"/>
        <w:ind w:hanging="573"/>
      </w:pPr>
      <w:r w:rsidRPr="00D2031A">
        <w:t>12.</w:t>
      </w:r>
      <w:r w:rsidRPr="00D2031A">
        <w:tab/>
      </w:r>
      <w:r w:rsidR="0090410D" w:rsidRPr="00D2031A">
        <w:t>επισημαίνει ότι οι ευρωπαϊκές χρηματοπιστωτικές αγορές πρέπει να είναι ελκυστικές και εύκολα προσβάσιμες τόσο για τους εκδότες όσο και για τους επενδυτές· υπογραμμίζει ότι αυτό ισχύει τόσο για την πρωτογενή όσο και για τη δευτερογενή αγορά· επισημαίνει ότι η απόφαση εισαγωγής σε ρυθμιζόμενη αγορά συνοδεύεται συχνά από πρόσθετες απαιτήσεις για τις εταιρείες, μεταξύ άλλων για την προστασία των επενδυτών· σημειώνει ότι οι απαιτήσεις αυτές μπορούν να εκληφθούν ως μειονέκτημα της εισαγωγής στο χρηματιστήριο· καλεί την Επιτροπή να παρακολουθεί συνεχώς και να μειώσει το διοικητικό κόστος και το κόστος συμμόρφωσης των εισηγμένων στο χρηματιστήριο εταιρειών, ιδίως για τις μικρές και μεσαίες εταιρείες· εκφράζει την ικανοποίησή του για την πρόσφατη έγκριση της πράξης για την εισαγωγή στο χρηματιστήριο, ως πρώτο βήμα το οποίο θα διευκολύνει την εισαγωγή εταιρειών όλων των μεγεθών, συμπεριλαμβανομένων των ΜΜΕ, στα ευρωπαϊκά χρηματιστήρια· ζητεί τη ρεαλιστική εφαρμογή της πράξης για την εισαγωγή στο χρηματιστήριο και καλεί την Επιτροπή να αξιοποιήσει περαιτέρω την πρωτοβουλία αυτή, ιδίως όσον αφορά την έρευνα μετοχών για τις ΜΜΕ και την ενίσχυση των αγορών ανάπτυξης ΜΜΕ, οι οποίες έχουν βοηθήσει τις μικρότερες εταιρείες να δημοσιοποιηθούν·</w:t>
      </w:r>
    </w:p>
    <w:p w14:paraId="056F7FC1" w14:textId="79509810" w:rsidR="0090410D" w:rsidRPr="00D2031A" w:rsidRDefault="00D2031A" w:rsidP="00D2031A">
      <w:pPr>
        <w:pStyle w:val="NormalHanging12a"/>
        <w:ind w:hanging="573"/>
      </w:pPr>
      <w:r w:rsidRPr="00D2031A">
        <w:t>13.</w:t>
      </w:r>
      <w:r w:rsidRPr="00D2031A">
        <w:tab/>
      </w:r>
      <w:r w:rsidR="0090410D" w:rsidRPr="00D2031A">
        <w:t>τονίζει ότι οι δημόσιες επενδύσεις διαδραματίζουν καίριο ρόλο, συμπληρωματικά προς τις ιδιωτικές επενδύσεις· παροτρύνει την Επιτροπή να εκδώσει προτάσεις που θα αποσκοπούν στην κινητοποίηση πρόσθετου κεφαλαίου, για τη στήριξη των στόχων που ορίζονται στο άρθρο 3 της Συνθήκης για την Ευρωπαϊκή Ένωση· πιστεύει ότι τα χρηματοδοτικά μέσα και οι δημοσιονομικές εγγυήσεις αποτελούν αποτελεσματική χρήση των πόρων για την προώθηση των κρίσιμων στόχων της πολιτικής της ΕΕ· επαναλαμβάνει ότι οι καλά σχεδιασμένες δημοσιονομικές εγγυήσεις και τα χρηματοδοτικά μέσα, όταν βασίζονται στις ανάγκες της αγοράς, αποτελούν εξαιρετικά αποδοτική χρήση των περιορισμένων δημοσιονομικών πόρων της ΕΕ για την ελαχιστοποίηση των επενδυτικών κινδύνων και την προσέλκυση ιδιωτικών κεφαλαίων·</w:t>
      </w:r>
    </w:p>
    <w:p w14:paraId="2184BB66" w14:textId="465D0333" w:rsidR="0090410D" w:rsidRPr="00D2031A" w:rsidRDefault="00D2031A" w:rsidP="00D2031A">
      <w:pPr>
        <w:pStyle w:val="NormalHanging12a"/>
        <w:ind w:hanging="573"/>
      </w:pPr>
      <w:r w:rsidRPr="00D2031A">
        <w:t>14.</w:t>
      </w:r>
      <w:r w:rsidRPr="00D2031A">
        <w:tab/>
      </w:r>
      <w:r w:rsidR="0090410D" w:rsidRPr="00D2031A">
        <w:t xml:space="preserve">τονίζει ότι οι δημόσιοι πόροι θα πρέπει να επικεντρώνονται στη διασφάλιση της ποιότητας, της αποδοτικότητας, της βιωσιμότητας και της προσβασιμότητας των δημόσιων υπηρεσιών και υποδομών, ιδίως όσων συνδέονται με τις υπηρεσίες γενικού συμφέροντος, ενώ παράλληλα θα πρέπει να λειτουργούν ως καταλύτης για τις ιδιωτικές </w:t>
      </w:r>
      <w:r w:rsidR="0090410D" w:rsidRPr="00D2031A">
        <w:lastRenderedPageBreak/>
        <w:t>επενδύσεις σε καινοτόμες και καθαρές τεχνολογίες και βιομηχανίες υπό σαφώς καθορισμένους όρους·</w:t>
      </w:r>
    </w:p>
    <w:p w14:paraId="7C15F8F0" w14:textId="40097868" w:rsidR="0090410D" w:rsidRPr="00D2031A" w:rsidRDefault="00D2031A" w:rsidP="00D2031A">
      <w:pPr>
        <w:spacing w:after="240"/>
        <w:ind w:left="567" w:hanging="573"/>
      </w:pPr>
      <w:r w:rsidRPr="00D2031A">
        <w:t>15.</w:t>
      </w:r>
      <w:r w:rsidRPr="00D2031A">
        <w:tab/>
      </w:r>
      <w:r w:rsidR="0090410D" w:rsidRPr="00D2031A">
        <w:t xml:space="preserve">τονίζει ότι η γεφύρωση του επενδυτικού χάσματος δεν είναι μόνο ζήτημα κινητοποίησης μεγάλων χρηματοδοτικών όγκων, αλλά και διασφάλισης του εξοπλισμού της ΕΕ με τα μέσα που χρειάζεται να διοχετεύει κεφάλαια σε παραγωγικές επενδύσεις· υπογραμμίζει ότι η θεσμική ικανότητα, η ρυθμιστική σαφήνεια και η ποιότητα των έργων έχουν ζωτική σημασία για την αποτελεσματική χρήση των δημόσιων και ιδιωτικών κεφαλαίων· σημειώνει, στο πλαίσιο αυτό, ότι, λόγω διαφόρων παραγόντων, συμπεριλαμβανομένης της περιορισμένης πρόσβασης σε ένα ευρύτερο χαρτοφυλάκιο της αγοράς, της ποιότητας των προϊόντων και των τελών, πολλά προϊόντα της ΕΕ δεν προσφέρουν επαρκείς αποδόσεις· </w:t>
      </w:r>
    </w:p>
    <w:p w14:paraId="71FC1AED" w14:textId="604EBDD9" w:rsidR="0090410D" w:rsidRPr="00D2031A" w:rsidRDefault="00D2031A" w:rsidP="00D2031A">
      <w:pPr>
        <w:pStyle w:val="NormalHanging12a"/>
        <w:ind w:hanging="573"/>
      </w:pPr>
      <w:r w:rsidRPr="00D2031A">
        <w:t>16.</w:t>
      </w:r>
      <w:r w:rsidRPr="00D2031A">
        <w:tab/>
      </w:r>
      <w:r w:rsidR="0090410D" w:rsidRPr="00D2031A">
        <w:t>υπενθυμίζει ότι η αύξηση της παραγωγικότητας θα μπορούσε να επιτευχθεί κυρίως μέσω επενδύσεων σε καινοτόμες δραστηριότητες· υπενθυμίζει ότι ο στόχος της επένδυσης του 3 % του ΑΕΠ στην έρευνα και την καινοτομία απέχει ακόμη πολύ από την επίτευξή του· καλεί την Επιτροπή και τα κράτη μέλη να διασφαλίσουν επαρκή χρηματοδότηση και εργαλεία για την επίτευξη αυτού του στόχου·</w:t>
      </w:r>
    </w:p>
    <w:p w14:paraId="6FA1ED28" w14:textId="4A41FB33" w:rsidR="0090410D" w:rsidRPr="00D2031A" w:rsidRDefault="00D2031A" w:rsidP="00D2031A">
      <w:pPr>
        <w:pStyle w:val="NormalHanging12a"/>
        <w:ind w:hanging="573"/>
      </w:pPr>
      <w:r w:rsidRPr="00D2031A">
        <w:t>17.</w:t>
      </w:r>
      <w:r w:rsidRPr="00D2031A">
        <w:tab/>
      </w:r>
      <w:r w:rsidR="0090410D" w:rsidRPr="00D2031A">
        <w:t>εκφράζει τη λύπη του για το γεγονός ότι το χαμηλό επίπεδο χρηματοοικονομικής εκπαίδευσης σε πολλά κράτη μέλη αποτελεί σημαντική πρόκληση για την οικονομική αυτονομία των πολιτών και για την ανάπτυξη μιας ισχυρής και ανταγωνιστικής οικονομίας· υπενθυμίζει ότι η ανεπαρκής χρηματοοικονομική εκπαίδευση εμποδίζει την ικανότητα του πληθυσμού να λαμβάνει τεκμηριωμένες αποφάσεις σχετικά με την αποταμίευση, τις επενδύσεις και τον σχεδιασμό της συνταξιοδότησης· επιβεβαιώνει ότι αυτό το χάσμα στη χρηματοοικονομική εκπαίδευση εμποδίζει την ανάπτυξη μιας επενδυτικής νοοτροπίας η οποία είναι ζωτικής σημασίας για την οικονομική ανάπτυξη· υπογραμμίζει τη σημασία μιας φιλόδοξης, μετρήσιμης και αποφασιστικής στρατηγικής της ΕΕ για την προώθηση του χρηματοοικονομικού αλφαβητισμού στην Ευρώπη, ο οποίος θα δώσει στους πολίτες τη δυνατότητα να προστατεύουν και να κινητοποιούν καλύτερα τις αποταμιεύσεις τους και να αξιοποιούν μια ελκυστικότερη κεφαλαιαγορά·</w:t>
      </w:r>
    </w:p>
    <w:p w14:paraId="32140980" w14:textId="77777777" w:rsidR="0090410D" w:rsidRPr="00D2031A" w:rsidRDefault="0090410D" w:rsidP="0090410D">
      <w:pPr>
        <w:pStyle w:val="Normal12a24b"/>
      </w:pPr>
      <w:r w:rsidRPr="00D2031A">
        <w:rPr>
          <w:rStyle w:val="BoldItalic"/>
        </w:rPr>
        <w:t>Κινητοποίηση ιδιωτικών επενδύσεων και διευκόλυνση της πρόσβασης σε χρηματοδότηση με την ανάπτυξη μιας ένωσης αποταμιεύσεων και επενδύσεων</w:t>
      </w:r>
    </w:p>
    <w:p w14:paraId="45BD319E" w14:textId="6267FC2B" w:rsidR="0090410D" w:rsidRPr="00D2031A" w:rsidRDefault="00D2031A" w:rsidP="00D2031A">
      <w:pPr>
        <w:pStyle w:val="Normal12a24b"/>
        <w:ind w:left="567" w:hanging="570"/>
      </w:pPr>
      <w:r w:rsidRPr="00D2031A">
        <w:t>18.</w:t>
      </w:r>
      <w:r w:rsidRPr="00D2031A">
        <w:tab/>
      </w:r>
      <w:r w:rsidR="0090410D" w:rsidRPr="00D2031A">
        <w:t xml:space="preserve">εκφράζει επιδοκιμασία για τον </w:t>
      </w:r>
      <w:proofErr w:type="spellStart"/>
      <w:r w:rsidR="0090410D" w:rsidRPr="00D2031A">
        <w:t>αυτοεπιβληθέντα</w:t>
      </w:r>
      <w:proofErr w:type="spellEnd"/>
      <w:r w:rsidR="0090410D" w:rsidRPr="00D2031A">
        <w:t xml:space="preserve"> στόχο της Επιτροπής να είναι μια «Επιτροπή επενδύσεων» και να απελευθερώσει τη χρηματοδότηση που απαιτείται για την πράσινη, την ψηφιακή και την κοινωνική μετάβαση, καθώς και να μεγιστοποιήσει τις συνέργειες μεταξύ δημόσιων και ιδιωτικών επενδύσεων, να αξιοποιήσει τα ιδιωτικά κεφάλαια ως μοχλό και να ελαχιστοποιήσει τους κινδύνους που συνδέονται με αυτά·</w:t>
      </w:r>
    </w:p>
    <w:p w14:paraId="06254422" w14:textId="5CAFE16D" w:rsidR="0090410D" w:rsidRPr="00D2031A" w:rsidRDefault="00D2031A" w:rsidP="00D2031A">
      <w:pPr>
        <w:pStyle w:val="NormalHanging12a"/>
        <w:ind w:hanging="570"/>
        <w:rPr>
          <w:snapToGrid/>
        </w:rPr>
      </w:pPr>
      <w:r w:rsidRPr="00D2031A">
        <w:rPr>
          <w:snapToGrid/>
        </w:rPr>
        <w:t>19.</w:t>
      </w:r>
      <w:r w:rsidRPr="00D2031A">
        <w:rPr>
          <w:snapToGrid/>
        </w:rPr>
        <w:tab/>
      </w:r>
      <w:r w:rsidR="0090410D" w:rsidRPr="00D2031A">
        <w:t xml:space="preserve">θεωρεί ότι η ελκυστικότητα των κεφαλαιαγορών της ΕΕ θα αυξηθεί με την περαιτέρω ολοκλήρωση της εσωτερικής αγοράς της ΕΕ κατά τρόπο που να προωθεί τον ανταγωνισμό μεταξύ των εταιρειών της ΕΕ, τη δημιουργία οικονομικών ευκαιριών για ιδιωτικές επενδύσεις και την απλούστευση, επιτρέποντας υψηλότερες αποδόσεις για τους πολίτες και τις εταιρείες· υπογραμμίζει, ωστόσο, ότι οι αποδόσεις υπονομεύονται από το υψηλό κόστος που συνδέεται με τις επενδύσεις στις ευρωπαϊκές χρηματοπιστωτικές αγορές· καλεί την Επιτροπή και τα κράτη μέλη να δώσουν λύσεις, νομοθετικές και μη, για την προώθηση της δημιουργίας μιας ενσωματωμένης πανευρωπαϊκής κεφαλαιαγοράς με επαρκές μέγεθος, ρευστότητα, βάθος και διαφάνεια </w:t>
      </w:r>
      <w:r w:rsidR="0090410D" w:rsidRPr="00D2031A">
        <w:lastRenderedPageBreak/>
        <w:t>ώστε να μπορεί να προσελκύει επενδυτές που εδρεύουν στην ΕΕ αλλά και διεθνείς επενδυτές, εξασφαλίζοντας παράλληλα την προστασία των καταναλωτών και τη διαφύλαξη της χρηματοπιστωτικής σταθερότητας· υπενθυμίζει ότι η προοπτική υψηλότερων αποδόσεων των επενδύσεων αποτελεί βασικό κίνητρο για τη συμμετοχή των ιδιωτών επενδυτών στις κεφαλαιαγορές· τονίζει, στο πλαίσιο αυτό, ότι η Ένωση Κεφαλαιαγορών δεν θα είναι δυνατή χωρίς την ολοκλήρωση της Τραπεζικής Ένωσης·</w:t>
      </w:r>
    </w:p>
    <w:p w14:paraId="5EB375A3" w14:textId="2CABFA59" w:rsidR="0090410D" w:rsidRPr="00D2031A" w:rsidRDefault="00D2031A" w:rsidP="00D2031A">
      <w:pPr>
        <w:pStyle w:val="NormalHanging12a"/>
        <w:ind w:hanging="570"/>
      </w:pPr>
      <w:r w:rsidRPr="00D2031A">
        <w:t>20.</w:t>
      </w:r>
      <w:r w:rsidRPr="00D2031A">
        <w:tab/>
      </w:r>
      <w:r w:rsidR="0090410D" w:rsidRPr="00D2031A">
        <w:t>σημειώνει ότι οι ευρωπαϊκές κεφαλαιαγορές παραμένουν επί του παρόντος σε μεγάλο βαθμό κατακερματισμένες, με το μέγεθος των ευρωπαϊκών επενδυτικών κεφαλαίων να παραμένει σχεδόν επτά φορές μικρότερο σε σύγκριση με τα κεφάλαια των ΗΠΑ</w:t>
      </w:r>
      <w:r w:rsidR="0090410D" w:rsidRPr="00D2031A">
        <w:rPr>
          <w:rStyle w:val="FootnoteReference"/>
        </w:rPr>
        <w:footnoteReference w:id="18"/>
      </w:r>
      <w:r w:rsidR="0090410D" w:rsidRPr="00D2031A">
        <w:t xml:space="preserve">· θεωρεί ότι αυτό βλάπτει την ανταγωνιστικότητα του τομέα των επενδυτικών κεφαλαίων της ΕΕ έναντι των παγκόσμιων ανταγωνιστών, δεδομένου ότι το μέγεθος των κεφαλαίων αποτελεί βασικό παράγοντα που επηρεάζει το κόστος που χρεώνεται στους τελικούς επενδυτές· πιστεύει ότι μια πιο ολοκληρωμένη διασυνοριακή αγορά επενδυτικών κεφαλαίων στην ΕΕ θα μπορούσε να οδηγήσει σε αύξηση του μεγέθους των επενδυτικών κεφαλαίων με την πάροδο του χρόνου και σε βελτίωση της αποδοτικότητας που, εάν </w:t>
      </w:r>
      <w:proofErr w:type="spellStart"/>
      <w:r w:rsidR="0090410D" w:rsidRPr="00D2031A">
        <w:t>μετακυλιστεί</w:t>
      </w:r>
      <w:proofErr w:type="spellEnd"/>
      <w:r w:rsidR="0090410D" w:rsidRPr="00D2031A">
        <w:t xml:space="preserve"> στους ιδιώτες επενδυτές, θα μπορούσε να συμβάλει στη μείωση του κόστους και στην βελτίωση της σχέσης κόστους-οφέλους για τους τελικούς επενδυτές·</w:t>
      </w:r>
    </w:p>
    <w:p w14:paraId="25B4CB47" w14:textId="66DFA439" w:rsidR="0090410D" w:rsidRPr="00D2031A" w:rsidRDefault="00D2031A" w:rsidP="00D2031A">
      <w:pPr>
        <w:pStyle w:val="NormalHanging12a"/>
        <w:ind w:hanging="570"/>
      </w:pPr>
      <w:r w:rsidRPr="00D2031A">
        <w:t>21.</w:t>
      </w:r>
      <w:r w:rsidRPr="00D2031A">
        <w:tab/>
      </w:r>
      <w:r w:rsidR="0090410D" w:rsidRPr="00D2031A">
        <w:t xml:space="preserve">πιστεύει ότι η ένωση κεφαλαιαγορών θα ωφελήσει τους καταναλωτές και τις ΜΜΕ προσφέροντας ευκαιρίες επενδύσεων υψηλής απόδοσης στην πραγματική οικονομία και θα τονώσει τελικά την αγορά επιχειρηματικών κεφαλαίων βελτιώνοντας την πρόσβαση σε διαφοροποιημένες πηγές χρηματοδότησης· πιστεύει ότι η χρηματοδότηση των ευρωπαϊκών αναπτυσσόμενων επιχειρήσεων με ευρωπαϊκά κεφάλαια θα πρέπει να αποτελεί προτεραιότητα, όπως καταδεικνύεται από την πρωτοβουλία «European </w:t>
      </w:r>
      <w:proofErr w:type="spellStart"/>
      <w:r w:rsidR="0090410D" w:rsidRPr="00D2031A">
        <w:t>Tech</w:t>
      </w:r>
      <w:proofErr w:type="spellEnd"/>
      <w:r w:rsidR="0090410D" w:rsidRPr="00D2031A">
        <w:t xml:space="preserve"> </w:t>
      </w:r>
      <w:proofErr w:type="spellStart"/>
      <w:r w:rsidR="0090410D" w:rsidRPr="00D2031A">
        <w:t>Champions</w:t>
      </w:r>
      <w:proofErr w:type="spellEnd"/>
      <w:r w:rsidR="0090410D" w:rsidRPr="00D2031A">
        <w:t xml:space="preserve"> </w:t>
      </w:r>
      <w:proofErr w:type="spellStart"/>
      <w:r w:rsidR="0090410D" w:rsidRPr="00D2031A">
        <w:t>Initiative</w:t>
      </w:r>
      <w:proofErr w:type="spellEnd"/>
      <w:r w:rsidR="0090410D" w:rsidRPr="00D2031A">
        <w:t xml:space="preserve">», η οποία ξεκίνησε τον Φεβρουάριο του 2023 για τη χρηματοδότηση ελπιδοφόρων ευρωπαϊκών εταιρειών τεχνολογίας· </w:t>
      </w:r>
    </w:p>
    <w:p w14:paraId="23E72D33" w14:textId="71BFD1C7" w:rsidR="0090410D" w:rsidRPr="00D2031A" w:rsidRDefault="00D2031A" w:rsidP="00D2031A">
      <w:pPr>
        <w:pStyle w:val="NormalHanging12a"/>
        <w:ind w:hanging="570"/>
      </w:pPr>
      <w:r w:rsidRPr="00D2031A">
        <w:t>22.</w:t>
      </w:r>
      <w:r w:rsidRPr="00D2031A">
        <w:tab/>
      </w:r>
      <w:r w:rsidR="0090410D" w:rsidRPr="00D2031A">
        <w:t>θεωρεί ότι τα επιχειρηματικά κεφάλαια θα πρέπει να καταστούν ευρύτερα προσβάσιμα στις εταιρείες ως εναλλακτική λύση στον παραδοσιακό τραπεζικό δανεισμό, προκειμένου να διαφοροποιηθούν οι πηγές χρηματοδότησης· καλεί την Επιτροπή να προτείνει μέτρα για την ενίσχυση αυτού του είδους χρηματοδότησης για τις εταιρείες της ΕΕ·</w:t>
      </w:r>
    </w:p>
    <w:p w14:paraId="76BDBF29" w14:textId="005C589B" w:rsidR="0090410D" w:rsidRPr="00D2031A" w:rsidRDefault="00D2031A" w:rsidP="00D2031A">
      <w:pPr>
        <w:pStyle w:val="NormalHanging12a"/>
        <w:ind w:hanging="570"/>
      </w:pPr>
      <w:r w:rsidRPr="00D2031A">
        <w:t>23.</w:t>
      </w:r>
      <w:r w:rsidRPr="00D2031A">
        <w:tab/>
      </w:r>
      <w:r w:rsidR="0090410D" w:rsidRPr="00D2031A">
        <w:t>επισημαίνει ότι το μέγεθος, το βάθος και η ρευστότητα των κεφαλαιαγορών διαφέρουν σημαντικά μεταξύ των κρατών μελών, καθώς ορισμένα κράτη μέλη έχουν σημειώσει πολύ μεγαλύτερη επιτυχία όσον αφορά την παροχή ελκυστικών πρωτογενών και δευτερογενών αγορών για τις επιχειρήσεις και την παρότρυνση των πολιτών να επενδύσουν στις εν λόγω αγορές· καλεί την Επιτροπή να εντοπίσει βέλτιστες πρακτικές και να τις ενσωματώσει στον άξονα εργασίας της Ένωσης Αποταμιεύσεων και Επενδύσεων·</w:t>
      </w:r>
    </w:p>
    <w:p w14:paraId="685B8C97" w14:textId="0402F421" w:rsidR="0090410D" w:rsidRPr="00D2031A" w:rsidRDefault="00D2031A" w:rsidP="00D2031A">
      <w:pPr>
        <w:pStyle w:val="NormalHanging12a"/>
        <w:ind w:hanging="570"/>
      </w:pPr>
      <w:r w:rsidRPr="00D2031A">
        <w:t>24.</w:t>
      </w:r>
      <w:r w:rsidRPr="00D2031A">
        <w:tab/>
      </w:r>
      <w:r w:rsidR="0090410D" w:rsidRPr="00D2031A">
        <w:t xml:space="preserve">θεωρεί ότι τα ιδιωτικά κεφάλαια θα διαδραματίσουν καθοριστικό ρόλο στη γεφύρωση του επενδυτικού κενού που εντόπισε η έκθεση </w:t>
      </w:r>
      <w:proofErr w:type="spellStart"/>
      <w:r w:rsidR="0090410D" w:rsidRPr="00D2031A">
        <w:t>Draghi</w:t>
      </w:r>
      <w:proofErr w:type="spellEnd"/>
      <w:r w:rsidR="0090410D" w:rsidRPr="00D2031A">
        <w:t>, με τον πλέον αποτελεσματικό τρόπο·</w:t>
      </w:r>
    </w:p>
    <w:p w14:paraId="1B2D7112" w14:textId="6554DF2F" w:rsidR="0090410D" w:rsidRPr="00D2031A" w:rsidRDefault="00D2031A" w:rsidP="00D2031A">
      <w:pPr>
        <w:spacing w:after="240"/>
        <w:ind w:left="567" w:hanging="570"/>
        <w:rPr>
          <w:rFonts w:eastAsia="Aptos"/>
          <w:bCs/>
          <w:iCs/>
          <w:szCs w:val="24"/>
        </w:rPr>
      </w:pPr>
      <w:r w:rsidRPr="00D2031A">
        <w:rPr>
          <w:rFonts w:eastAsia="Aptos"/>
          <w:bCs/>
          <w:iCs/>
          <w:szCs w:val="24"/>
        </w:rPr>
        <w:t>25.</w:t>
      </w:r>
      <w:r w:rsidRPr="00D2031A">
        <w:rPr>
          <w:rFonts w:eastAsia="Aptos"/>
          <w:bCs/>
          <w:iCs/>
          <w:szCs w:val="24"/>
        </w:rPr>
        <w:tab/>
      </w:r>
      <w:r w:rsidR="0090410D" w:rsidRPr="00D2031A">
        <w:t xml:space="preserve">υποστηρίζει την ενοποίηση των θεσμικών πλαισίων και των δομών της αγοράς· επαναλαμβάνει την έκκλησή του να προωθηθεί η διαδικασία εποπτικής σύγκλισης υπό </w:t>
      </w:r>
      <w:r w:rsidR="0090410D" w:rsidRPr="00D2031A">
        <w:lastRenderedPageBreak/>
        <w:t>την καθοδήγηση της ESMA, μεταξύ άλλων με την ανάθεση στην ESMA άμεσων εποπτικών εξουσιών όταν αυτό αποφέρει ευρωπαϊκή προστιθέμενη αξία - για παράδειγμα, σε πανευρωπαϊκές υποδομές αγοράς- προκειμένου να ενισχυθεί η ανταγωνιστικότητα των ευρωπαϊκών αγορών εισηγμένων στο χρηματιστήριο και να βελτιωθεί η αποτελεσματικότητα του εποπτικού τοπίου και η συνεργασία με τις εθνικές αρμόδιες αρχές (ΕΑΑ)· υπενθυμίζει ότι η ESMA διαθέτει ήδη άμεσες εποπτικές εξουσίες επί διαφόρων χρηματοπιστωτικών οντοτήτων, όπως οι οργανισμοί αξιολόγησης πιστοληπτικής ικανότητας, τα αρχεία καταγραφής συναλλαγών και οι κεντρικοί αντισυμβαλλόμενοι κατηγορίας 2 που βρίσκονται εκτός της ΕΕ·</w:t>
      </w:r>
    </w:p>
    <w:p w14:paraId="39578ED0" w14:textId="222FA07F" w:rsidR="0090410D" w:rsidRPr="00D2031A" w:rsidRDefault="00D2031A" w:rsidP="00D2031A">
      <w:pPr>
        <w:pStyle w:val="NormalHanging12a"/>
        <w:ind w:hanging="570"/>
      </w:pPr>
      <w:r w:rsidRPr="00D2031A">
        <w:t>26.</w:t>
      </w:r>
      <w:r w:rsidRPr="00D2031A">
        <w:tab/>
      </w:r>
      <w:r w:rsidR="0090410D" w:rsidRPr="00D2031A">
        <w:t>αναγνωρίζει επίσης ότι η εναρμονισμένη εποπτεία δεν απαιτεί πάντα ενιαία εποπτική αρχή, αλλά μπορεί επίσης να επιτευχθεί μέσω της σύγκλισης των εθνικών εποπτικών πρακτικών, όπου αυτό είναι καταλληλότερο· υποστηρίζει, επομένως, την πρόθεση της Επιτροπής να προτείνει μέτρα για την ενίσχυση των εργαλείων εποπτικής σύγκλισης και την αύξηση της αποτελεσματικότητάς τους, καθώς και για την επίτευξη πιο ενοποιημένης άμεσης εποπτείας των κεφαλαιαγορών με τη μεταφορά ορισμένων καθηκόντων σε επίπεδο ΕΕ·</w:t>
      </w:r>
    </w:p>
    <w:p w14:paraId="6F0EA224" w14:textId="582F1B1A" w:rsidR="0090410D" w:rsidRPr="00D2031A" w:rsidRDefault="00D2031A" w:rsidP="00D2031A">
      <w:pPr>
        <w:pStyle w:val="NormalHanging12a"/>
        <w:ind w:hanging="570"/>
      </w:pPr>
      <w:r w:rsidRPr="00D2031A">
        <w:t>27.</w:t>
      </w:r>
      <w:r w:rsidRPr="00D2031A">
        <w:tab/>
      </w:r>
      <w:r w:rsidR="0090410D" w:rsidRPr="00D2031A">
        <w:t xml:space="preserve">επισημαίνει ότι οποιαδήποτε αύξηση των εξουσιών των Ευρωπαϊκών Εποπτικών Αρχών (ΕΕΑ) θα πρέπει να συνοδεύεται από ανάλογη αύξηση του επιπέδου λογοδοσίας των ΕΕΑ· θεωρεί ότι η διακυβέρνηση της ESMA θα πρέπει να αναθεωρηθεί προκειμένου να διασφαλιστούν η αποτελεσματικότητα και η ανεξαρτησία των αποφάσεών της· υποστηρίζει την πρόταση που περιλαμβάνεται στην έκθεση </w:t>
      </w:r>
      <w:proofErr w:type="spellStart"/>
      <w:r w:rsidR="0090410D" w:rsidRPr="00D2031A">
        <w:t>Draghi</w:t>
      </w:r>
      <w:proofErr w:type="spellEnd"/>
      <w:r w:rsidR="0090410D" w:rsidRPr="00D2031A">
        <w:t xml:space="preserve"> να χορηγηθεί στην ESMA μια πιο ευρωπαϊκή δομή διακυβέρνησης και να καθιερωθεί στενή συνεργασία με τις εθνικές εποπτικές αρχές, με βάση το μοντέλο του Ενιαίου Εποπτικού Μηχανισμού ή της Αρχής για την καταπολέμηση της νομιμοποίησης εσόδων από παράνομες δραστηριότητες και της χρηματοδότησης της τρομοκρατίας (AMLA)·</w:t>
      </w:r>
    </w:p>
    <w:p w14:paraId="1F6F4474" w14:textId="02AD94B8" w:rsidR="0090410D" w:rsidRPr="00D2031A" w:rsidRDefault="00D2031A" w:rsidP="00D2031A">
      <w:pPr>
        <w:pStyle w:val="NormalHanging12a"/>
        <w:ind w:hanging="570"/>
      </w:pPr>
      <w:r w:rsidRPr="00D2031A">
        <w:t>28.</w:t>
      </w:r>
      <w:r w:rsidRPr="00D2031A">
        <w:tab/>
      </w:r>
      <w:r w:rsidR="0090410D" w:rsidRPr="00D2031A">
        <w:t>θεωρεί ότι οι ΕΕΑ θα πρέπει να χρηματοδοτούνται επαρκώς προκειμένου να είναι σε θέση να εκτελούν τα καθήκοντά τους, μεταξύ άλλων μέσω της εμπλοκής χρηματοπιστωτικών ιδρυμάτων και συμμετεχόντων στις χρηματοπιστωτικές αγορές από εποπτευόμενες επιχειρήσεις·</w:t>
      </w:r>
    </w:p>
    <w:p w14:paraId="0AA1D5E8" w14:textId="0A949F3D" w:rsidR="0090410D" w:rsidRPr="00D2031A" w:rsidRDefault="00D2031A" w:rsidP="00D2031A">
      <w:pPr>
        <w:pStyle w:val="NormalHanging12a"/>
        <w:ind w:hanging="570"/>
      </w:pPr>
      <w:r w:rsidRPr="00D2031A">
        <w:t>29.</w:t>
      </w:r>
      <w:r w:rsidRPr="00D2031A">
        <w:tab/>
      </w:r>
      <w:r w:rsidR="0090410D" w:rsidRPr="00D2031A">
        <w:t>τονίζει τη σημασία ενός ισχυρού ρόλου που προβλέπεται για την Ευρωπαϊκή Κεντρική Τράπεζα (ΕΚΤ) στην εποπτεία των συστημικά σημαντικών υποδομών της αγοράς, σύμφωνα με τις αρμοδιότητές της δυνάμει της Συνθήκης για τη λειτουργία της Ευρωπαϊκής Ένωσης (ΣΛΕΕ) και του κανονισμού για τα ΣΣΣΠ</w:t>
      </w:r>
      <w:r w:rsidR="0090410D" w:rsidRPr="00D2031A">
        <w:rPr>
          <w:rStyle w:val="FootnoteReference"/>
        </w:rPr>
        <w:footnoteReference w:id="19"/>
      </w:r>
      <w:r w:rsidR="0090410D" w:rsidRPr="00D2031A">
        <w:t xml:space="preserve">· πιστεύει ότι η ΕΚΤ θα πρέπει να συμβάλει ενεργά στην ενίσχυση της διαλειτουργικότητας, της ανθεκτικότητας και της ενοποίησης των συστημάτων διαπραγμάτευσης και </w:t>
      </w:r>
      <w:proofErr w:type="spellStart"/>
      <w:r w:rsidR="0090410D" w:rsidRPr="00D2031A">
        <w:t>μεταδιαπραγμάτευσης</w:t>
      </w:r>
      <w:proofErr w:type="spellEnd"/>
      <w:r w:rsidR="0090410D" w:rsidRPr="00D2031A">
        <w:t xml:space="preserve"> σε επίπεδο ΕΕ, ιδίως μέσω της επίβλεψης πλατφορμών όπως το TARGET2-Securities·</w:t>
      </w:r>
    </w:p>
    <w:p w14:paraId="7D97EEDB" w14:textId="4E0756AA" w:rsidR="0090410D" w:rsidRPr="00D2031A" w:rsidRDefault="00D2031A" w:rsidP="00D2031A">
      <w:pPr>
        <w:pStyle w:val="NormalHanging12a"/>
        <w:ind w:hanging="570"/>
      </w:pPr>
      <w:r w:rsidRPr="00D2031A">
        <w:t>30.</w:t>
      </w:r>
      <w:r w:rsidRPr="00D2031A">
        <w:tab/>
      </w:r>
      <w:r w:rsidR="0090410D" w:rsidRPr="00D2031A">
        <w:t xml:space="preserve">τονίζει ότι ο διοικητικός φόρτος και το κόστος συμμόρφωσης που προκύπτουν σε διασυνοριακό πλαίσιο θα μπορούσαν ήδη να αντιμετωπιστούν με καλύτερο συντονισμό και συνεργασία των εθνικών εποπτικών αρχών, π.χ. στον τομέα της ανταλλαγής δεδομένων· καλεί την Ευρωπαϊκή Επιτροπή και τις Ευρωπαϊκές Εποπτικές Αρχές να </w:t>
      </w:r>
      <w:r w:rsidR="0090410D" w:rsidRPr="00D2031A">
        <w:lastRenderedPageBreak/>
        <w:t xml:space="preserve">προχωρήσουν προς ένα καθεστώς «υποβολής μίας μόνο αναφοράς»· θεωρεί ότι το ευρωπαϊκό ενιαίο σημείο πρόσβασης αποτελεί σημαντική πρωτοβουλία στο πλαίσιο αυτό και ζητεί την έγκαιρη εφαρμογή του· προτείνει η να καταστεί η ESMA επίσης κεντρικός κόμβος δεδομένων, όπου θα συγκεντρώνονται οι αναφορές των οντοτήτων που υπόκεινται σε απαιτήσεις υποβολής αναφορών βάσει του κανονισμού </w:t>
      </w:r>
      <w:proofErr w:type="spellStart"/>
      <w:r w:rsidR="0090410D" w:rsidRPr="00D2031A">
        <w:t>MiFiR</w:t>
      </w:r>
      <w:proofErr w:type="spellEnd"/>
      <w:r w:rsidR="0090410D" w:rsidRPr="00D2031A">
        <w:rPr>
          <w:rStyle w:val="FootnoteReference"/>
        </w:rPr>
        <w:footnoteReference w:id="20"/>
      </w:r>
      <w:r w:rsidR="0090410D" w:rsidRPr="00D2031A">
        <w:t xml:space="preserve"> και του κανονισμού EMIR</w:t>
      </w:r>
      <w:r w:rsidR="0090410D" w:rsidRPr="00D2031A">
        <w:rPr>
          <w:rStyle w:val="FootnoteReference"/>
        </w:rPr>
        <w:footnoteReference w:id="21"/>
      </w:r>
      <w:r w:rsidR="0090410D" w:rsidRPr="00D2031A">
        <w:t>·</w:t>
      </w:r>
      <w:r w:rsidR="0090410D" w:rsidRPr="00D2031A">
        <w:rPr>
          <w:rStyle w:val="BoldItalic"/>
        </w:rPr>
        <w:t xml:space="preserve"> </w:t>
      </w:r>
    </w:p>
    <w:p w14:paraId="48B355FF" w14:textId="7B718BA6" w:rsidR="0090410D" w:rsidRPr="00D2031A" w:rsidRDefault="00D2031A" w:rsidP="00D2031A">
      <w:pPr>
        <w:pStyle w:val="NormalHanging12a"/>
        <w:ind w:hanging="570"/>
        <w:rPr>
          <w:snapToGrid/>
        </w:rPr>
      </w:pPr>
      <w:r w:rsidRPr="00D2031A">
        <w:rPr>
          <w:snapToGrid/>
        </w:rPr>
        <w:t>31.</w:t>
      </w:r>
      <w:r w:rsidRPr="00D2031A">
        <w:rPr>
          <w:snapToGrid/>
        </w:rPr>
        <w:tab/>
      </w:r>
      <w:r w:rsidR="0090410D" w:rsidRPr="00D2031A">
        <w:t>παροτρύνει την Επιτροπή να αναπτύξει προτάσεις για τη στήριξη της μετεγκατάστασης των δραστηριοτήτων εκκαθάρισης στην ΕΕ· εκφράζει τη λύπη του για την τρέχουσα κατάσταση όπου το μεγαλύτερο μέρος των δραστηριοτήτων εκκαθάρισης της ΕΕ διεξάγεται εκτός της ΕΕ· προσβλέπει σε μια φιλόδοξη κατ’ εξουσιοδότηση πράξη για τους ενεργούς λογαριασμούς στο πλαίσιο του κανονισμού EMIR 3.0· καλεί την Ευρωπαϊκή Επιτροπή να αξιολογεί συνεχώς την εξέλιξη των δραστηριοτήτων εκκαθάρισης και τον αντίκτυπο του κανονισμού, και να υποβάλλει περαιτέρω νομοθετικές προτάσεις για την ενίσχυση του οικοσυστήματος εκκαθάρισης της ΕΕ·</w:t>
      </w:r>
    </w:p>
    <w:p w14:paraId="22F6FD04" w14:textId="293543AA" w:rsidR="0090410D" w:rsidRPr="00D2031A" w:rsidRDefault="00D2031A" w:rsidP="00D2031A">
      <w:pPr>
        <w:pStyle w:val="NormalHanging12a"/>
        <w:ind w:hanging="570"/>
      </w:pPr>
      <w:r w:rsidRPr="00D2031A">
        <w:t>32.</w:t>
      </w:r>
      <w:r w:rsidRPr="00D2031A">
        <w:tab/>
      </w:r>
      <w:r w:rsidR="0090410D" w:rsidRPr="00D2031A">
        <w:t xml:space="preserve">χαιρετίζει την ανακοίνωση της Επιτροπής σχετικά με μια φιλόδοξη δέσμη νομοθετικών προτάσεων για την ενίσχυση του συναλλακτικού και </w:t>
      </w:r>
      <w:proofErr w:type="spellStart"/>
      <w:r w:rsidR="0090410D" w:rsidRPr="00D2031A">
        <w:t>μετασυναλλακτικού</w:t>
      </w:r>
      <w:proofErr w:type="spellEnd"/>
      <w:r w:rsidR="0090410D" w:rsidRPr="00D2031A">
        <w:t xml:space="preserve"> οικοσυστήματος στην Ευρωπαϊκή Ένωση, την άρση των φραγμών στη διασυνοριακή δραστηριότητα και την προσαρμογή του πλαισίου στις νέες τεχνολογίες· αναμένει ότι η πρόταση αυτή θα μπορούσε να συμβάλει στην αντιμετώπιση του κατακερματισμού της αγοράς στην ΕΕ· τονίζει, ωστόσο, ότι οι περισσότερες πρωτοβουλίες για την ενοποίηση της αγοράς θα πρέπει να έχουν ως γνώμονα την αγορά·</w:t>
      </w:r>
    </w:p>
    <w:p w14:paraId="78555313" w14:textId="19AD5226" w:rsidR="0090410D" w:rsidRPr="00D2031A" w:rsidRDefault="00D2031A" w:rsidP="00D2031A">
      <w:pPr>
        <w:pStyle w:val="NormalHanging12a"/>
        <w:ind w:hanging="570"/>
      </w:pPr>
      <w:r w:rsidRPr="00D2031A">
        <w:t>33.</w:t>
      </w:r>
      <w:r w:rsidRPr="00D2031A">
        <w:tab/>
      </w:r>
      <w:r w:rsidR="0090410D" w:rsidRPr="00D2031A">
        <w:t xml:space="preserve">αναγνωρίζει την ανάγκη για αποτελεσματικές και ρευστές κεφαλαιαγορές για την τόνωση των επενδύσεων, συμπεριλαμβανομένης μιας ανταγωνιστικής υποδομής </w:t>
      </w:r>
      <w:proofErr w:type="spellStart"/>
      <w:r w:rsidR="0090410D" w:rsidRPr="00D2031A">
        <w:t>μετασυναλλακτικής</w:t>
      </w:r>
      <w:proofErr w:type="spellEnd"/>
      <w:r w:rsidR="0090410D" w:rsidRPr="00D2031A">
        <w:t xml:space="preserve"> αγοράς· χαιρετίζει τη νομοθετική πρόταση της Επιτροπής για την εισαγωγή στοχευμένης τροποποίησης του κανονισμού για τα κεντρικά αποθετήρια τίτλων</w:t>
      </w:r>
      <w:r w:rsidR="0090410D" w:rsidRPr="00D2031A">
        <w:rPr>
          <w:rStyle w:val="FootnoteReference"/>
        </w:rPr>
        <w:footnoteReference w:id="22"/>
      </w:r>
      <w:r w:rsidR="0090410D" w:rsidRPr="00D2031A">
        <w:t xml:space="preserve"> (CSDR) με στόχο τη συντόμευση του κύκλου διακανονισμού στην ΕΕ από δύο ημέρες («T+2») σε μία («T+1») για συναλλαγές σε κινητές αξίες που εκτελούνται σε τόπους διαπραγμάτευσης· επισημαίνει ότι η πρωτοβουλία αυτή επιτρέπει στην ΕΕ να καλύψει τη διαφορά με τις ξένες αρχές που έχουν ήδη ολοκληρώσει τη μετάβαση σε T+1 και αποφεύγει την απόκλιση· αναμένει ότι η πρόταση θα αυξήσει την αποτελεσματικότητα και την ανθεκτικότητα των κεφαλαιαγορών της ΕΕ, μεταξύ άλλων λόγω του μικρότερου κινδύνου αδυναμίας διακανονισμού, της ταχύτερης διαθεσιμότητας τίτλων και κεφαλαίων και των χαμηλότερων απαιτήσεων περιθωρίου </w:t>
      </w:r>
      <w:r w:rsidR="0090410D" w:rsidRPr="00D2031A">
        <w:lastRenderedPageBreak/>
        <w:t>ασφαλείας· σημειώνει με ανησυχία ότι άλλες δικαιοδοσίες, όπως οι Ηνωμένες Πολιτείες και η Ινδία, διερευνούν ή εφαρμόζουν πιλοτικά κύκλους διακανονισμού T+0· καλεί την Επιτροπή να δρομολογήσει επειγόντως τεχνική και κανονιστική αξιολόγηση της σκοπιμότητας της μετάβασης σε διακανονισμό T+0, σε στενό συντονισμό με τις υποδομές της αγοράς, τις κεντρικές τράπεζες και τους συμμετέχοντες στην αγορά· επισημαίνει ότι η περαιτέρω συντόμευση του κύκλου διακανονισμού θα μείωνε τον συστημικό κίνδυνο, θα ενίσχυε την αποδοτικότητα της αγοράς και θα ενίσχυε την ελκυστικότητα των κεφαλαιαγορών της ΕΕ σε παγκόσμιο επίπεδο·</w:t>
      </w:r>
    </w:p>
    <w:p w14:paraId="7C60EAD2" w14:textId="703E1B61" w:rsidR="0090410D" w:rsidRPr="00D2031A" w:rsidRDefault="00D2031A" w:rsidP="00D2031A">
      <w:pPr>
        <w:pStyle w:val="NormalHanging12a"/>
        <w:ind w:hanging="570"/>
        <w:rPr>
          <w:rStyle w:val="BoldItalic"/>
          <w:b w:val="0"/>
          <w:i w:val="0"/>
        </w:rPr>
      </w:pPr>
      <w:r w:rsidRPr="00D2031A">
        <w:rPr>
          <w:rStyle w:val="BoldItalic"/>
          <w:b w:val="0"/>
          <w:i w:val="0"/>
        </w:rPr>
        <w:t>34.</w:t>
      </w:r>
      <w:r w:rsidRPr="00D2031A">
        <w:rPr>
          <w:rStyle w:val="BoldItalic"/>
          <w:b w:val="0"/>
          <w:i w:val="0"/>
        </w:rPr>
        <w:tab/>
      </w:r>
      <w:r w:rsidR="0090410D" w:rsidRPr="00D2031A">
        <w:t>σημειώνει ότι η απλοποίηση των διοικητικών διαδικασιών μπορεί να βελτιώσει την ελκυστικότητα της ΕΕ ως επενδυτικού προορισμού· θεωρεί ότι η ευθυγράμμιση των νομοθετικών πλαισίων των κρατών μελών με παράλληλη διατήρηση των εθνικών αρμοδιοτήτων και των ελάχιστων προτύπων θα πρέπει να συμπεριληφθεί στο σχέδιο απλοποίησης προκειμένου να διευκολυνθούν οι διασυνοριακές δραστηριότητες· υπενθυμίζει ότι η εξάρτηση από κανονισμούς και όχι από οδηγίες θα μείωνε τις αποκλίσεις στην εφαρμογή της νομοθεσίας της ΕΕ, συμπεριλαμβανομένου του κανονιστικού υπερθεματισμού, και, ως εκ τούτου, θα υποστήριζε τη συνεχιζόμενη διαδικασία απλούστευσης· καλεί την Επιτροπή να εφαρμόσει την αρχή «καλύτερη νομοθεσία», διασφαλίζοντας την εναρμόνιση όταν οι εκτιμήσεις επιπτώσεων υποδεικνύουν σαφή προστιθέμενη αξία και αντιμετωπίζοντας τον κατακερματισμό·</w:t>
      </w:r>
      <w:r w:rsidR="0090410D" w:rsidRPr="00D2031A">
        <w:rPr>
          <w:rStyle w:val="BoldItalic"/>
        </w:rPr>
        <w:t xml:space="preserve"> </w:t>
      </w:r>
      <w:r w:rsidR="0090410D" w:rsidRPr="00D2031A">
        <w:t xml:space="preserve">υπογραμμίζει τα πιθανά οφέλη από τον εξορθολογισμό του πλαισίου βιώσιμης χρηματοδότησης της ΕΕ, όπως επισημαίνεται στην έκθεση </w:t>
      </w:r>
      <w:proofErr w:type="spellStart"/>
      <w:r w:rsidR="0090410D" w:rsidRPr="00D2031A">
        <w:t>Draghi</w:t>
      </w:r>
      <w:proofErr w:type="spellEnd"/>
      <w:r w:rsidR="0090410D" w:rsidRPr="00D2031A">
        <w:t xml:space="preserve">, ιδίως μέσω της ενίσχυσης της σαφήνειας, της συνέπειας και της καθοδήγησης· σημειώνει, στο πλαίσιο αυτό, τη δέσμη μέτρων </w:t>
      </w:r>
      <w:proofErr w:type="spellStart"/>
      <w:r w:rsidR="0090410D" w:rsidRPr="00D2031A">
        <w:t>Omnibus</w:t>
      </w:r>
      <w:proofErr w:type="spellEnd"/>
      <w:r w:rsidR="0090410D" w:rsidRPr="00D2031A">
        <w:t xml:space="preserve"> της Επιτροπής·</w:t>
      </w:r>
    </w:p>
    <w:p w14:paraId="2D1D8249" w14:textId="28FC405E" w:rsidR="0090410D" w:rsidRPr="00D2031A" w:rsidRDefault="00D2031A" w:rsidP="00D2031A">
      <w:pPr>
        <w:pStyle w:val="NormalHanging12a"/>
        <w:ind w:hanging="570"/>
      </w:pPr>
      <w:r w:rsidRPr="00D2031A">
        <w:t>35.</w:t>
      </w:r>
      <w:r w:rsidRPr="00D2031A">
        <w:tab/>
      </w:r>
      <w:r w:rsidR="0090410D" w:rsidRPr="00D2031A">
        <w:t>θεωρεί ότι το πρώτο βήμα απλούστευσης συνίσταται στην αποτελεσματική νομοθεσία· καλεί την Επιτροπή να διασφαλίσει τη συμμετοχή των ΕΕΑ στη διαδικασία λήψης αποφάσεων για τις εντολές των επιπέδων 2 και 3, ώστε να εξασφαλιστεί ότι οι εντολές αυτές θα είναι τεκμηριωμένες, αναλογικές και προσαρμοσμένες στις ανάγκες του χρηματοπιστωτικού τομέα· καλεί την Επιτροπή και τις ΕΕΑ να αξιολογήσουν επίσης τον τρόπο μείωσης του αριθμού και της πολυπλοκότητας των επικείμενων κατ’ εξουσιοδότηση πράξεων, εκτελεστικών πράξεων, ερωτήσεων και απαντήσεων και κατευθυντήριων γραμμών· τονίζει ότι οι ΕΕΑ θα πρέπει να επιδεικνύουν αυστηρή προσήλωση στην εντολή που παρέχεται από τον ευρωπαίο νομοθέτη·</w:t>
      </w:r>
    </w:p>
    <w:p w14:paraId="601BF812" w14:textId="16146F3D" w:rsidR="0090410D" w:rsidRPr="00D2031A" w:rsidRDefault="00D2031A" w:rsidP="00D2031A">
      <w:pPr>
        <w:pStyle w:val="NormalHanging12a"/>
        <w:ind w:hanging="570"/>
      </w:pPr>
      <w:r w:rsidRPr="00D2031A">
        <w:t>36.</w:t>
      </w:r>
      <w:r w:rsidRPr="00D2031A">
        <w:tab/>
      </w:r>
      <w:r w:rsidR="0090410D" w:rsidRPr="00D2031A">
        <w:t>εκφράζει την ικανοποίησή του για την πρόσφατη έγκριση της πράξης για την εισαγωγή στο χρηματιστήριο, η οποία θα διευκολύνει την εισαγωγή εταιρειών όλων των μεγεθών, συμπεριλαμβανομένων των ΜΜΕ, στα ευρωπαϊκά χρηματιστήρια· υπογραμμίζει ότι οι διατάξεις του επιπέδου 2 της πράξης για την εισαγωγή στο χρηματιστήριο θα πρέπει να συμβάλουν σε ένα πιο προσβάσιμο και οικονομικά αποδοτικό περιβάλλον εισαγωγής στο χρηματιστήριο σε ολόκληρη την Ένωση·</w:t>
      </w:r>
    </w:p>
    <w:p w14:paraId="2C08A44E" w14:textId="255DAF22" w:rsidR="0090410D" w:rsidRPr="00D2031A" w:rsidRDefault="00D2031A" w:rsidP="00D2031A">
      <w:pPr>
        <w:pStyle w:val="NormalHanging12a"/>
        <w:ind w:hanging="570"/>
      </w:pPr>
      <w:r w:rsidRPr="00D2031A">
        <w:t>37.</w:t>
      </w:r>
      <w:r w:rsidRPr="00D2031A">
        <w:tab/>
      </w:r>
      <w:r w:rsidR="0090410D" w:rsidRPr="00D2031A">
        <w:t>καλεί την Επιτροπή να αντιμετωπίσει τον κατακερματισμό των εθνικών πλαισίων αφερεγγυότητας και να θεσπίσει αποτελεσματικούς μηχανισμούς για την επίλυση διασυνοριακών διαφορών· υπογραμμίζει ότι η μεγαλύτερη νομική σύγκλιση και η διαδικαστική σαφήνεια είναι ουσιώδεις προϋποθέσεις για τη μείωση των φραγμών στις διασυνοριακές επενδύσεις και για τη στήριξη της βαθύτερης ολοκλήρωσης των κεφαλαιαγορών της ΕΕ·</w:t>
      </w:r>
    </w:p>
    <w:p w14:paraId="62940F0A" w14:textId="2943B403" w:rsidR="0090410D" w:rsidRPr="00D2031A" w:rsidRDefault="00D2031A" w:rsidP="00D2031A">
      <w:pPr>
        <w:pStyle w:val="NormalHanging12a"/>
        <w:ind w:hanging="570"/>
        <w:rPr>
          <w:snapToGrid/>
        </w:rPr>
      </w:pPr>
      <w:r w:rsidRPr="00D2031A">
        <w:rPr>
          <w:snapToGrid/>
        </w:rPr>
        <w:t>38.</w:t>
      </w:r>
      <w:r w:rsidRPr="00D2031A">
        <w:rPr>
          <w:snapToGrid/>
        </w:rPr>
        <w:tab/>
      </w:r>
      <w:r w:rsidR="0090410D" w:rsidRPr="00D2031A">
        <w:t xml:space="preserve">παραμένει προσηλωμένο τόσο στην επίτευξη των συνολικών στόχων του πλαισίου βιώσιμης χρηματοδότησης όσο και στην κινητοποίηση δημόσιων και ιδιωτικών </w:t>
      </w:r>
      <w:r w:rsidR="0090410D" w:rsidRPr="00D2031A">
        <w:lastRenderedPageBreak/>
        <w:t>επενδύσεων στις μεταβάσεις·</w:t>
      </w:r>
      <w:r w:rsidR="0090410D" w:rsidRPr="00D2031A">
        <w:rPr>
          <w:rStyle w:val="BoldItalic"/>
        </w:rPr>
        <w:t xml:space="preserve"> </w:t>
      </w:r>
      <w:r w:rsidR="0090410D" w:rsidRPr="00D2031A">
        <w:t>υπενθυμίζει ότι τα έσοδα από το σύστημα εμπορίας εκπομπών θα είναι καίριας σημασίας για τη στήριξη επενδύσεων για σκοπούς που σχετίζονται με το κλίμα και την ενέργεια τόσο μέσω των κρατών μελών όσο και μέσω του προϋπολογισμού της Ένωσης· σημειώνει ότι η Επιτροπή επιβεβαίωσε τη φιλοδοξία της να παραμείνει ο παγκόσμιος ηγέτης στη βιώσιμη χρηματοδότηση κατά την έναρξη αυτής της θητείας· σημειώνει ότι η Επιτροπή αξιολογεί επί του παρόντος με κριτικό πνεύμα όλα τα στοιχεία του πλαισίου βιώσιμης χρηματοδότησης και ενδέχεται να υποβάλει προτάσεις απλούστευσης·</w:t>
      </w:r>
    </w:p>
    <w:p w14:paraId="6511D024" w14:textId="266FC776" w:rsidR="0090410D" w:rsidRPr="00D2031A" w:rsidRDefault="00D2031A" w:rsidP="00D2031A">
      <w:pPr>
        <w:pStyle w:val="NormalHanging12a"/>
        <w:ind w:hanging="570"/>
      </w:pPr>
      <w:r w:rsidRPr="00D2031A">
        <w:t>39.</w:t>
      </w:r>
      <w:r w:rsidRPr="00D2031A">
        <w:tab/>
      </w:r>
      <w:r w:rsidR="0090410D" w:rsidRPr="00D2031A">
        <w:t>καλεί την Επιτροπή να εγκρίνει πρόταση για την αναθεώρηση του κανονισμού περί γνωστοποιήσεων αειφορίας στον τομέα των χρηματοπιστωτικών υπηρεσιών</w:t>
      </w:r>
      <w:r w:rsidR="0090410D" w:rsidRPr="00D2031A">
        <w:rPr>
          <w:rStyle w:val="FootnoteReference"/>
        </w:rPr>
        <w:footnoteReference w:id="23"/>
      </w:r>
      <w:r w:rsidR="0090410D" w:rsidRPr="00D2031A">
        <w:t xml:space="preserve"> (SFDR), συμπεριλαμβανομένης της αντιμετώπισης των κινδύνων προβολής ψευδοοικολογικής ταυτότητας·</w:t>
      </w:r>
    </w:p>
    <w:p w14:paraId="776AE94A" w14:textId="111D270D" w:rsidR="0090410D" w:rsidRPr="00D2031A" w:rsidRDefault="00D2031A" w:rsidP="00D2031A">
      <w:pPr>
        <w:pStyle w:val="NormalHanging12a"/>
        <w:ind w:hanging="570"/>
      </w:pPr>
      <w:r w:rsidRPr="00D2031A">
        <w:t>40.</w:t>
      </w:r>
      <w:r w:rsidRPr="00D2031A">
        <w:tab/>
      </w:r>
      <w:r w:rsidR="0090410D" w:rsidRPr="00D2031A">
        <w:t xml:space="preserve">τονίζει ότι οι υψηλές τιμές της ενέργειας επηρεάζουν αρνητικά την ανταγωνιστικότητα της ΕΕ· εκφράζει, στο πλαίσιο αυτό, την ικανοποίησή του για την πρόταση που διατυπώνεται στην έκθεση </w:t>
      </w:r>
      <w:proofErr w:type="spellStart"/>
      <w:r w:rsidR="0090410D" w:rsidRPr="00D2031A">
        <w:t>Draghi</w:t>
      </w:r>
      <w:proofErr w:type="spellEnd"/>
      <w:r w:rsidR="0090410D" w:rsidRPr="00D2031A">
        <w:t>· ζητεί να εφαρμοστεί η αρχή του «ίδιου κανόνα για την ίδια δραστηριότητα» και να επανεξεταστεί η εξαίρεση των βοηθητικών δραστηριοτήτων που επιτρέπει στις μη χρηματοπιστωτικές εταιρείες να συναλλάσσονται σε αγορές ενεργειακών παραγώγων χωρίς να υπόκεινται στον ίδιο έλεγχο με τις χρηματοπιστωτικές οντότητες·</w:t>
      </w:r>
    </w:p>
    <w:p w14:paraId="5B84B185" w14:textId="3864E11F" w:rsidR="0090410D" w:rsidRPr="00D2031A" w:rsidRDefault="00D2031A" w:rsidP="00D2031A">
      <w:pPr>
        <w:pStyle w:val="NormalHanging12a"/>
        <w:ind w:hanging="570"/>
      </w:pPr>
      <w:r w:rsidRPr="00D2031A">
        <w:t>41.</w:t>
      </w:r>
      <w:r w:rsidRPr="00D2031A">
        <w:tab/>
      </w:r>
      <w:r w:rsidR="0090410D" w:rsidRPr="00D2031A">
        <w:t>επισημαίνει ότι οι εταιρείες που έχουν πρόσβαση στις κεφαλαιαγορές βιώνουν σημαντική ανάπτυξη, καθώς αυτό τους επιτρέπει να χρηματοδοτούν την επέκταση, την καινοτομία και τα αναπτυξιακά έργα τους· υποστηρίζει ότι με την απόκτηση πόρων από μια ευρύτερη βάση επενδυτών, οι εταιρείες αυτές μπορούν να διαφοροποιήσουν τις πηγές χρηματοδότησής τους· πιστεύει ότι η τόνωση των αρχικών δημόσιων προσφορών (ΑΔΠ) είναι ουσιαστικής σημασίας για την ανάπτυξη των ευρωπαϊκών επιχειρήσεων και την περαιτέρω ολοκλήρωση των κεφαλαιαγορών της ΕΕ· ζητεί την εφαρμογή μέτρων που μειώνουν τους κανονιστικούς φραγμούς και ενισχύουν την πρόσβαση σε κεφάλαια, διασφαλίζοντας ότι οι μικρές και μεσαίες επιχειρήσεις μπορούν να έχουν εύκολη πρόσβαση στις κεφαλαιαγορές χωρίς υπερβολικό κόστος ή πολυπλοκότητα·</w:t>
      </w:r>
    </w:p>
    <w:p w14:paraId="0C9B1C0D" w14:textId="31A23F58" w:rsidR="0090410D" w:rsidRPr="00D2031A" w:rsidRDefault="00D2031A" w:rsidP="00D2031A">
      <w:pPr>
        <w:pStyle w:val="NormalHanging12a"/>
        <w:ind w:hanging="570"/>
      </w:pPr>
      <w:r w:rsidRPr="00D2031A">
        <w:t>42.</w:t>
      </w:r>
      <w:r w:rsidRPr="00D2031A">
        <w:tab/>
      </w:r>
      <w:r w:rsidR="0090410D" w:rsidRPr="00D2031A">
        <w:t>εκφράζει τον φόβο ότι, χωρίς μια σαφή και συντονισμένη στρατηγική, ο αριθμός των ΑΔΠ στην ΕΕ θα παραμείνει περιορισμένος, γεγονός που εμποδίζει το αναπτυξιακό δυναμικό των ευρωπαϊκών εταιρειών και μειώνει την ελκυστικότητα των αγορών της ΕΕ για τους παγκόσμιους επενδυτές·</w:t>
      </w:r>
    </w:p>
    <w:p w14:paraId="358FE54E" w14:textId="2A484595" w:rsidR="0090410D" w:rsidRPr="00D2031A" w:rsidRDefault="00D2031A" w:rsidP="00D2031A">
      <w:pPr>
        <w:pStyle w:val="NormalHanging12a"/>
        <w:ind w:hanging="570"/>
      </w:pPr>
      <w:r w:rsidRPr="00D2031A">
        <w:t>43.</w:t>
      </w:r>
      <w:r w:rsidRPr="00D2031A">
        <w:tab/>
      </w:r>
      <w:r w:rsidR="0090410D" w:rsidRPr="00D2031A">
        <w:t xml:space="preserve">υπενθυμίζει ότι κανονισμοί της ΕΕ, όπως ο κανονισμός για το ενημερωτικό δελτίο και η </w:t>
      </w:r>
      <w:proofErr w:type="spellStart"/>
      <w:r w:rsidR="0090410D" w:rsidRPr="00D2031A">
        <w:t>MiFID</w:t>
      </w:r>
      <w:proofErr w:type="spellEnd"/>
      <w:r w:rsidR="0090410D" w:rsidRPr="00D2031A">
        <w:t xml:space="preserve"> II, έχουν σημειώσει πρόοδο όσον αφορά τη βελτίωση της διαφάνειας και της αποτελεσματικότητας της αγοράς, αλλά μπορούν να γίνουν περισσότερα για τον εξορθολογισμό των διαδικασιών για τις εταιρείες που επιθυμούν να προβούν σε δημόσια εγγραφή· τονίζει την ανάγκη για περαιτέρω εναρμόνιση των πρακτικών της αγοράς σε όλα τα κράτη μέλη για τη δημιουργία μιας πραγματικά ενιαίας κεφαλαιαγοράς· υποστηρίζει την εφαρμογή βέλτιστων πρακτικών σε επίπεδο ΕΕ·</w:t>
      </w:r>
    </w:p>
    <w:p w14:paraId="6C5CBF38" w14:textId="548C6D41" w:rsidR="0090410D" w:rsidRPr="00D2031A" w:rsidRDefault="00D2031A" w:rsidP="00D2031A">
      <w:pPr>
        <w:pStyle w:val="NormalHanging12a"/>
        <w:ind w:hanging="570"/>
        <w:rPr>
          <w:snapToGrid/>
        </w:rPr>
      </w:pPr>
      <w:r w:rsidRPr="00D2031A">
        <w:rPr>
          <w:snapToGrid/>
        </w:rPr>
        <w:lastRenderedPageBreak/>
        <w:t>44.</w:t>
      </w:r>
      <w:r w:rsidRPr="00D2031A">
        <w:rPr>
          <w:snapToGrid/>
        </w:rPr>
        <w:tab/>
      </w:r>
      <w:r w:rsidR="0090410D" w:rsidRPr="00D2031A">
        <w:t>σημειώνει ότι το ισχύον φορολογικό πλαίσιο στην Ένωση των 27 διαφορετικών συστημάτων φορολόγησης επιχειρήσεων μπορεί να δημιουργήσει εμπόδια για τις επιχειρήσεις και τις διασυνοριακές επενδύσεις στην εσωτερική αγορά</w:t>
      </w:r>
      <w:r w:rsidR="0090410D" w:rsidRPr="00D2031A">
        <w:rPr>
          <w:rStyle w:val="FootnoteReference"/>
        </w:rPr>
        <w:footnoteReference w:id="24"/>
      </w:r>
      <w:r w:rsidR="0090410D" w:rsidRPr="00D2031A">
        <w:t>· θεωρεί ότι οι καινοτόμες εταιρείες θα μπορούσαν να επωφεληθούν από ένα ενιαίο σύνολο κανόνων σε επίπεδο ΕΕ, κατά περίπτωση, και κοινών πρακτικών· σημειώνει, εν προκειμένω, την πρόταση με τίτλο «Επιχειρήσεις στην Ευρώπη: πλαίσιο για τη φορολογία εισοδήματος» που θεσπίζει ενιαίο σύνολο κανόνων για τον υπολογισμό της φορολογικής βάσης των επιχειρήσεων· υπενθυμίζει ότι αρκετές νομοθετικές πρωτοβουλίες στον τομέα της φορολογίας εξακολουθούν να εκκρεμούν και ότι είναι σημαντικό να διαφυλαχθεί η ασφάλεια, η προβλεψιμότητα και η σταθερότητα· σημειώνει τις διευκρινίσεις της Επιτροπής σχετικά με τις πρωτοβουλίες που πρέπει να αποσυρθούν στον τομέα της φορολογίας·</w:t>
      </w:r>
    </w:p>
    <w:p w14:paraId="3D20B809" w14:textId="4C939372" w:rsidR="0090410D" w:rsidRPr="00D2031A" w:rsidRDefault="00D2031A" w:rsidP="00D2031A">
      <w:pPr>
        <w:pStyle w:val="NormalHanging12a"/>
        <w:ind w:hanging="570"/>
      </w:pPr>
      <w:r w:rsidRPr="00D2031A">
        <w:t>45.</w:t>
      </w:r>
      <w:r w:rsidRPr="00D2031A">
        <w:tab/>
      </w:r>
      <w:r w:rsidR="0090410D" w:rsidRPr="00D2031A">
        <w:t>υπενθυμίζει ότι τα περισσότερα φορολογικά θέματα εμπίπτουν στην εθνική αρμοδιότητα των κρατών μελών· τονίζει, ωστόσο, ότι ένα πιο συντονισμένο πλαίσιο για τη φορολογία των επιχειρήσεων θα μπορούσε να συνεισφέρει στη μείωση του κόστους συμμόρφωσης και του διοικητικού φόρτου, καθώς και να δημιουργήσει και ίσους όρους ανταγωνισμού για τις επιχειρήσεις που δραστηριοποιούνται σε ολόκληρη την εσωτερική αγορά, θα ενθαρρύνει την επέκταση, θα ενισχύσει την ασφάλεια δικαίου και θα τονώσει τις επενδύσεις και την ανάπτυξη στην Ένωση· παροτρύνει τα κράτη μέλη να επιταχύνουν τις διαπραγματεύσεις ιδίως σχετικά με τους κανόνες απόσβεσης· καλεί την Επιτροπή να διερευνήσει και να αξιολογήσει τα οφέλη και τα μειονεκτήματα της επιλογής ενός 28ου καθεστώτος·</w:t>
      </w:r>
    </w:p>
    <w:p w14:paraId="2B41124E" w14:textId="3A8CF4AE" w:rsidR="0090410D" w:rsidRPr="00D2031A" w:rsidRDefault="00D2031A" w:rsidP="00D2031A">
      <w:pPr>
        <w:pStyle w:val="NormalHanging12a"/>
        <w:ind w:hanging="570"/>
      </w:pPr>
      <w:r w:rsidRPr="00D2031A">
        <w:t>46.</w:t>
      </w:r>
      <w:r w:rsidRPr="00D2031A">
        <w:tab/>
      </w:r>
      <w:r w:rsidR="0090410D" w:rsidRPr="00D2031A">
        <w:t>καλεί την Επιτροπή να εφαρμόσει μέτρα που παρέχουν κίνητρα τόσο στους εγχώριους όσο και στους εξωτερικούς επενδυτές να συμμετάσχουν στις ευρωπαϊκές κεφαλαιαγορές· καλεί την Επιτροπή να παράσχει τεχνική υποστήριξη στα κράτη μέλη κατά τον σχεδιασμό και την εφαρμογή φορολογικών πολιτικών που ενθαρρύνουν τις επενδύσεις·</w:t>
      </w:r>
    </w:p>
    <w:p w14:paraId="7A67F66D" w14:textId="66D5FE62" w:rsidR="0090410D" w:rsidRPr="00D2031A" w:rsidRDefault="00D2031A" w:rsidP="00D2031A">
      <w:pPr>
        <w:pStyle w:val="NormalHanging12a"/>
        <w:ind w:hanging="570"/>
      </w:pPr>
      <w:r w:rsidRPr="00D2031A">
        <w:t>47.</w:t>
      </w:r>
      <w:r w:rsidRPr="00D2031A">
        <w:tab/>
      </w:r>
      <w:r w:rsidR="0090410D" w:rsidRPr="00D2031A">
        <w:t xml:space="preserve">λαμβάνει υπόψη τη σύσταση της έκθεσης </w:t>
      </w:r>
      <w:proofErr w:type="spellStart"/>
      <w:r w:rsidR="0090410D" w:rsidRPr="00D2031A">
        <w:t>Draghi</w:t>
      </w:r>
      <w:proofErr w:type="spellEnd"/>
      <w:r w:rsidR="0090410D" w:rsidRPr="00D2031A">
        <w:t xml:space="preserve"> για την παροχή φορολογικών κινήτρων για τη στήριξη της ανάπτυξης στρατηγικών τομέων· θεωρεί ότι τα φορολογικά κίνητρα που συνδέονται με επενδυτικά προϊόντα θα πρέπει να δίνουν προτεραιότητα στις επενδύσεις που πραγματοποιούνται στην Ευρώπη για τη στήριξη της ευρωπαϊκής ανταγωνιστικότητας·</w:t>
      </w:r>
    </w:p>
    <w:p w14:paraId="0165A75E" w14:textId="187F4DBD" w:rsidR="0090410D" w:rsidRPr="00D2031A" w:rsidRDefault="00D2031A" w:rsidP="00D2031A">
      <w:pPr>
        <w:pStyle w:val="NormalHanging12a"/>
        <w:ind w:hanging="570"/>
      </w:pPr>
      <w:r w:rsidRPr="00D2031A">
        <w:t>48.</w:t>
      </w:r>
      <w:r w:rsidRPr="00D2031A">
        <w:tab/>
      </w:r>
      <w:r w:rsidR="0090410D" w:rsidRPr="00D2031A">
        <w:t>χαιρετίζει, ως πρώτο βήμα και για τη μείωση της πολυπλοκότητας και του κατακερματισμού της εσωτερικής αγοράς, τις κατευθυντήριες γραμμές της Επιτροπής σχετικά με τον σχεδιασμό των φορολογικών κινήτρων, με παράλληλο σεβασμό των εθνικών αρμοδιοτήτων των κρατών μελών·</w:t>
      </w:r>
    </w:p>
    <w:p w14:paraId="33D266B0" w14:textId="6DE8D6A4" w:rsidR="0090410D" w:rsidRPr="00D2031A" w:rsidRDefault="00D2031A" w:rsidP="00D2031A">
      <w:pPr>
        <w:pStyle w:val="NormalHanging12a"/>
        <w:ind w:hanging="570"/>
      </w:pPr>
      <w:r w:rsidRPr="00D2031A">
        <w:t>49.</w:t>
      </w:r>
      <w:r w:rsidRPr="00D2031A">
        <w:tab/>
      </w:r>
      <w:r w:rsidR="0090410D" w:rsidRPr="00D2031A">
        <w:t xml:space="preserve">καλεί την Ευρωπαϊκή Επιτροπή να αντιμετωπίσει τα υφιστάμενα εμπόδια για τις διασυνοριακές λιανικές επενδύσεις, όπως οι υπερβολικά περίπλοκες διαδικασίες ανάκτησης </w:t>
      </w:r>
      <w:proofErr w:type="spellStart"/>
      <w:r w:rsidR="0090410D" w:rsidRPr="00D2031A">
        <w:t>παρακρατούμενων</w:t>
      </w:r>
      <w:proofErr w:type="spellEnd"/>
      <w:r w:rsidR="0090410D" w:rsidRPr="00D2031A">
        <w:t xml:space="preserve"> φόρων και η έλλειψη ελάχιστων προτύπων σε επίπεδο ΕΕ για τις γενικές συνελεύσεις των μετόχων·</w:t>
      </w:r>
    </w:p>
    <w:p w14:paraId="29BA47DB" w14:textId="3ED78A7E" w:rsidR="0090410D" w:rsidRPr="00D2031A" w:rsidRDefault="00D2031A" w:rsidP="00D2031A">
      <w:pPr>
        <w:pStyle w:val="Normal12a24b"/>
        <w:spacing w:before="0"/>
        <w:ind w:left="567" w:hanging="570"/>
      </w:pPr>
      <w:r w:rsidRPr="00D2031A">
        <w:t>50.</w:t>
      </w:r>
      <w:r w:rsidRPr="00D2031A">
        <w:tab/>
      </w:r>
      <w:r w:rsidR="0090410D" w:rsidRPr="00D2031A">
        <w:t xml:space="preserve">υπογραμμίζει ότι η ολοκλήρωση των κεφαλαιαγορών αποτελεί αναγκαίο πυλώνα της </w:t>
      </w:r>
      <w:r w:rsidR="0090410D" w:rsidRPr="00D2031A">
        <w:lastRenderedPageBreak/>
        <w:t>επενδυτικής στρατηγικής της Ένωσης, η οποία μπορεί, όπου είναι αποτελεσματική, να συμπληρωθεί με προσεκτικά σχεδιασμένα κίνητρα για μακροπρόθεσμα προϊόντα, ώστε να μεγιστοποιηθεί ο αντίκτυπος·</w:t>
      </w:r>
    </w:p>
    <w:p w14:paraId="6A635A56" w14:textId="55E149C2" w:rsidR="0090410D" w:rsidRPr="00D2031A" w:rsidRDefault="00D2031A" w:rsidP="00D2031A">
      <w:pPr>
        <w:pStyle w:val="NormalHanging12a"/>
        <w:ind w:hanging="570"/>
        <w:rPr>
          <w:snapToGrid/>
        </w:rPr>
      </w:pPr>
      <w:r w:rsidRPr="00D2031A">
        <w:rPr>
          <w:snapToGrid/>
        </w:rPr>
        <w:t>51.</w:t>
      </w:r>
      <w:r w:rsidRPr="00D2031A">
        <w:rPr>
          <w:snapToGrid/>
        </w:rPr>
        <w:tab/>
      </w:r>
      <w:r w:rsidR="0090410D" w:rsidRPr="00D2031A">
        <w:t xml:space="preserve">καλεί την Επιτροπή να αναπτύξει προτάσεις με στόχο τη διευκόλυνση της διοχέτευσης αποταμιεύσεων μέσω μακροπρόθεσμων αποταμιευτικών προϊόντων σε παραγωγικές επενδύσεις, με βάση τις εθνικές εμπειρίες που έχουν δείξει ισχυρή διείσδυση στο λιανικό εμπόριο· ζητεί από την Επιτροπή να διερευνήσει λύσεις και να μελετήσει ιδέες, όπως η δημιουργία ενός λογαριασμού αποταμίευσης επενδύσεων της ΕΕ που θα είναι προσβάσιμος σε όλους τους πολίτες της ΕΕ ή ενός σήματος σε επίπεδο ΕΕ για επενδυτικά προϊόντα κατάλληλα για ιδιώτες επενδυτές, έχοντας ως βάση κοινά κριτήρια ή χαρακτηριστικά, όπως τα «μη πολύπλοκα» προϊόντα, το αναλογικό κόστος, ο μακροπρόθεσμος επενδυτικός προσανατολισμός, ο επιμερισμός του ενεργητικού και οι τεχνικές μετριασμού του κινδύνου· καλεί την Επιτροπή να θεσπίσει ένα απλουστευμένο και εξορθολογισμένο τμήμα παροχής συμβουλών ή ένα τμήμα μόνο για καθοδηγούμενη εκτέλεση για προϊόντα που επισημαίνονται ως βασικά και απλά· ζητεί, ειδικότερα, από την Επιτροπή να αξιολογήσει την προστιθέμενη αξία και την αποτελεσματικότητα, καθώς και την προθυμία των εταιρειών και των πολιτών για ένα σήμα για επενδύσεις που προσφέρουν ευκαιρίες επιβράβευσης σε επενδυτές σε παγκόσμιο επίπεδο ή που είναι βιώσιμοι και βρίσκονται κυρίως στην ΕΕ (σήμα </w:t>
      </w:r>
      <w:proofErr w:type="spellStart"/>
      <w:r w:rsidR="0090410D" w:rsidRPr="00D2031A">
        <w:t>Invest</w:t>
      </w:r>
      <w:proofErr w:type="spellEnd"/>
      <w:r w:rsidR="0090410D" w:rsidRPr="00D2031A">
        <w:t xml:space="preserve"> ή </w:t>
      </w:r>
      <w:proofErr w:type="spellStart"/>
      <w:r w:rsidR="0090410D" w:rsidRPr="00D2031A">
        <w:t>Made</w:t>
      </w:r>
      <w:proofErr w:type="spellEnd"/>
      <w:r w:rsidR="0090410D" w:rsidRPr="00D2031A">
        <w:t xml:space="preserve"> In Europe)· τονίζει ότι μια τέτοια πρωτοβουλία θα πρέπει να αποσκοπεί στην επίτευξη πρόσθετων εξοικονομήσεων, διασφαλίζοντας παράλληλα και, όπου είναι δυνατόν, ενισχύοντας την ποικιλομορφία των προϊόντων, των διανομέων και των δομών της αγοράς σε ολόκληρη την Ένωση· σημειώνει ότι ορισμένα κράτη μέλη σημειώνουν πρόοδο με μια «Ευρώπη των προθύμων»· παροτρύνει την Επιτροπή και τα κράτη μέλη να είναι όσο το δυνατόν πιο φιλόδοξα και να προχωρήσουν όσο το δυνατόν περισσότερο ως ομάδα·</w:t>
      </w:r>
    </w:p>
    <w:p w14:paraId="008D792A" w14:textId="605FCA50" w:rsidR="0090410D" w:rsidRPr="00D2031A" w:rsidRDefault="00D2031A" w:rsidP="00D2031A">
      <w:pPr>
        <w:pStyle w:val="NormalHanging12a"/>
        <w:ind w:hanging="570"/>
      </w:pPr>
      <w:r w:rsidRPr="00D2031A">
        <w:t>52.</w:t>
      </w:r>
      <w:r w:rsidRPr="00D2031A">
        <w:tab/>
      </w:r>
      <w:r w:rsidR="0090410D" w:rsidRPr="00D2031A">
        <w:t xml:space="preserve">σημειώνει τη δρομολόγηση του ευρωπαϊκού σήματος μακροπρόθεσμων αποταμιεύσεων </w:t>
      </w:r>
      <w:proofErr w:type="spellStart"/>
      <w:r w:rsidR="0090410D" w:rsidRPr="00D2031A">
        <w:t>Finance</w:t>
      </w:r>
      <w:proofErr w:type="spellEnd"/>
      <w:r w:rsidR="0090410D" w:rsidRPr="00D2031A">
        <w:t xml:space="preserve"> Europe</w:t>
      </w:r>
      <w:r w:rsidR="0090410D" w:rsidRPr="00D2031A">
        <w:rPr>
          <w:rStyle w:val="FootnoteReference"/>
        </w:rPr>
        <w:footnoteReference w:id="25"/>
      </w:r>
      <w:r w:rsidR="0090410D" w:rsidRPr="00D2031A">
        <w:t xml:space="preserve"> από επτά κράτη μέλη σε συνεργασία με τους εθνικούς χρηματοπιστωτικούς κλάδους τους· σημειώνει ότι τα κριτήρια για ένα τέτοιο σήμα περιλαμβάνουν κατανομή χαρτοφυλακίου στην οποία τουλάχιστον το 70 % των περιουσιακών στοιχείων επενδύονται σε ευρωπαϊκές εταιρείες, ελάχιστη επενδυτική διάρκεια πέντε ετών, σημαντικό μέρος των επενδύσεων σε μετοχικό κεφάλαιο και ενδεχομένως εθνικά σχεδιασμένα φορολογικά κίνητρα·</w:t>
      </w:r>
    </w:p>
    <w:p w14:paraId="4E6DE8DE" w14:textId="6809F097" w:rsidR="0090410D" w:rsidRPr="00D2031A" w:rsidRDefault="00D2031A" w:rsidP="00D2031A">
      <w:pPr>
        <w:pStyle w:val="NormalHanging12a"/>
        <w:ind w:hanging="570"/>
      </w:pPr>
      <w:r w:rsidRPr="00D2031A">
        <w:t>53.</w:t>
      </w:r>
      <w:r w:rsidRPr="00D2031A">
        <w:tab/>
      </w:r>
      <w:r w:rsidR="0090410D" w:rsidRPr="00D2031A">
        <w:t>υπενθυμίζει ότι τα υφιστάμενα πανευρωπαϊκά προϊόντα, όπως τα ευρωπαϊκά μακροπρόθεσμα επενδυτικά κεφάλαια (ΕΜΕΚ) και τα πανευρωπαϊκά ατομικά συνταξιοδοτικά προϊόντα (PEPP), έχουν μέχρι στιγμής αντιμετωπίσει δυσκολίες στην προσέλκυση ιδιωτών επενδυτών· αναγνωρίζει τις εν εξελίξει μεταρρυθμίσεις που αποσκοπούν στην ενίσχυση της ελκυστικότητάς τους, αλλά τονίζει ότι η πείρα δείχνει ότι ο κανονιστικός σχεδιασμός από μόνος του δεν επαρκεί για την προώθηση τους·</w:t>
      </w:r>
    </w:p>
    <w:p w14:paraId="698B77B8" w14:textId="59994571" w:rsidR="0090410D" w:rsidRPr="00D2031A" w:rsidRDefault="00D2031A" w:rsidP="00D2031A">
      <w:pPr>
        <w:pStyle w:val="NormalHanging12a"/>
        <w:ind w:hanging="570"/>
      </w:pPr>
      <w:r w:rsidRPr="00D2031A">
        <w:t>54.</w:t>
      </w:r>
      <w:r w:rsidRPr="00D2031A">
        <w:tab/>
      </w:r>
      <w:r w:rsidR="0090410D" w:rsidRPr="00D2031A">
        <w:t xml:space="preserve">τονίζει ότι η ισχυρή προστασία των καταναλωτών είναι απαραίτητη για την ενίσχυση της εμπιστοσύνης και την ενίσχυση της συμμετοχής στα ευρωπαϊκά επενδυτικά </w:t>
      </w:r>
      <w:r w:rsidR="0090410D" w:rsidRPr="00D2031A">
        <w:lastRenderedPageBreak/>
        <w:t>προϊόντα· υπογραμμίζει την ανάγκη για σαφείς γνωστοποιήσεις, για δομές διαφανείς και με χαμηλά τέλη, πρόσβαση σε βασικές χρηματοπιστωτικές υπηρεσίες για την προώθηση της χρηματοπιστωτικής ένταξης, ισχυρή ρύθμιση ψηφιακών εργαλείων όπως η τεχνητή νοημοσύνη (ΤΝ) που χρησιμοποιούν τα χρηματοπιστωτικά ιδρύματα κατά την πώληση και την παροχή συμβουλών σχετικά με ευρωπαϊκά χρηματοπιστωτικά προϊόντα και ισχυρή ρύθμιση και τυποποίηση των χρηματοπιστωτικών προϊόντων, σε συνδυασμό με στοχευμένες πρωτοβουλίες χρηματοοικονομικής εκπαίδευσης·</w:t>
      </w:r>
    </w:p>
    <w:p w14:paraId="267CC8CE" w14:textId="2D20ACFE" w:rsidR="0090410D" w:rsidRPr="00D2031A" w:rsidRDefault="00D2031A" w:rsidP="00D2031A">
      <w:pPr>
        <w:pStyle w:val="NormalHanging12a"/>
        <w:ind w:hanging="570"/>
      </w:pPr>
      <w:r w:rsidRPr="00D2031A">
        <w:t>55.</w:t>
      </w:r>
      <w:r w:rsidRPr="00D2031A">
        <w:tab/>
      </w:r>
      <w:r w:rsidR="0090410D" w:rsidRPr="00D2031A">
        <w:t>παροτρύνει την Επιτροπή να στηρίξει την ανάπτυξη μιας ευρωπαϊκής οικογένειας δεικτών ένωσης κεφαλαιαγορών</w:t>
      </w:r>
      <w:r w:rsidR="0090410D" w:rsidRPr="00D2031A">
        <w:rPr>
          <w:rStyle w:val="FootnoteReference"/>
        </w:rPr>
        <w:footnoteReference w:id="26"/>
      </w:r>
      <w:r w:rsidR="0090410D" w:rsidRPr="00D2031A">
        <w:t xml:space="preserve"> βάσει δεδομένων που θα καταστούν διαθέσιμα στο πλαίσιο του μελλοντικού ενοποιημένου δελτίου συναλλαγών σε επίπεδο ΕΕ, με το οποίο θα προβληθούν περισσότερο οι μικρότερες και λιγότερο ρευστές εθνικές αγορές στην ΕΕ και θα επιτρέψει στους Ευρωπαίους πολίτες να επενδύσουν εύκολα σε μετοχές μεσαίας και μικρής κεφαλαιοποίησης σε όλα τα κράτη μέλη της ΕΕ· θεωρεί ότι αυτή η οικογένεια δεικτών θα πρέπει να καλύπτει όλες τις εισηγμένες στο χρηματιστήριο μετοχές στην ΕΕ και να προβλέπει </w:t>
      </w:r>
      <w:proofErr w:type="spellStart"/>
      <w:r w:rsidR="0090410D" w:rsidRPr="00D2031A">
        <w:t>υποδείκτες</w:t>
      </w:r>
      <w:proofErr w:type="spellEnd"/>
      <w:r w:rsidR="0090410D" w:rsidRPr="00D2031A">
        <w:t xml:space="preserve"> για μεμονωμένες χώρες, περιφέρειες και τομείς για την κάλυψη των ποικίλων αναγκών των επενδυτών, των εκδοτών και των χρηματιστηρίων τους· τονίζει ότι η ανάπτυξη και η διαχείριση των δεικτών, καθώς και η χρήση τους από τους συμμετέχοντες στην αγορά, θα πρέπει να είναι οικονομικά αποδοτική, ώστε να ελαχιστοποιείται η επιβάρυνση για τους συμμετέχοντες στην αγορά και να μεγιστοποιούνται οι θετικές δευτερογενείς επιδράσεις, όπως η αύξηση των εισηγμένων μετοχών και των νέων χρηματοπιστωτικών προϊόντων·</w:t>
      </w:r>
    </w:p>
    <w:p w14:paraId="1C303D16" w14:textId="73A21C32" w:rsidR="0090410D" w:rsidRPr="00D2031A" w:rsidRDefault="00D2031A" w:rsidP="00D2031A">
      <w:pPr>
        <w:pStyle w:val="NormalHanging12a"/>
        <w:ind w:hanging="570"/>
      </w:pPr>
      <w:r w:rsidRPr="00D2031A">
        <w:t>56.</w:t>
      </w:r>
      <w:r w:rsidRPr="00D2031A">
        <w:tab/>
      </w:r>
      <w:r w:rsidR="0090410D" w:rsidRPr="00D2031A">
        <w:t>τονίζει τη σημασία της βελτίωσης της πρόσβασης των ιδιωτών επενδυτών σε επικαιροποιημένες πληροφορίες σχετικά με την τιμολόγηση και τα προϊόντα, καθώς και σε ευκαιρίες για εξατομικευμένες προσφορές· ζητεί να ληφθούν μέτρα για να καταστεί ευκολότερη η πρόσβαση στις πληροφορίες αυτές·</w:t>
      </w:r>
    </w:p>
    <w:p w14:paraId="01A43BF4" w14:textId="0F95747A" w:rsidR="0090410D" w:rsidRPr="00D2031A" w:rsidRDefault="00D2031A" w:rsidP="00D2031A">
      <w:pPr>
        <w:pStyle w:val="NormalHanging12a"/>
        <w:ind w:hanging="570"/>
      </w:pPr>
      <w:r w:rsidRPr="00D2031A">
        <w:t>57.</w:t>
      </w:r>
      <w:r w:rsidRPr="00D2031A">
        <w:tab/>
      </w:r>
      <w:r w:rsidR="0090410D" w:rsidRPr="00D2031A">
        <w:t xml:space="preserve">υπενθυμίζει ότι τα συνταξιοδοτικά συστήματα και τα μοντέλα χρηματοδότησής τους εξαρτώνται σε μεγάλο βαθμό από τις εθνικές ιδιαιτερότητες· τονίζει ότι οι συντάξεις συμβάλλουν στην προστασία των συνταξιούχων, στην οικοδόμηση κεφαλαιαγορών και στην κινητοποίηση επενδυτικών συστημάτων, και πρέπει να δίνουν προτεραιότητα στη σταθερότητα, την αλληλεγγύη και την παροχή επαρκούς και προβλέψιμου εισοδήματος κατά τη συνταξιοδότηση· επισημαίνει ότι οι ισχυρές διασφαλίσεις προστασίας των </w:t>
      </w:r>
      <w:proofErr w:type="spellStart"/>
      <w:r w:rsidR="0090410D" w:rsidRPr="00D2031A">
        <w:t>μικροαποταμιευτών</w:t>
      </w:r>
      <w:proofErr w:type="spellEnd"/>
      <w:r w:rsidR="0090410D" w:rsidRPr="00D2031A">
        <w:t xml:space="preserve"> θα πρέπει να συνδέονται με την ανάπτυξη των συνταξιοδοτικών προϊόντων του πυλώνα 2 και του πυλώνα 3·</w:t>
      </w:r>
    </w:p>
    <w:p w14:paraId="149CB3A5" w14:textId="7D465E1D" w:rsidR="0090410D" w:rsidRPr="00D2031A" w:rsidRDefault="00D2031A" w:rsidP="00D2031A">
      <w:pPr>
        <w:pStyle w:val="NormalHanging12a"/>
        <w:ind w:hanging="570"/>
      </w:pPr>
      <w:r w:rsidRPr="00D2031A">
        <w:t>58.</w:t>
      </w:r>
      <w:r w:rsidRPr="00D2031A">
        <w:tab/>
      </w:r>
      <w:r w:rsidR="0090410D" w:rsidRPr="00D2031A">
        <w:t>πιστεύει ότι τα συστήματα παρακολούθησης των συντάξεων μπορούν να δώσουν στους Ευρωπαίους πολίτες σαφέστερη εικόνα των συνταξιοδοτικών δικαιωμάτων που μπορούν να αναμένουν κατά τη συνταξιοδότησή τους· παροτρύνει την Ευρωπαϊκή Επιτροπή να διασφαλίσει ότι όλα τα κράτη μέλη θα θεσπίσουν απλά και διαφανή συστήματα παρακολούθησης των συντάξεων, τα οποία θα είναι εύκολα και ελεύθερα προσβάσιμα στους πολίτες·</w:t>
      </w:r>
    </w:p>
    <w:p w14:paraId="5AA476AA" w14:textId="170D88D0" w:rsidR="0090410D" w:rsidRPr="00D2031A" w:rsidRDefault="00D2031A" w:rsidP="00D2031A">
      <w:pPr>
        <w:pStyle w:val="NormalHanging12a"/>
        <w:ind w:hanging="570"/>
      </w:pPr>
      <w:r w:rsidRPr="00D2031A">
        <w:t>59.</w:t>
      </w:r>
      <w:r w:rsidRPr="00D2031A">
        <w:tab/>
      </w:r>
      <w:r w:rsidR="0090410D" w:rsidRPr="00D2031A">
        <w:t xml:space="preserve">επισημαίνει ότι οι διαμεσολαβητές, όπως τα συνταξιοδοτικά ταμεία και οι ασφαλιστικές επιχειρήσεις, διαδραματίζουν καίριο ρόλο στη διοχέτευση των ιδιωτικών </w:t>
      </w:r>
      <w:r w:rsidR="0090410D" w:rsidRPr="00D2031A">
        <w:lastRenderedPageBreak/>
        <w:t xml:space="preserve">αποταμιεύσεων σε παραγωγικές επενδύσεις· αναμένει ότι η Ευρωπαϊκή Επιτροπή θα εγκρίνει μια φιλόδοξη κατ’ εξουσιοδότηση πράξη σχετικά με τις μακροπρόθεσμες εγγυήσεις και τις μακροπρόθεσμες μετοχές στο πλαίσιο της οδηγίας Φερεγγυότητα II, η οποία θα αντικατοπτρίζει πλήρως τη συμφωνία που επιτεύχθηκε από τον </w:t>
      </w:r>
      <w:proofErr w:type="spellStart"/>
      <w:r w:rsidR="0090410D" w:rsidRPr="00D2031A">
        <w:t>συννομοθέτη</w:t>
      </w:r>
      <w:proofErr w:type="spellEnd"/>
      <w:r w:rsidR="0090410D" w:rsidRPr="00D2031A">
        <w:t xml:space="preserve"> σχετικά με την τροποποιητική οδηγία «Φερεγγυότητα ΙΙ» και θα λαμβάνει υπόψη τις σχετικές συστάσεις της EIOPA·</w:t>
      </w:r>
    </w:p>
    <w:p w14:paraId="72694629" w14:textId="74A91EBF" w:rsidR="0090410D" w:rsidRPr="00D2031A" w:rsidRDefault="00D2031A" w:rsidP="00D2031A">
      <w:pPr>
        <w:pStyle w:val="NormalHanging12a"/>
        <w:ind w:hanging="570"/>
        <w:rPr>
          <w:snapToGrid/>
        </w:rPr>
      </w:pPr>
      <w:r w:rsidRPr="00D2031A">
        <w:rPr>
          <w:snapToGrid/>
        </w:rPr>
        <w:t>60.</w:t>
      </w:r>
      <w:r w:rsidRPr="00D2031A">
        <w:rPr>
          <w:snapToGrid/>
        </w:rPr>
        <w:tab/>
      </w:r>
      <w:r w:rsidR="0090410D" w:rsidRPr="00D2031A">
        <w:t xml:space="preserve">αναμένει από την Επιτροπή να αναπτύξει λύσεις που θα επιτρέπουν στις εταιρείες, συμπεριλαμβανομένων των αναπτυσσόμενων νεοφυών επιχειρήσεων, των πολύ μικρών επιχειρήσεων και των ΜΜΕ, να επεκταθούν και να εισαχθούν στο χρηματιστήριο της ΕΕ· ζητεί, επομένως, η μελλοντική στρατηγική της ΕΕ για τις νεοφυείς και τις αναπτυσσόμενες νέες επιχειρήσεις να περιλαμβάνει ένα κεφάλαιο για τη χρηματοδότηση, ιδίως όσον αφορά τα επιχειρηματικά κεφάλαια, στο οποίο θα περιγράφονται τα κατάλληλα κίνητρα ώστε οι ευρωπαϊκές νεοφυείς και αναπτυσσόμενες νέες επιχειρήσεις να μην </w:t>
      </w:r>
      <w:proofErr w:type="spellStart"/>
      <w:r w:rsidR="0090410D" w:rsidRPr="00D2031A">
        <w:t>μετεγκαθίστανται</w:t>
      </w:r>
      <w:proofErr w:type="spellEnd"/>
      <w:r w:rsidR="0090410D" w:rsidRPr="00D2031A">
        <w:t xml:space="preserve"> σε χώρες εκτός της ΕΕ και με στόχο τη δημιουργία ενός ελκυστικού και ανοικτού επενδυτικού περιβάλλοντος που θα καλωσορίζει τόσο τους ενωσιακούς όσο και τους παγκόσμιους επενδυτές που επιθυμούν να επενδύσουν στην Ένωση· τονίζει τη σημασία της προσέλκυσης ταλέντων στην ΕΕ προκειμένου να διασφαλιστούν η μακροπρόθεσμη οικονομική ανάπτυξη, η καινοτομία και η παγκόσμια ανταγωνιστικότητα· τονίζει την ανάγκη εμβάθυνσης της ολοκλήρωσης των πρωτογενών αγορών της ΕΕ μέσω της προώθησης της κανονιστικής σύγκλισης και της διευκόλυνσης των διασυνοριακών εισαγωγών στο χρηματιστήριο· αναγνωρίζει ότι οι αγορές ανάπτυξης ΜΜΕ αποτελούν ζωτικό σημείο εισόδου για τις ΜΜΕ στις κεφαλαιαγορές και θα πρέπει να καταστούν πιο προσβάσιμες μέσω εξορθολογισμένων απαιτήσεων·</w:t>
      </w:r>
    </w:p>
    <w:p w14:paraId="4BB598B7" w14:textId="26BB25E2" w:rsidR="0090410D" w:rsidRPr="00D2031A" w:rsidRDefault="00D2031A" w:rsidP="00D2031A">
      <w:pPr>
        <w:pStyle w:val="NormalHanging12a"/>
        <w:ind w:hanging="570"/>
      </w:pPr>
      <w:r w:rsidRPr="00D2031A">
        <w:t>61.</w:t>
      </w:r>
      <w:r w:rsidRPr="00D2031A">
        <w:tab/>
      </w:r>
      <w:r w:rsidR="0090410D" w:rsidRPr="00D2031A">
        <w:t>ζητεί στοχευμένη στήριξη σε επίπεδο ΕΕ προκειμένου να διασφαλιστεί ότι τα αποτελέσματα της έρευνας φθάνουν αποτελεσματικότερα στην αγορά, ιδίως στα κράτη μέλη με ασθενέστερα οικοσυστήματα καινοτομίας· υπογραμμίζει τη σημασία της σύνδεσης των ερευνητικών ιδρυμάτων με τις νεοφυείς επιχειρήσεις και τη βιομηχανία·</w:t>
      </w:r>
    </w:p>
    <w:p w14:paraId="10B08E35" w14:textId="56B2DC52" w:rsidR="0090410D" w:rsidRPr="00D2031A" w:rsidRDefault="00D2031A" w:rsidP="00D2031A">
      <w:pPr>
        <w:pStyle w:val="NormalHanging12a"/>
        <w:ind w:hanging="570"/>
      </w:pPr>
      <w:r w:rsidRPr="00D2031A">
        <w:t>62.</w:t>
      </w:r>
      <w:r w:rsidRPr="00D2031A">
        <w:tab/>
      </w:r>
      <w:r w:rsidR="0090410D" w:rsidRPr="00D2031A">
        <w:t>υποστηρίζει την έξοδο των επενδυτών από ιδιωτικές εταιρείες μέσω της προώθησης μηχανισμών όπως η πολυμερής διαλείπουσα διαπραγμάτευση μετοχών κατεχόμενων από ιδιώτες, βελτιώνοντας έτσι τη ρευστότητα και τη διαφάνεια και επιτρέποντας στους επενδυτές σε πρώιμο στάδιο να πραγματοποιήσουν αποδόσεις· θεωρεί ότι οι μηχανισμοί αυτοί θα πρέπει να σχεδιαστούν ειδικά για να διευκολύνουν τις διασυνοριακές συναλλαγές σε όλα τα κράτη μέλη της ΕΕ, διατηρώντας παράλληλα τα δικαιώματα των μετόχων, ιδίως για τους μειοψηφούντες μετόχους·</w:t>
      </w:r>
    </w:p>
    <w:p w14:paraId="604C460B" w14:textId="39A3A9B8" w:rsidR="0090410D" w:rsidRPr="00D2031A" w:rsidRDefault="00D2031A" w:rsidP="00D2031A">
      <w:pPr>
        <w:pStyle w:val="NormalHanging12a"/>
        <w:ind w:hanging="570"/>
      </w:pPr>
      <w:r w:rsidRPr="00D2031A">
        <w:t>63.</w:t>
      </w:r>
      <w:r w:rsidRPr="00D2031A">
        <w:tab/>
      </w:r>
      <w:r w:rsidR="0090410D" w:rsidRPr="00D2031A">
        <w:t>καλεί την Επιτροπή να δώσει προτεραιότητα σε ένα φιλόδοξο θεματολόγιο για τις αποταμιεύσεις και τις επενδύσεις που θα παρέχει κίνητρα για ιδιωτικές επενδύσεις, θα στηρίζει τη χρηματοπιστωτική σταθερότητα και την προστασία των καταναλωτών, θα ευνοεί την πρόσβαση σε επιχειρηματικά κεφάλαια και επενδύσεις μετοχικού κεφαλαίου, ώστε να μπορούν οι ΜΜΕ να επωφελούνται από μεγαλύτερη ολοκλήρωση της αγοράς, θα διασφαλίζει την πρόσβαση στις αγορές για ιδιώτες επενδυτές, θα ενισχύει τις χρηματοοικονομικές γνώσεις και θα μειώνει την υπερβολική εξάρτηση και θα συμπληρώνει τον τραπεζικό δανεισμό, ενώ παράλληλα θα παρέχει κίνητρα για βιώσιμες δραστηριότητες·</w:t>
      </w:r>
    </w:p>
    <w:p w14:paraId="6927F613" w14:textId="768078B5" w:rsidR="0090410D" w:rsidRPr="00D2031A" w:rsidRDefault="00D2031A" w:rsidP="00D2031A">
      <w:pPr>
        <w:pStyle w:val="NormalHanging12a"/>
        <w:ind w:hanging="570"/>
      </w:pPr>
      <w:r w:rsidRPr="00D2031A">
        <w:t>64.</w:t>
      </w:r>
      <w:r w:rsidRPr="00D2031A">
        <w:tab/>
      </w:r>
      <w:r w:rsidR="0090410D" w:rsidRPr="00D2031A">
        <w:t xml:space="preserve">πιστεύει ότι η αύξηση των οικονομικών γνώσεων και της εμπιστοσύνης είναι απαραίτητη για τη δημιουργία μιας επιτυχημένης Ένωσης Κεφαλαιαγορών και την </w:t>
      </w:r>
      <w:r w:rsidR="0090410D" w:rsidRPr="00D2031A">
        <w:lastRenderedPageBreak/>
        <w:t xml:space="preserve">κινητοποίηση ιδιωτικών επενδύσεων· σημειώνει με ανησυχία ότι οι χρηματοοικονομικές γνώσεις παραμένουν χαμηλές σε ολόκληρη την Ένωση, καθώς μόνο το 18 % των πολιτών της ΕΕ επιδεικνύει υψηλό επίπεδο χρηματοοικονομικών γνώσεων· υπογραμμίζει ότι τα επίπεδα γνώσης διαφέρουν σημαντικά μεταξύ των κρατών μελών και των δημογραφικών ομάδων· ζητεί να δοθεί σαφέστερη έμφαση στις χρηματοοικονομικές γνώσεις, δεδομένου ότι είναι αναγκαίο να βελτιωθεί το επίπεδο κατανόησης των επενδυτικών προϊόντων από τους πολίτες της ΕΕ· </w:t>
      </w:r>
    </w:p>
    <w:p w14:paraId="3D182E30" w14:textId="248752CE" w:rsidR="0090410D" w:rsidRPr="00D2031A" w:rsidRDefault="00D2031A" w:rsidP="00D2031A">
      <w:pPr>
        <w:pStyle w:val="NormalHanging12a"/>
        <w:ind w:hanging="570"/>
      </w:pPr>
      <w:r w:rsidRPr="00D2031A">
        <w:t>65.</w:t>
      </w:r>
      <w:r w:rsidRPr="00D2031A">
        <w:tab/>
      </w:r>
      <w:r w:rsidR="0090410D" w:rsidRPr="00D2031A">
        <w:t>θεωρεί ότι θα πρέπει να ενισχυθούν οι πρωτοβουλίες αυξημένης χρηματοοικονομικής εκπαίδευσης στην ΕΕ, προκειμένου να αυξηθεί η κατανόηση από τους πολίτες των οφελών της συμμετοχής στις κεφαλαιαγορές και να βοηθηθούν οι μεμονωμένοι επενδυτές να λαμβάνουν τεκμηριωμένες επενδυτικές αποφάσεις· χαιρετίζει την πρόταση της Επιτροπής για μια νέα στρατηγική και ζητεί να είναι επαρκώς φιλόδοξη ώστε να βελτιώσει σημαντικά τα επίπεδα εκπαίδευσης σε ολόκληρη την Ευρώπη, διασφαλίζοντας μόνιμες αλλαγές· υπογραμμίζει την επείγουσα ανάγκη να ληφθούν μέτρα για την προώθηση πιο προσβάσιμης και ισότιμης χρηματοοικονομικής εκπαίδευσης σε ολόκληρη την ΕΕ, με σεβασμό των εθνικών αρμοδιοτήτων· πιστεύει ότι η Επιτροπή και τα κράτη μέλη θα πρέπει να χρηματοδοτούν πρωτοβουλίες από οργανώσεις καταναλωτών, μεμονωμένες ενώσεις επενδυτών και οργανώσεις μετόχων που προωθούν την κατανόηση και προωθούν τη συμμετοχή των ιδιωτών στις κεφαλαιαγορές· παροτρύνει την Επιτροπή να στηρίξει την ανάπτυξη ανεξάρτητων, φιλικών προς τον χρήστη ψηφιακών εργαλείων που θα μπορούσαν να δώσουν τη δυνατότητα στους πολίτες να συγκρίνουν εύκολα τα διάφορα χαρακτηριστικά και τα γνωρίσματα των επενδυτικών προϊόντων που διατίθενται στην αγορά·</w:t>
      </w:r>
    </w:p>
    <w:p w14:paraId="63B0C7DE" w14:textId="66CB68FB" w:rsidR="0090410D" w:rsidRPr="00D2031A" w:rsidRDefault="00D2031A" w:rsidP="00D2031A">
      <w:pPr>
        <w:pStyle w:val="NormalHanging12a"/>
        <w:ind w:hanging="570"/>
      </w:pPr>
      <w:r w:rsidRPr="00D2031A">
        <w:t>66.</w:t>
      </w:r>
      <w:r w:rsidRPr="00D2031A">
        <w:tab/>
      </w:r>
      <w:r w:rsidR="0090410D" w:rsidRPr="00D2031A">
        <w:t xml:space="preserve">τονίζει ότι οι πρωτοβουλίες χρηματοοικονομικής εκπαίδευσης δεν μπορούν να αντικαταστήσουν το ισχυρό πλαίσιο προστασίας των επενδυτών· επισημαίνει ότι οι πρωτοβουλίες χρηματοοικονομικών γνώσεων ενδέχεται να αποφέρουν περιορισμένο αντίκτυπο, δεδομένων των αναπόφευκτων περιορισμών συμπεριφοράς και των γνωσιακών προκαταλήψεων που επηρεάζουν μεμονωμένους επενδυτές, και λόγω της ταχύτητας της καινοτομίας και της μεγάλης πολυπλοκότητας των χρηματοπιστωτικών αγορών· πιστεύει ότι οι πρωτοβουλίες σε επίπεδο ΕΕ και κρατών μελών για τη στήριξη της τυποποίησης και της απλότητας των χρηματοπιστωτικών προϊόντων θα μπορούσαν να ενισχύσουν την κατανόηση των επενδυτικών προϊόντων από τους πολίτες της ΕΕ και να βελτιώσουν τη </w:t>
      </w:r>
      <w:proofErr w:type="spellStart"/>
      <w:r w:rsidR="0090410D" w:rsidRPr="00D2031A">
        <w:t>συγκρισιμότητά</w:t>
      </w:r>
      <w:proofErr w:type="spellEnd"/>
      <w:r w:rsidR="0090410D" w:rsidRPr="00D2031A">
        <w:t xml:space="preserve"> τους·</w:t>
      </w:r>
    </w:p>
    <w:p w14:paraId="0FF08716" w14:textId="6F5D3BC8" w:rsidR="0090410D" w:rsidRPr="00D2031A" w:rsidRDefault="00D2031A" w:rsidP="00D2031A">
      <w:pPr>
        <w:pStyle w:val="NormalHanging12a"/>
        <w:ind w:hanging="570"/>
      </w:pPr>
      <w:r w:rsidRPr="00D2031A">
        <w:t>67.</w:t>
      </w:r>
      <w:r w:rsidRPr="00D2031A">
        <w:tab/>
      </w:r>
      <w:r w:rsidR="0090410D" w:rsidRPr="00D2031A">
        <w:t>καλεί την Επιτροπή και τα κράτη μέλη να εστιάσουν περισσότερο στην ψηφιοποίηση στον τομέα των χρηματοπιστωτικών υπηρεσιών, προκειμένου να αξιοποιήσουν τις νέες ευκαιρίες που προσφέρουν η ΤΝ, η ανταλλαγή δεδομένων και η νέα τεχνολογία, και να παραμείνουν ανταγωνιστικές σε διεθνές επίπεδο·</w:t>
      </w:r>
    </w:p>
    <w:p w14:paraId="197B1F00" w14:textId="297E5A5C" w:rsidR="0090410D" w:rsidRPr="00D2031A" w:rsidRDefault="00D2031A" w:rsidP="00D2031A">
      <w:pPr>
        <w:pStyle w:val="NormalHanging12a"/>
        <w:ind w:hanging="570"/>
      </w:pPr>
      <w:r w:rsidRPr="00D2031A">
        <w:t>68.</w:t>
      </w:r>
      <w:r w:rsidRPr="00D2031A">
        <w:tab/>
      </w:r>
      <w:r w:rsidR="0090410D" w:rsidRPr="00D2031A">
        <w:t>καλεί την Επιτροπή να διευκολύνει τις μακροπρόθεσμες επενδύσεις μετοχικού κεφαλαίου από θεσμικούς επενδυτές, συμπεριλαμβανομένων τραπεζών, ασφαλιστών, συνταξιοδοτικών ταμείων και επενδυτικών κεφαλαίων·</w:t>
      </w:r>
    </w:p>
    <w:p w14:paraId="23610BD5" w14:textId="279F68A5" w:rsidR="0090410D" w:rsidRPr="00D2031A" w:rsidRDefault="00D2031A" w:rsidP="00D2031A">
      <w:pPr>
        <w:pStyle w:val="NormalHanging12a"/>
        <w:ind w:hanging="570"/>
      </w:pPr>
      <w:r w:rsidRPr="00D2031A">
        <w:t>69.</w:t>
      </w:r>
      <w:r w:rsidRPr="00D2031A">
        <w:tab/>
      </w:r>
      <w:r w:rsidR="0090410D" w:rsidRPr="00D2031A">
        <w:t>υποστηρίζει τη δημιουργία ενός πλήρως εξειδικευμένου ευρωπαϊκού συστήματος ασφάλισης των καταθέσεων· αναγνωρίζει ότι υπάρχει διασύνδεση μεταξύ του επιμερισμού των κινδύνων και της μείωσης των κινδύνων·</w:t>
      </w:r>
    </w:p>
    <w:p w14:paraId="5D0FB322" w14:textId="3757352A" w:rsidR="0090410D" w:rsidRPr="00D2031A" w:rsidRDefault="00D2031A" w:rsidP="00D2031A">
      <w:pPr>
        <w:pStyle w:val="NormalHanging12a"/>
        <w:ind w:hanging="570"/>
      </w:pPr>
      <w:r w:rsidRPr="00D2031A">
        <w:t>70.</w:t>
      </w:r>
      <w:r w:rsidRPr="00D2031A">
        <w:tab/>
      </w:r>
      <w:r w:rsidR="0090410D" w:rsidRPr="00D2031A">
        <w:t xml:space="preserve">σημειώνει </w:t>
      </w:r>
      <w:r w:rsidR="007A1099" w:rsidRPr="00D2031A">
        <w:t xml:space="preserve">την επανεξέταση του πλαισίου τιτλοποίησης που παρουσίασε η Επιτροπή στις 17 Ιουνίου 2025, η οποία θα μπορούσε </w:t>
      </w:r>
      <w:r w:rsidR="0090410D" w:rsidRPr="00D2031A">
        <w:t xml:space="preserve">να συμβάλει στη χρηματοπιστωτική </w:t>
      </w:r>
      <w:r w:rsidR="0090410D" w:rsidRPr="00D2031A">
        <w:lastRenderedPageBreak/>
        <w:t>ολοκλήρωση μέσω της γεφύρωσης του τραπεζικού δανεισμού και των κεφαλαιαγορών· θεωρεί ότι κάθε δράση που αποσκοπεί στην αναζωογόνηση της τιτλοποίησης θα πρέπει να επικεντρώνεται στον εξορθολογισμό των κανονιστικών απαιτήσεων δημοσιοποίησης και σε απλά, διαφανή και τυποποιημένα κριτήρια</w:t>
      </w:r>
      <w:r w:rsidR="007A1099" w:rsidRPr="00D2031A">
        <w:t>, χωρίς</w:t>
      </w:r>
      <w:r w:rsidR="0090410D" w:rsidRPr="00D2031A">
        <w:t xml:space="preserve"> να </w:t>
      </w:r>
      <w:r w:rsidR="007A1099" w:rsidRPr="00D2031A">
        <w:t xml:space="preserve">εμποδίζεται η </w:t>
      </w:r>
      <w:r w:rsidR="0090410D" w:rsidRPr="00D2031A">
        <w:t>χρηματοπιστωτική σταθερότητα·</w:t>
      </w:r>
    </w:p>
    <w:p w14:paraId="3E580781" w14:textId="77777777" w:rsidR="0090410D" w:rsidRPr="00D2031A" w:rsidRDefault="0090410D" w:rsidP="0090410D">
      <w:pPr>
        <w:pStyle w:val="Normal12a24b"/>
      </w:pPr>
      <w:r w:rsidRPr="00D2031A">
        <w:rPr>
          <w:rStyle w:val="BoldItalic"/>
        </w:rPr>
        <w:t>Βέλτιστη χρήση των δημόσιων πόρων για τη γεφύρωση του χάσματος παραγωγικότητας</w:t>
      </w:r>
    </w:p>
    <w:p w14:paraId="5224A5C5" w14:textId="7236B1FD" w:rsidR="0090410D" w:rsidRPr="00D2031A" w:rsidRDefault="00D2031A" w:rsidP="00D2031A">
      <w:pPr>
        <w:widowControl/>
        <w:spacing w:after="240"/>
        <w:ind w:left="567" w:hanging="573"/>
      </w:pPr>
      <w:r w:rsidRPr="00D2031A">
        <w:t>71.</w:t>
      </w:r>
      <w:r w:rsidRPr="00D2031A">
        <w:tab/>
      </w:r>
      <w:r w:rsidR="0090410D" w:rsidRPr="00D2031A">
        <w:t>υπενθυμίζει τη σημασία των δημοσιονομικών αποθεμάτων για τη στήριξη των δημόσιων επενδύσεων· αναγνωρίζει, ειδικότερα, ότι βάσει του πλαισίου δημοσιονομικών κανόνων τα κράτη μέλη θα πρέπει να διατηρούν, τουλάχιστον, το επίπεδο των εθνικά χρηματοδοτούμενων δημόσιων επενδύσεων καθ’ όλη τη διάρκεια των εθνικών μεσοπρόθεσμων διαρθρωτικών σχεδίων τους, σε σχέση με το μεσοπρόθεσμο επίπεδο πριν από την έναρξη του σχεδίου·</w:t>
      </w:r>
    </w:p>
    <w:p w14:paraId="62F86276" w14:textId="6C9314EE" w:rsidR="0090410D" w:rsidRPr="00D2031A" w:rsidRDefault="00D2031A" w:rsidP="00D2031A">
      <w:pPr>
        <w:pStyle w:val="NormalHanging12a"/>
        <w:ind w:hanging="573"/>
      </w:pPr>
      <w:r w:rsidRPr="00D2031A">
        <w:t>72.</w:t>
      </w:r>
      <w:r w:rsidRPr="00D2031A">
        <w:tab/>
      </w:r>
      <w:r w:rsidR="0090410D" w:rsidRPr="00D2031A">
        <w:t>σημειώνει ότι ο ιδιωτικός τομέας είναι απίθανο να είναι σε θέση να χρηματοδοτήσει το μεγαλύτερο μέρος των επενδύσεων που απαιτούνται για την ψηφιοποίηση και την απαλλαγή της οικονομίας από τις ανθρακούχες εκπομπές χωρίς τη στήριξη του δημόσιου τομέα· θεωρεί ότι ο επείγων χαρακτήρας των μέτρων για την ανταγωνιστικότητα, την άμυνα, την ενέργεια και την απαλλαγή από τις ανθρακούχες εκπομπές θα απαιτήσει σημαντική κινητοποίηση ιδιωτικών και δημόσιων επενδύσεων, συμπεριλαμβανομένων συμπράξεων δημόσιου και ιδιωτικού τομέα, κατά περίπτωση·</w:t>
      </w:r>
    </w:p>
    <w:p w14:paraId="6DE63848" w14:textId="201BFBAE" w:rsidR="0090410D" w:rsidRPr="00D2031A" w:rsidRDefault="00D2031A" w:rsidP="00D2031A">
      <w:pPr>
        <w:widowControl/>
        <w:spacing w:after="240"/>
        <w:ind w:left="567" w:hanging="573"/>
      </w:pPr>
      <w:r w:rsidRPr="00D2031A">
        <w:t>73.</w:t>
      </w:r>
      <w:r w:rsidRPr="00D2031A">
        <w:tab/>
      </w:r>
      <w:r w:rsidR="0090410D" w:rsidRPr="00D2031A">
        <w:t>επισημαίνει, ωστόσο, ότι τα επίπεδα δημόσιου χρέους σε ολόκληρη την ΕΕ είναι υψηλά και ότι τα δημοσιονομικά περιθώρια είναι περιορισμένα· τονίζει, ως εκ τούτου, ότι κάθε μέτρο δημόσιας στήριξης που αποσκοπεί στην κινητοποίηση ιδιωτικών επενδύσεων πρέπει να είναι πολύ στοχευμένο· επισημαίνει ότι οι πρωτοβουλίες ελαχιστοποίησης των κινδύνων, π.χ. μέσω δημόσιων εγγυήσεων, έχουν αποδειχθεί επιτυχείς για την επίτευξη αυτού του στόχου·</w:t>
      </w:r>
    </w:p>
    <w:p w14:paraId="340A262E" w14:textId="0628CFB5" w:rsidR="0090410D" w:rsidRPr="00D2031A" w:rsidRDefault="00D2031A" w:rsidP="00D2031A">
      <w:pPr>
        <w:widowControl/>
        <w:spacing w:after="240"/>
        <w:ind w:left="567" w:hanging="573"/>
      </w:pPr>
      <w:r w:rsidRPr="00D2031A">
        <w:t>74.</w:t>
      </w:r>
      <w:r w:rsidRPr="00D2031A">
        <w:tab/>
      </w:r>
      <w:r w:rsidR="0090410D" w:rsidRPr="00D2031A">
        <w:t>επισημαίνει την αυξημένη συχνότητα και τον αντίκτυπο των φυσικών καταστροφών που συνεπάγονται τεράστιο κόστος για τα δημόσια οικονομικά· σημειώνει ότι αυτό το μελλοντικό κόστος δεν λαμβάνεται επί του παρόντος υπόψη στην ανάλυση της βιωσιμότητας του χρέους·</w:t>
      </w:r>
    </w:p>
    <w:p w14:paraId="04678EA7" w14:textId="2AEB9BB7" w:rsidR="0090410D" w:rsidRPr="00D2031A" w:rsidRDefault="00D2031A" w:rsidP="00D2031A">
      <w:pPr>
        <w:widowControl/>
        <w:spacing w:after="240"/>
        <w:ind w:left="567" w:hanging="573"/>
      </w:pPr>
      <w:r w:rsidRPr="00D2031A">
        <w:t>75.</w:t>
      </w:r>
      <w:r w:rsidRPr="00D2031A">
        <w:tab/>
      </w:r>
      <w:r w:rsidR="0090410D" w:rsidRPr="00D2031A">
        <w:t xml:space="preserve">αναμένει από την Επιτροπή και τα κράτη μέλη να λάβουν φιλόδοξα και συγκεκριμένα μέτρα προκειμένου να αποφευχθεί η κάμψη των δημόσιων επενδύσεων μετά το 2026, όταν, με την προοπτική ενός σοβαρού εμπορικού πολέμου που θα μπορούσε να επηρεάσει την κατανομή των επενδύσεων, ο Μηχανισμός Ανάκαμψης και Ανθεκτικότητας (ΜΑΑ) και το πρόγραμμα InvestEU αναμένεται επίσης να λήξουν· σημειώνει τις θεμελιώδεις αδυναμίες του ΜΑΑ, για παράδειγμα, τη μη συμμετοχή των περιφερειακών και τοπικών αρχών από τον σχεδιασμό έως την υλοποίηση μέσω μιας τοποκεντρικής και πολυεπίπεδης προσέγγισης διακυβέρνησης· τονίζει την ανάγκη να διατηρηθούν οι δημόσιες επενδύσεις τόσο σε εθνικό όσο και σε ευρωπαϊκό επίπεδο για τη μόχλευση ιδιωτικών επενδύσεων και τη χρηματοδότηση δημόσιων υπηρεσιών και υποδομών υψηλής ποιότητας· πιστεύει ότι το πλαίσιο αυτό θα πρέπει, κατά περίπτωση, να ενισχυθεί με επενδυτικά μέσα και εργαλεία σε επίπεδο ΕΕ που να αποσκοπούν στην ελαχιστοποίηση του κόστους για τους φορολογούμενους της ΕΕ και στη μεγιστοποίηση της αποδοτικότητας της παροχής ευρωπαϊκών δημόσιων αγαθών, το οποίο θα μπορούσε να αποτελεί και ένα βήμα για τη δημιουργία κοινού ασφαλούς περιουσιακού στοιχείου· επικροτεί, ως εκ τούτου, την πρόταση σχετικά με τη δέσμη μέτρων </w:t>
      </w:r>
      <w:proofErr w:type="spellStart"/>
      <w:r w:rsidR="0090410D" w:rsidRPr="00D2031A">
        <w:t>Omnibus</w:t>
      </w:r>
      <w:proofErr w:type="spellEnd"/>
      <w:r w:rsidR="0090410D" w:rsidRPr="00D2031A">
        <w:t xml:space="preserve"> για το </w:t>
      </w:r>
      <w:r w:rsidR="0090410D" w:rsidRPr="00D2031A">
        <w:lastRenderedPageBreak/>
        <w:t>InvestEU, η οποία θα κινητοποιήσει σημαντικό ποσό πρόσθετων επενδύσεων για το υπόλοιπο του πολυετούς δημοσιονομικού πλαισίου·</w:t>
      </w:r>
    </w:p>
    <w:p w14:paraId="13D84B47" w14:textId="07CA77CB" w:rsidR="0090410D" w:rsidRPr="00D2031A" w:rsidRDefault="00D2031A" w:rsidP="00D2031A">
      <w:pPr>
        <w:widowControl/>
        <w:spacing w:after="240"/>
        <w:ind w:left="567" w:hanging="573"/>
      </w:pPr>
      <w:r w:rsidRPr="00D2031A">
        <w:t>76.</w:t>
      </w:r>
      <w:r w:rsidRPr="00D2031A">
        <w:tab/>
      </w:r>
      <w:r w:rsidR="0090410D" w:rsidRPr="00D2031A">
        <w:t>επισημαίνει ότι υπάρχει ανάγκη αποτελεσματικού συντονισμού των εθνικών δημοσιονομικών πολιτικών προκειμένου να διατηρηθούν επαρκή επίπεδα δημόσιων επενδύσεων για την ΕΕ·</w:t>
      </w:r>
    </w:p>
    <w:p w14:paraId="6BCC9584" w14:textId="19A679C3" w:rsidR="0090410D" w:rsidRPr="00D2031A" w:rsidRDefault="00D2031A" w:rsidP="00D2031A">
      <w:pPr>
        <w:widowControl/>
        <w:spacing w:after="240"/>
        <w:ind w:left="567" w:hanging="573"/>
      </w:pPr>
      <w:r w:rsidRPr="00D2031A">
        <w:t>77.</w:t>
      </w:r>
      <w:r w:rsidRPr="00D2031A">
        <w:tab/>
      </w:r>
      <w:r w:rsidR="0090410D" w:rsidRPr="00D2031A">
        <w:t>σημειώνει ότι, προκειμένου να συμμορφωθούν με το δημοσιονομικό πλαίσιο της ΕΕ, οι κυβερνήσεις της ΕΕ αναμένεται να ακολουθήσουν περιοριστικό δημοσιονομικό προσανατολισμό το 2025, ο οποίος θα μπορούσε να αντιβαίνει στις επενδυτικές ανάγκες της ΕΕ· τονίζει ότι, καθώς οι κυβερνήσεις της ΕΕ αγωνίζονται για να αντιμετωπίσουν τις αντίστοιχες δημοσιονομικές τους επιβαρύνσεις, απαιτούνται επενδυτικά μέσα σε επίπεδο ΕΕ για να γεφυρωθεί το επενδυτικό χάσμα·</w:t>
      </w:r>
    </w:p>
    <w:p w14:paraId="2290E809" w14:textId="1F2F3CE8" w:rsidR="0090410D" w:rsidRPr="00D2031A" w:rsidRDefault="00D2031A" w:rsidP="00D2031A">
      <w:pPr>
        <w:widowControl/>
        <w:spacing w:after="240"/>
        <w:ind w:left="567" w:hanging="573"/>
      </w:pPr>
      <w:r w:rsidRPr="00D2031A">
        <w:t>78.</w:t>
      </w:r>
      <w:r w:rsidRPr="00D2031A">
        <w:tab/>
      </w:r>
      <w:r w:rsidR="0090410D" w:rsidRPr="00D2031A">
        <w:t xml:space="preserve">υπενθυμίζει ότι το μέσο ανάκαμψης </w:t>
      </w:r>
      <w:proofErr w:type="spellStart"/>
      <w:r w:rsidR="0090410D" w:rsidRPr="00D2031A">
        <w:t>NextGenerationEU</w:t>
      </w:r>
      <w:proofErr w:type="spellEnd"/>
      <w:r w:rsidR="0090410D" w:rsidRPr="00D2031A">
        <w:t xml:space="preserve"> αποτελεί τη μεγαλύτερη δέσμη κινήτρων που έχει χρηματοδοτηθεί ποτέ από την ΕΕ για τη στήριξη της οικονομικής ανάκαμψης και της πράσινης και ψηφιακής μετάβασης· επισημαίνει ότι τα κομβικά ζητήματα σχετικά με την αναχρηματοδότηση του </w:t>
      </w:r>
      <w:proofErr w:type="spellStart"/>
      <w:r w:rsidR="0090410D" w:rsidRPr="00D2031A">
        <w:t>NextGenerationEU</w:t>
      </w:r>
      <w:proofErr w:type="spellEnd"/>
      <w:r w:rsidR="0090410D" w:rsidRPr="00D2031A">
        <w:t xml:space="preserve"> εξακολουθούν να παραμένουν ανεπίλυτα· καλεί το Συμβούλιο να εγκρίνει επειγόντως τους νέους ιδίους πόρους, ώστε το κόστος δανεισμού του </w:t>
      </w:r>
      <w:proofErr w:type="spellStart"/>
      <w:r w:rsidR="0090410D" w:rsidRPr="00D2031A">
        <w:t>NextGenerationEU</w:t>
      </w:r>
      <w:proofErr w:type="spellEnd"/>
      <w:r w:rsidR="0090410D" w:rsidRPr="00D2031A">
        <w:t xml:space="preserve"> να αποπληρωθεί με βιώσιμο τρόπο· θεωρεί ότι θα πρέπει να διερευνηθούν όλα τα μέσα και τα εργαλεία προκειμένου να παρασχεθούν στην Ένωση οι απαραίτητοι πόροι·</w:t>
      </w:r>
    </w:p>
    <w:p w14:paraId="2C225725" w14:textId="42402062" w:rsidR="0090410D" w:rsidRPr="00D2031A" w:rsidRDefault="00D2031A" w:rsidP="00D2031A">
      <w:pPr>
        <w:widowControl/>
        <w:spacing w:after="240"/>
        <w:ind w:left="567" w:hanging="573"/>
      </w:pPr>
      <w:r w:rsidRPr="00D2031A">
        <w:t>79.</w:t>
      </w:r>
      <w:r w:rsidRPr="00D2031A">
        <w:tab/>
      </w:r>
      <w:r w:rsidR="0090410D" w:rsidRPr="00D2031A">
        <w:t xml:space="preserve">σημειώνει ότι η έκδοση ενός κοινού ασφαλούς περιουσιακού στοιχείου θα μπορούσε να θέσει ένα σημείο αναφοράς που θα διευκόλυνε την επίτευξη της Ένωσης Κεφαλαιαγορών, θα βελτιώσει τη μετάδοση της νομισματικής πολιτικής σε ολόκληρο το ευρώ, θα ενισχύσει τον διεθνή ρόλο του ευρώ και θα αντιμετωπίσει ορισμένες από τις επενδυτικές ανάγκες που εντοπίζονται στην έκθεση </w:t>
      </w:r>
      <w:proofErr w:type="spellStart"/>
      <w:r w:rsidR="0090410D" w:rsidRPr="00D2031A">
        <w:t>Draghi</w:t>
      </w:r>
      <w:proofErr w:type="spellEnd"/>
      <w:r w:rsidR="0090410D" w:rsidRPr="00D2031A">
        <w:t xml:space="preserve">· επαναλαμβάνει, στο πλαίσιο αυτό, ότι ο κοινός δανεισμός αποτελεί βιώσιμη επιλογή για να διασφαλιστεί ότι η Ένωση διαθέτει επαρκείς πόρους για την αντιμετώπιση οξειών κρίσεων σε επίπεδο Ένωσης, όπως η συνεχιζόμενη κρίση στον τομέα της ασφάλειας και της άμυνας· καλεί την Επιτροπή να προχωρήσει με τις συζητήσεις για την αντιμετώπιση του σημαντικού επενδυτικού χάσματος στην ΕΕ, όπως προσδιορίστηκε στην «έκθεση </w:t>
      </w:r>
      <w:proofErr w:type="spellStart"/>
      <w:r w:rsidR="0090410D" w:rsidRPr="00D2031A">
        <w:t>Draghi</w:t>
      </w:r>
      <w:proofErr w:type="spellEnd"/>
      <w:r w:rsidR="0090410D" w:rsidRPr="00D2031A">
        <w:t>», και να υποβάλει συγκεκριμένες προτάσεις για χρηματοδοτικές λύσεις·</w:t>
      </w:r>
    </w:p>
    <w:p w14:paraId="4473ABE3" w14:textId="4E5254C2" w:rsidR="00CB275B" w:rsidRPr="00D2031A" w:rsidRDefault="00D2031A" w:rsidP="00D2031A">
      <w:pPr>
        <w:widowControl/>
        <w:spacing w:after="240"/>
        <w:ind w:left="567" w:hanging="573"/>
      </w:pPr>
      <w:r w:rsidRPr="00D2031A">
        <w:t>80.</w:t>
      </w:r>
      <w:r w:rsidRPr="00D2031A">
        <w:tab/>
      </w:r>
      <w:r w:rsidR="0090410D" w:rsidRPr="00D2031A">
        <w:t>χαιρετίζει την πρόθεση της Επιτροπής να ενισχύσει τη συμμετοχή των ιδιωτών επενδυτών σε ευρωπαϊκά χρηματοπιστωτικά προϊόντα σε συνεργασία με τον Όμιλο της Ευρωπαϊκής Τράπεζας Επενδύσεων (ΕΤΕπ), τον ΕΜΣ και τις εθνικές αναπτυξιακές τράπεζες· συνιστά τα ασφαλή περιουσιακά στοιχεία που εκδίδονται σε επίπεδο ΕΕ να ενσωματώνονται στα αποταμιευτικά προϊόντα για τους εργαζομένους·</w:t>
      </w:r>
    </w:p>
    <w:p w14:paraId="6A859359" w14:textId="485851E2" w:rsidR="00CB275B" w:rsidRPr="00D2031A" w:rsidRDefault="00D2031A" w:rsidP="00D2031A">
      <w:pPr>
        <w:widowControl/>
        <w:spacing w:after="240"/>
        <w:ind w:left="567" w:hanging="573"/>
      </w:pPr>
      <w:r w:rsidRPr="00D2031A">
        <w:t>81.</w:t>
      </w:r>
      <w:r w:rsidRPr="00D2031A">
        <w:tab/>
      </w:r>
      <w:r w:rsidR="0090410D" w:rsidRPr="00D2031A">
        <w:t>θεωρεί ότι οι αυξημένες αμυντικές ανάγκες λόγω γεωπολιτικών εντάσεων απαιτούν άμεση κινητοποίηση χρηματοδοτικής στήριξης με την επιφύλαξη του ειδικού χαρακτήρα της πολιτικής ασφάλειας και άμυνας ορισμένων κρατών μελών, ιδίως εκείνων που τηρούν καθεστώς ουδετερότητας· χαιρετίζει την επικείμενη πρόταση της Επιτροπής για ένα νέο χρηματοδοτικό μέσο SAFE ύψους έως 150 δισ</w:t>
      </w:r>
      <w:r w:rsidR="00CB275B" w:rsidRPr="00D2031A">
        <w:t>εκατομμύρια</w:t>
      </w:r>
      <w:r w:rsidR="0090410D" w:rsidRPr="00D2031A">
        <w:t xml:space="preserve"> EUR για την ενίσχυση των αμυντικών δυνατοτήτων της ΕΕ στο πλαίσιο του σχεδίου </w:t>
      </w:r>
      <w:proofErr w:type="spellStart"/>
      <w:r w:rsidR="0090410D" w:rsidRPr="00D2031A">
        <w:t>ReArm</w:t>
      </w:r>
      <w:proofErr w:type="spellEnd"/>
      <w:r w:rsidR="0090410D" w:rsidRPr="00D2031A">
        <w:t xml:space="preserve"> Europe· εκφράζει, ωστόσο, τη λύπη του για το γεγονός ότι η Επιτροπή επέλεξε να βασίσει τη νομοθετική της πρόταση στο άρθρο 122 ΣΛΕΕ, το οποίο αποκλείει τη διαβούλευση με το Κοινοβούλιο· υπενθυμίζει ότι η αποτελεσματική ανάπτυξη αμυντικών δυνατοτήτων βασίζεται σε κοινές επενδύσεις σε επίπεδο ΕΕ, οι οποίες </w:t>
      </w:r>
      <w:r w:rsidR="0090410D" w:rsidRPr="00D2031A">
        <w:lastRenderedPageBreak/>
        <w:t xml:space="preserve">διασφαλίζουν τη διαλειτουργικότητα και αποφέρουν οφέλη αποδοτικότητας, αντί να εξαρτώνται πρωτίστως από κατακερματισμένες εθνικές δαπάνες μέσω της συντονισμένης ενεργοποίησης εθνικών ρητρών διαφυγής, ώστε να καταστούν δυνατές οι επενδύσεις που σχετίζονται με την άμυνα· </w:t>
      </w:r>
    </w:p>
    <w:p w14:paraId="5DD8859C" w14:textId="7D1C886F" w:rsidR="00CB275B" w:rsidRPr="00D2031A" w:rsidRDefault="00D2031A" w:rsidP="00D2031A">
      <w:pPr>
        <w:widowControl/>
        <w:spacing w:after="240"/>
        <w:ind w:left="567" w:hanging="573"/>
      </w:pPr>
      <w:r w:rsidRPr="00D2031A">
        <w:t>82.</w:t>
      </w:r>
      <w:r w:rsidRPr="00D2031A">
        <w:tab/>
      </w:r>
      <w:r w:rsidR="0090410D" w:rsidRPr="00D2031A">
        <w:t xml:space="preserve">χαιρετίζει την κοινή πρωτοβουλία της Ευρωπαϊκής Επιτροπής και του Ομίλου ΕΤΕπ να συστήσουν ένα ταμείο κεφαλαίων που ονομάζεται «μηχανισμός μετοχικού κεφαλαίου στον τομέα της άμυνας», με προϋπολογισμό 175 εκατομμυρίων </w:t>
      </w:r>
      <w:r w:rsidRPr="00D2031A">
        <w:t>EUR</w:t>
      </w:r>
      <w:r w:rsidR="0090410D" w:rsidRPr="00D2031A">
        <w:t xml:space="preserve"> μεταξύ 2024 και 2027, για τη στήριξη ιδιωτικών επενδύσεων σε ευρωπαϊκές ΜΜΕ που αναπτύσσουν καινοτόμες αμυντικές τεχνολογίες διπλής χρήσης·</w:t>
      </w:r>
    </w:p>
    <w:p w14:paraId="20AD23E7" w14:textId="1CD28B0C" w:rsidR="00CB275B" w:rsidRPr="00D2031A" w:rsidRDefault="00D2031A" w:rsidP="00D2031A">
      <w:pPr>
        <w:widowControl/>
        <w:spacing w:after="240"/>
        <w:ind w:left="567" w:hanging="573"/>
      </w:pPr>
      <w:r w:rsidRPr="00D2031A">
        <w:t>83.</w:t>
      </w:r>
      <w:r w:rsidRPr="00D2031A">
        <w:tab/>
      </w:r>
      <w:r w:rsidR="0090410D" w:rsidRPr="00D2031A">
        <w:t>εκφράζει την ικανοποίησή του για τη δέσμευση του Ομίλου ΕΤΕπ, που περιγράφεται στον στρατηγικό χάρτη πορείας του για την περίοδο 2024-2027, να συμβάλει στην προώθηση της Ένωσης Κεφαλαιαγορών με την κινητοποίηση ιδιωτικών κεφαλαίων για παραγωγικές επενδύσεις και τη στήριξη κερδών σε βασικούς τομείς πολιτικής της ΕΕ, την καινοτομία καθ’ όλη τη διάρκεια του κύκλου ζωής των εταιρειών, τη χρηματοδότηση επιχειρηματικών κεφαλαίων και τη χρηματοδότηση με ίδια κεφάλαια υψηλότερου κινδύνου για νεοφυείς και επεκτεινόμενες επιχειρήσεις· υπενθυμίζει το καθήκον της δημόσιας τράπεζας της ΕΕ να στηρίζει μακροπρόθεσμα έργα μετάβασης που αντιμετωπίζουν δυσκολίες όσον αφορά τη λήψη χρηματοδότησης από τον ιδιωτικό τομέα·</w:t>
      </w:r>
    </w:p>
    <w:p w14:paraId="3D8C6D1D" w14:textId="25C454D2" w:rsidR="00CB275B" w:rsidRPr="00D2031A" w:rsidRDefault="00D2031A" w:rsidP="00D2031A">
      <w:pPr>
        <w:widowControl/>
        <w:spacing w:after="240"/>
        <w:ind w:left="567" w:hanging="573"/>
      </w:pPr>
      <w:r w:rsidRPr="00D2031A">
        <w:t>84.</w:t>
      </w:r>
      <w:r w:rsidRPr="00D2031A">
        <w:tab/>
      </w:r>
      <w:r w:rsidR="0090410D" w:rsidRPr="00D2031A">
        <w:t>τονίζει την ανάγκη απλούστευσης, εξορθολογισμού, βελτιστοποίησης και ενοποίησης των διαδικασιών και των εντολών της ΕΤΕπ για την ενίσχυση των συνεργειών, της αποτελεσματικότητας και της αποδοτικότητας, καθώς και για τη μείωση του διοικητικού φόρτου, του κόστους υποβολής εκθέσεων και της πολυπλοκότητας για τις εταιρείες και τα έργα, που διαφορετικά ενδέχεται να αποθαρρύνονται από την αναζήτηση χρηματοδότησης λόγω πολύπλοκων διαδικασιών, υψηλού κόστους συμμόρφωσης και κανονιστικής αβεβαιότητας·</w:t>
      </w:r>
    </w:p>
    <w:p w14:paraId="455F3A4E" w14:textId="61312394" w:rsidR="00CB275B" w:rsidRPr="00D2031A" w:rsidRDefault="00D2031A" w:rsidP="00D2031A">
      <w:pPr>
        <w:widowControl/>
        <w:spacing w:after="240"/>
        <w:ind w:left="567" w:hanging="573"/>
      </w:pPr>
      <w:r w:rsidRPr="00D2031A">
        <w:t>85.</w:t>
      </w:r>
      <w:r w:rsidRPr="00D2031A">
        <w:tab/>
      </w:r>
      <w:r w:rsidR="0090410D" w:rsidRPr="00D2031A">
        <w:t xml:space="preserve">υποστηρίζει την αυξημένη χρήση μέσων υψηλότερου κινδύνου, όπως η άμεση και έμμεση χρηματοδότηση ιδίων κεφαλαίων και </w:t>
      </w:r>
      <w:proofErr w:type="spellStart"/>
      <w:r w:rsidR="0090410D" w:rsidRPr="00D2031A">
        <w:t>οιονεί</w:t>
      </w:r>
      <w:proofErr w:type="spellEnd"/>
      <w:r w:rsidR="0090410D" w:rsidRPr="00D2031A">
        <w:t xml:space="preserve"> ιδίων κεφαλαίων από την ΕΤΕπ, μεταξύ άλλων μέσω του Ευρωπαϊκού Ταμείου Επενδύσεων, για την προώθηση των επενδύσεων σε εταιρείες και ταμεία, ιδίως μέσω επιχειρηματικών κεφαλαίων και επιχειρηματικού χρέους, υπογραμμίζοντας παράλληλα</w:t>
      </w:r>
      <w:r w:rsidR="0090410D" w:rsidRPr="00D2031A">
        <w:rPr>
          <w:rStyle w:val="normaltextrun"/>
          <w:color w:val="000000"/>
        </w:rPr>
        <w:t xml:space="preserve"> ότι τα μέσα υψηλότερου κινδύνου πρέπει να χρησιμοποιούνται με σαφή πλαίσια κινδύνου και μετρήσιμους δείκτες επιδόσεων</w:t>
      </w:r>
      <w:r w:rsidR="0090410D" w:rsidRPr="00D2031A">
        <w:t>·</w:t>
      </w:r>
    </w:p>
    <w:p w14:paraId="38A8A1FB" w14:textId="03575E0F" w:rsidR="00CB275B" w:rsidRPr="00D2031A" w:rsidRDefault="00D2031A" w:rsidP="00D2031A">
      <w:pPr>
        <w:widowControl/>
        <w:spacing w:after="240"/>
        <w:ind w:left="567" w:hanging="573"/>
      </w:pPr>
      <w:r w:rsidRPr="00D2031A">
        <w:t>86.</w:t>
      </w:r>
      <w:r w:rsidRPr="00D2031A">
        <w:tab/>
      </w:r>
      <w:r w:rsidR="0090410D" w:rsidRPr="00D2031A">
        <w:t>πιστεύει ότι η δημόσια στήριξη για επενδύσεις δεν περιορίζεται στην πρόσβαση σε χρηματοδότηση και θα πρέπει επίσης να περιλαμβάνει την τεχνική βοήθεια, τη διαχείριση έργων, την ανάπτυξη ικανοτήτων, την εμπορευματοποίηση της έρευνας, τη στήριξη της πρόσβασης σε ιδιωτική χρηματοδότηση και την προώθηση της συνεργασίας μεταξύ πανεπιστημίων και επιχειρηματικών κεφαλαίων για την προώθηση της καινοτομίας και της ανταγωνιστικότητας·</w:t>
      </w:r>
    </w:p>
    <w:p w14:paraId="607BD77D" w14:textId="6DB1A2C4" w:rsidR="00CB275B" w:rsidRPr="00D2031A" w:rsidRDefault="00D2031A" w:rsidP="00D2031A">
      <w:pPr>
        <w:widowControl/>
        <w:spacing w:after="240"/>
        <w:ind w:left="567" w:hanging="573"/>
      </w:pPr>
      <w:r w:rsidRPr="00D2031A">
        <w:t>87.</w:t>
      </w:r>
      <w:r w:rsidRPr="00D2031A">
        <w:tab/>
      </w:r>
      <w:r w:rsidR="0090410D" w:rsidRPr="00D2031A">
        <w:t>καλεί την Επιτροπή να προτείνει ένα εργαλείο συντονισμού της ανταγωνιστικότητας που θα υποστηρίζει επίσης τον προσδιορισμό των ευρωπαϊκών βιομηχανικών αναγκών, των ελλείψεων και των ευκαιριών της αγοράς, καθώς και να διατυπώσει σχετικές συστάσεις· τονίζει ότι θα πρέπει να συνδεθεί με το επικείμενο Ταμείο Ανταγωνιστικότητας για τη διασφάλιση αποτελεσματικών λύσεων στις βιομηχανικές προκλήσεις σε ολόκληρη την Ένωση·</w:t>
      </w:r>
    </w:p>
    <w:p w14:paraId="2A4FD6E1" w14:textId="4225DC7F" w:rsidR="00CB275B" w:rsidRPr="00D2031A" w:rsidRDefault="00D2031A" w:rsidP="00D2031A">
      <w:pPr>
        <w:widowControl/>
        <w:spacing w:after="240"/>
        <w:ind w:left="567" w:hanging="573"/>
      </w:pPr>
      <w:r w:rsidRPr="00D2031A">
        <w:lastRenderedPageBreak/>
        <w:t>88.</w:t>
      </w:r>
      <w:r w:rsidRPr="00D2031A">
        <w:tab/>
      </w:r>
      <w:r w:rsidR="0090410D" w:rsidRPr="00D2031A">
        <w:t>καλεί την Επιτροπή να δώσει μεγαλύτερη έμφαση στις προτεραιότητες της Ένωσης Αποταμιεύσεων και Επενδύσεων στο πλαίσιο του Ευρωπαϊκού Εξαμήνου, διασφαλίζοντας ότι οι διαρθρωτικές μεταρρυθμίσεις και τα μέτρα για την εμβάθυνση και την ολοκλήρωση των κεφαλαιαγορών της ΕΕ ενθαρρύνονται, παρακολουθούνται και αξιολογούνται με συνέπεια·</w:t>
      </w:r>
    </w:p>
    <w:p w14:paraId="34A5B811" w14:textId="273DE2ED" w:rsidR="00CB275B" w:rsidRPr="00D2031A" w:rsidRDefault="00D2031A" w:rsidP="00D2031A">
      <w:pPr>
        <w:widowControl/>
        <w:spacing w:after="240"/>
        <w:ind w:left="567" w:hanging="573"/>
      </w:pPr>
      <w:r w:rsidRPr="00D2031A">
        <w:t>89.</w:t>
      </w:r>
      <w:r w:rsidRPr="00D2031A">
        <w:tab/>
      </w:r>
      <w:r w:rsidR="0090410D" w:rsidRPr="00D2031A">
        <w:t xml:space="preserve">ζητεί από την Επιτροπή να ενσωματώσει ειδικά μέτρα για την προώθηση των επιχειρηματικών κεφαλαίων στο μελλοντικό Ταμείο Ανταγωνιστικότητας, στο πρόγραμμα </w:t>
      </w:r>
      <w:proofErr w:type="spellStart"/>
      <w:r w:rsidR="0090410D" w:rsidRPr="00D2031A">
        <w:t>TechEU</w:t>
      </w:r>
      <w:proofErr w:type="spellEnd"/>
      <w:r w:rsidR="0090410D" w:rsidRPr="00D2031A">
        <w:t xml:space="preserve"> και σε οποιαδήποτε παρόμοια πρωτοβουλία·</w:t>
      </w:r>
    </w:p>
    <w:p w14:paraId="15F35A21" w14:textId="0A892D98" w:rsidR="00CB275B" w:rsidRPr="00D2031A" w:rsidRDefault="00D2031A" w:rsidP="00D2031A">
      <w:pPr>
        <w:widowControl/>
        <w:spacing w:after="240"/>
        <w:ind w:left="567" w:hanging="573"/>
      </w:pPr>
      <w:r w:rsidRPr="00D2031A">
        <w:t>90.</w:t>
      </w:r>
      <w:r w:rsidRPr="00D2031A">
        <w:tab/>
      </w:r>
      <w:r w:rsidR="0090410D" w:rsidRPr="00D2031A">
        <w:t>αναγνωρίζει τον ρόλο της πολιτικής ανταγωνισμού και των κρατικών ενισχύσεων στη στήριξη της ανάπτυξης της ευρωπαϊκής βιομηχανίας· θεωρεί, ωστόσο, ότι οι κρατικές ενισχύσεις μπορούν να οδηγήσουν σε περαιτέρω κατακερματισμό της ενιαίας αγοράς·</w:t>
      </w:r>
    </w:p>
    <w:p w14:paraId="52CA93CC" w14:textId="543CC7BB" w:rsidR="00CB275B" w:rsidRPr="00D2031A" w:rsidRDefault="00D2031A" w:rsidP="00D2031A">
      <w:pPr>
        <w:widowControl/>
        <w:spacing w:after="240"/>
        <w:ind w:left="567" w:hanging="573"/>
      </w:pPr>
      <w:r w:rsidRPr="00D2031A">
        <w:t>91.</w:t>
      </w:r>
      <w:r w:rsidRPr="00D2031A">
        <w:tab/>
      </w:r>
      <w:r w:rsidR="0090410D" w:rsidRPr="00D2031A">
        <w:t>σημειώνει ότι η Επιτροπή θα δημοσιεύσει ενδιάμεση αξιολόγηση της Ένωσης Αποταμιεύσεων και Επενδύσεων έως το δεύτερο τρίμηνο του 2027·</w:t>
      </w:r>
    </w:p>
    <w:p w14:paraId="232C57B8" w14:textId="08F557B7" w:rsidR="0090410D" w:rsidRPr="00D2031A" w:rsidRDefault="00D2031A" w:rsidP="00D2031A">
      <w:pPr>
        <w:widowControl/>
        <w:spacing w:after="240"/>
        <w:ind w:left="567" w:hanging="573"/>
      </w:pPr>
      <w:r w:rsidRPr="00D2031A">
        <w:t>92.</w:t>
      </w:r>
      <w:r w:rsidRPr="00D2031A">
        <w:tab/>
      </w:r>
      <w:r w:rsidR="0090410D" w:rsidRPr="00D2031A">
        <w:t>τονίζει ότι το Κοινοβούλιο θα πρέπει να συμμετέχει επαρκώς στην υλοποίηση της Ένωσης Αποταμιεύσεων και Επενδύσεων· καλεί την Επιτροπή να συμμετάσχει στις αρχικές συζητήσεις στον τομέα της Ένωσης Κεφαλαιαγορών και των χρηματοπιστωτικών υπηρεσιών πριν από την υποβολή νέων προτάσεων και τυχόν προσαρμογών σε υφιστάμενες προτάσεις·</w:t>
      </w:r>
    </w:p>
    <w:p w14:paraId="772DF59F" w14:textId="77777777" w:rsidR="0090410D" w:rsidRPr="00D2031A" w:rsidRDefault="0090410D" w:rsidP="0090410D">
      <w:pPr>
        <w:pStyle w:val="NormalCenter12a"/>
      </w:pPr>
      <w:r w:rsidRPr="00D2031A">
        <w:t>°</w:t>
      </w:r>
    </w:p>
    <w:p w14:paraId="3934D56A" w14:textId="77777777" w:rsidR="0090410D" w:rsidRPr="00D2031A" w:rsidRDefault="0090410D" w:rsidP="0090410D">
      <w:pPr>
        <w:pStyle w:val="NormalCenter12a"/>
      </w:pPr>
      <w:r w:rsidRPr="00D2031A">
        <w:t>°</w:t>
      </w:r>
      <w:r w:rsidRPr="00D2031A">
        <w:tab/>
        <w:t>°</w:t>
      </w:r>
    </w:p>
    <w:p w14:paraId="3AEC18B4" w14:textId="041E74EF" w:rsidR="00D33FF0" w:rsidRPr="00D2031A" w:rsidRDefault="00D2031A" w:rsidP="00D2031A">
      <w:pPr>
        <w:pStyle w:val="NormalHanging12a"/>
        <w:ind w:left="570" w:hanging="570"/>
      </w:pPr>
      <w:r w:rsidRPr="00D2031A">
        <w:t>93.</w:t>
      </w:r>
      <w:r w:rsidRPr="00D2031A">
        <w:tab/>
      </w:r>
      <w:r w:rsidR="0090410D" w:rsidRPr="00D2031A">
        <w:t>αναθέτει στην Πρόεδρό του να διαβιβάσει το παρόν ψήφισμα στο Συμβούλιο και στην Επιτροπή.</w:t>
      </w:r>
    </w:p>
    <w:p w14:paraId="20E8DD32" w14:textId="5CAB1367" w:rsidR="00E365E1" w:rsidRPr="00D2031A" w:rsidRDefault="00E365E1" w:rsidP="009E3480"/>
    <w:sectPr w:rsidR="00E365E1" w:rsidRPr="00D2031A" w:rsidSect="00D33FF0">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678466B" w14:textId="77777777" w:rsidR="009E3480" w:rsidRPr="00D33FF0" w:rsidRDefault="009E3480">
      <w:r w:rsidRPr="00D33FF0">
        <w:separator/>
      </w:r>
    </w:p>
  </w:endnote>
  <w:endnote w:type="continuationSeparator" w:id="0">
    <w:p w14:paraId="76160164" w14:textId="77777777" w:rsidR="009E3480" w:rsidRPr="00D33FF0" w:rsidRDefault="009E3480">
      <w:r w:rsidRPr="00D33FF0">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Aptos">
    <w:altName w:val="Arial"/>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97A0EED" w14:textId="77777777" w:rsidR="00064002" w:rsidRPr="00D33FF0"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F0267B8" w14:textId="77777777" w:rsidR="00064002" w:rsidRPr="00D33FF0"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A1851A1" w14:textId="77777777" w:rsidR="00064002" w:rsidRPr="00D33FF0"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AE50CA8" w14:textId="77777777" w:rsidR="009E3480" w:rsidRPr="00D33FF0" w:rsidRDefault="009E3480">
      <w:r w:rsidRPr="00D33FF0">
        <w:separator/>
      </w:r>
    </w:p>
  </w:footnote>
  <w:footnote w:type="continuationSeparator" w:id="0">
    <w:p w14:paraId="58D413D6" w14:textId="77777777" w:rsidR="009E3480" w:rsidRPr="00D33FF0" w:rsidRDefault="009E3480">
      <w:r w:rsidRPr="00D33FF0">
        <w:continuationSeparator/>
      </w:r>
    </w:p>
  </w:footnote>
  <w:footnote w:id="1">
    <w:p w14:paraId="583BA788" w14:textId="50A95DB8" w:rsidR="0090410D" w:rsidRPr="00FB4265" w:rsidRDefault="0090410D" w:rsidP="00D2031A">
      <w:pPr>
        <w:pStyle w:val="FootnoteText"/>
        <w:spacing w:line="240" w:lineRule="auto"/>
        <w:ind w:left="567" w:hanging="567"/>
        <w:rPr>
          <w:sz w:val="24"/>
          <w:szCs w:val="24"/>
          <w:lang w:val="el-GR"/>
        </w:rPr>
      </w:pPr>
      <w:r w:rsidRPr="00FB4265">
        <w:rPr>
          <w:rStyle w:val="FootnoteReference"/>
          <w:sz w:val="24"/>
          <w:szCs w:val="24"/>
          <w:lang w:val="el-GR"/>
        </w:rPr>
        <w:footnoteRef/>
      </w:r>
      <w:r w:rsidR="00D33FF0" w:rsidRPr="00FB4265">
        <w:rPr>
          <w:sz w:val="24"/>
          <w:szCs w:val="24"/>
          <w:lang w:val="el-GR"/>
        </w:rPr>
        <w:t xml:space="preserve"> </w:t>
      </w:r>
      <w:r w:rsidR="00D33FF0" w:rsidRPr="00FB4265">
        <w:rPr>
          <w:sz w:val="24"/>
          <w:szCs w:val="24"/>
          <w:lang w:val="el-GR"/>
        </w:rPr>
        <w:tab/>
      </w:r>
      <w:r w:rsidRPr="00FB4265">
        <w:rPr>
          <w:sz w:val="24"/>
          <w:szCs w:val="24"/>
          <w:lang w:val="el-GR"/>
        </w:rPr>
        <w:t>ΕΕ C 395 της 29.9.2021, σ. 89.</w:t>
      </w:r>
    </w:p>
  </w:footnote>
  <w:footnote w:id="2">
    <w:p w14:paraId="0396E9C5" w14:textId="3AB22A0C" w:rsidR="0090410D" w:rsidRPr="00FB4265" w:rsidRDefault="0090410D" w:rsidP="00D2031A">
      <w:pPr>
        <w:pStyle w:val="FootnoteText"/>
        <w:spacing w:line="240" w:lineRule="auto"/>
        <w:ind w:left="567" w:hanging="567"/>
        <w:rPr>
          <w:sz w:val="24"/>
          <w:szCs w:val="24"/>
          <w:lang w:val="el-GR"/>
        </w:rPr>
      </w:pPr>
      <w:r w:rsidRPr="00FB4265">
        <w:rPr>
          <w:rStyle w:val="FootnoteReference"/>
          <w:sz w:val="24"/>
          <w:szCs w:val="24"/>
          <w:lang w:val="el-GR"/>
        </w:rPr>
        <w:footnoteRef/>
      </w:r>
      <w:r w:rsidR="00D33FF0" w:rsidRPr="00FB4265">
        <w:rPr>
          <w:sz w:val="24"/>
          <w:szCs w:val="24"/>
          <w:lang w:val="el-GR"/>
        </w:rPr>
        <w:t xml:space="preserve"> </w:t>
      </w:r>
      <w:r w:rsidR="00D33FF0" w:rsidRPr="00FB4265">
        <w:rPr>
          <w:sz w:val="24"/>
          <w:szCs w:val="24"/>
          <w:lang w:val="el-GR"/>
        </w:rPr>
        <w:tab/>
      </w:r>
      <w:r w:rsidRPr="00FB4265">
        <w:rPr>
          <w:sz w:val="24"/>
          <w:szCs w:val="24"/>
          <w:lang w:val="el-GR"/>
        </w:rPr>
        <w:t>ΕΕ C 265 της 11.8.2017, σ. 76.</w:t>
      </w:r>
    </w:p>
  </w:footnote>
  <w:footnote w:id="3">
    <w:p w14:paraId="4F92EA7B" w14:textId="11DE5378" w:rsidR="0090410D" w:rsidRPr="00FB4265" w:rsidRDefault="0090410D" w:rsidP="00D2031A">
      <w:pPr>
        <w:pStyle w:val="FootnoteText"/>
        <w:spacing w:line="240" w:lineRule="auto"/>
        <w:ind w:left="567" w:hanging="567"/>
        <w:rPr>
          <w:sz w:val="24"/>
          <w:szCs w:val="24"/>
          <w:lang w:val="el-GR"/>
        </w:rPr>
      </w:pPr>
      <w:r w:rsidRPr="00FB4265">
        <w:rPr>
          <w:rStyle w:val="FootnoteReference"/>
          <w:sz w:val="24"/>
          <w:szCs w:val="24"/>
          <w:lang w:val="el-GR"/>
        </w:rPr>
        <w:footnoteRef/>
      </w:r>
      <w:r w:rsidR="00D33FF0" w:rsidRPr="00FB4265">
        <w:rPr>
          <w:sz w:val="24"/>
          <w:szCs w:val="24"/>
          <w:lang w:val="el-GR"/>
        </w:rPr>
        <w:t xml:space="preserve"> </w:t>
      </w:r>
      <w:r w:rsidR="00D33FF0" w:rsidRPr="00FB4265">
        <w:rPr>
          <w:sz w:val="24"/>
          <w:szCs w:val="24"/>
          <w:lang w:val="el-GR"/>
        </w:rPr>
        <w:tab/>
      </w:r>
      <w:r w:rsidRPr="00FB4265">
        <w:rPr>
          <w:sz w:val="24"/>
          <w:szCs w:val="24"/>
          <w:lang w:val="el-GR"/>
        </w:rPr>
        <w:t xml:space="preserve">Έκθεση </w:t>
      </w:r>
      <w:proofErr w:type="spellStart"/>
      <w:r w:rsidRPr="00FB4265">
        <w:rPr>
          <w:sz w:val="24"/>
          <w:szCs w:val="24"/>
          <w:lang w:val="el-GR"/>
        </w:rPr>
        <w:t>Draghi</w:t>
      </w:r>
      <w:proofErr w:type="spellEnd"/>
      <w:r w:rsidRPr="00FB4265">
        <w:rPr>
          <w:sz w:val="24"/>
          <w:szCs w:val="24"/>
          <w:lang w:val="el-GR"/>
        </w:rPr>
        <w:t>.</w:t>
      </w:r>
    </w:p>
  </w:footnote>
  <w:footnote w:id="4">
    <w:p w14:paraId="523A4833" w14:textId="1B6F9D6E" w:rsidR="0090410D" w:rsidRPr="00FB4265" w:rsidRDefault="0090410D" w:rsidP="00D2031A">
      <w:pPr>
        <w:pStyle w:val="FootnoteText"/>
        <w:spacing w:line="240" w:lineRule="auto"/>
        <w:ind w:left="567" w:hanging="567"/>
        <w:rPr>
          <w:sz w:val="24"/>
          <w:szCs w:val="24"/>
          <w:lang w:val="el-GR"/>
        </w:rPr>
      </w:pPr>
      <w:r w:rsidRPr="00FB4265">
        <w:rPr>
          <w:rStyle w:val="FootnoteReference"/>
          <w:sz w:val="24"/>
          <w:szCs w:val="24"/>
          <w:lang w:val="el-GR"/>
        </w:rPr>
        <w:footnoteRef/>
      </w:r>
      <w:r w:rsidR="00D33FF0" w:rsidRPr="00FB4265">
        <w:rPr>
          <w:sz w:val="24"/>
          <w:szCs w:val="24"/>
          <w:lang w:val="el-GR"/>
        </w:rPr>
        <w:t xml:space="preserve"> </w:t>
      </w:r>
      <w:r w:rsidR="00D33FF0" w:rsidRPr="00FB4265">
        <w:rPr>
          <w:sz w:val="24"/>
          <w:szCs w:val="24"/>
          <w:lang w:val="el-GR"/>
        </w:rPr>
        <w:tab/>
      </w:r>
      <w:r w:rsidRPr="00FB4265">
        <w:rPr>
          <w:sz w:val="24"/>
          <w:szCs w:val="24"/>
          <w:lang w:val="el-GR"/>
        </w:rPr>
        <w:t xml:space="preserve">Έκθεση </w:t>
      </w:r>
      <w:proofErr w:type="spellStart"/>
      <w:r w:rsidRPr="00FB4265">
        <w:rPr>
          <w:sz w:val="24"/>
          <w:szCs w:val="24"/>
          <w:lang w:val="el-GR"/>
        </w:rPr>
        <w:t>Draghi</w:t>
      </w:r>
      <w:proofErr w:type="spellEnd"/>
      <w:r w:rsidRPr="00FB4265">
        <w:rPr>
          <w:sz w:val="24"/>
          <w:szCs w:val="24"/>
          <w:lang w:val="el-GR"/>
        </w:rPr>
        <w:t>.</w:t>
      </w:r>
    </w:p>
  </w:footnote>
  <w:footnote w:id="5">
    <w:p w14:paraId="20F0AC5D" w14:textId="5E511174" w:rsidR="0090410D" w:rsidRPr="00FB4265" w:rsidRDefault="0090410D" w:rsidP="00D2031A">
      <w:pPr>
        <w:pStyle w:val="FootnoteText"/>
        <w:spacing w:line="240" w:lineRule="auto"/>
        <w:ind w:left="567" w:hanging="567"/>
        <w:rPr>
          <w:sz w:val="24"/>
          <w:szCs w:val="24"/>
          <w:lang w:val="el-GR"/>
        </w:rPr>
      </w:pPr>
      <w:r w:rsidRPr="00FB4265">
        <w:rPr>
          <w:rStyle w:val="FootnoteReference"/>
          <w:sz w:val="24"/>
          <w:szCs w:val="24"/>
          <w:lang w:val="el-GR"/>
        </w:rPr>
        <w:footnoteRef/>
      </w:r>
      <w:r w:rsidR="00D33FF0" w:rsidRPr="00FB4265">
        <w:rPr>
          <w:sz w:val="24"/>
          <w:szCs w:val="24"/>
          <w:lang w:val="el-GR"/>
        </w:rPr>
        <w:t xml:space="preserve"> </w:t>
      </w:r>
      <w:r w:rsidR="00D33FF0" w:rsidRPr="00FB4265">
        <w:rPr>
          <w:sz w:val="24"/>
          <w:szCs w:val="24"/>
          <w:lang w:val="el-GR"/>
        </w:rPr>
        <w:tab/>
      </w:r>
      <w:r w:rsidRPr="00FB4265">
        <w:rPr>
          <w:sz w:val="24"/>
          <w:szCs w:val="24"/>
          <w:lang w:val="el-GR"/>
        </w:rPr>
        <w:t xml:space="preserve">Έκθεση </w:t>
      </w:r>
      <w:proofErr w:type="spellStart"/>
      <w:r w:rsidRPr="00FB4265">
        <w:rPr>
          <w:sz w:val="24"/>
          <w:szCs w:val="24"/>
          <w:lang w:val="el-GR"/>
        </w:rPr>
        <w:t>Draghi</w:t>
      </w:r>
      <w:proofErr w:type="spellEnd"/>
      <w:r w:rsidRPr="00FB4265">
        <w:rPr>
          <w:sz w:val="24"/>
          <w:szCs w:val="24"/>
          <w:lang w:val="el-GR"/>
        </w:rPr>
        <w:t>.</w:t>
      </w:r>
    </w:p>
  </w:footnote>
  <w:footnote w:id="6">
    <w:p w14:paraId="4C112B79" w14:textId="097F0736" w:rsidR="0090410D" w:rsidRPr="00FB4265" w:rsidRDefault="0090410D" w:rsidP="00D2031A">
      <w:pPr>
        <w:pStyle w:val="FootnoteText"/>
        <w:spacing w:line="240" w:lineRule="auto"/>
        <w:ind w:left="567" w:hanging="567"/>
        <w:rPr>
          <w:sz w:val="24"/>
          <w:szCs w:val="24"/>
          <w:lang w:val="el-GR"/>
        </w:rPr>
      </w:pPr>
      <w:r w:rsidRPr="00FB4265">
        <w:rPr>
          <w:rStyle w:val="FootnoteReference"/>
          <w:sz w:val="24"/>
          <w:szCs w:val="24"/>
          <w:lang w:val="el-GR"/>
        </w:rPr>
        <w:footnoteRef/>
      </w:r>
      <w:r w:rsidR="00D33FF0" w:rsidRPr="00FB4265">
        <w:rPr>
          <w:sz w:val="24"/>
          <w:szCs w:val="24"/>
          <w:lang w:val="el-GR"/>
        </w:rPr>
        <w:t xml:space="preserve"> </w:t>
      </w:r>
      <w:r w:rsidR="00D33FF0" w:rsidRPr="00FB4265">
        <w:rPr>
          <w:sz w:val="24"/>
          <w:szCs w:val="24"/>
          <w:lang w:val="el-GR"/>
        </w:rPr>
        <w:tab/>
      </w:r>
      <w:r w:rsidRPr="00FB4265">
        <w:rPr>
          <w:sz w:val="24"/>
          <w:szCs w:val="24"/>
          <w:lang w:val="el-GR"/>
        </w:rPr>
        <w:t xml:space="preserve">Γραφείο Οικονομικής Ανάλυσης των ΗΠΑ, </w:t>
      </w:r>
      <w:proofErr w:type="spellStart"/>
      <w:r w:rsidRPr="00FB4265">
        <w:rPr>
          <w:i/>
          <w:sz w:val="24"/>
          <w:szCs w:val="24"/>
          <w:lang w:val="el-GR"/>
        </w:rPr>
        <w:t>Personal</w:t>
      </w:r>
      <w:proofErr w:type="spellEnd"/>
      <w:r w:rsidRPr="00FB4265">
        <w:rPr>
          <w:i/>
          <w:sz w:val="24"/>
          <w:szCs w:val="24"/>
          <w:lang w:val="el-GR"/>
        </w:rPr>
        <w:t xml:space="preserve"> </w:t>
      </w:r>
      <w:proofErr w:type="spellStart"/>
      <w:r w:rsidRPr="00FB4265">
        <w:rPr>
          <w:i/>
          <w:sz w:val="24"/>
          <w:szCs w:val="24"/>
          <w:lang w:val="el-GR"/>
        </w:rPr>
        <w:t>Income</w:t>
      </w:r>
      <w:proofErr w:type="spellEnd"/>
      <w:r w:rsidRPr="00FB4265">
        <w:rPr>
          <w:i/>
          <w:sz w:val="24"/>
          <w:szCs w:val="24"/>
          <w:lang w:val="el-GR"/>
        </w:rPr>
        <w:t xml:space="preserve"> and </w:t>
      </w:r>
      <w:proofErr w:type="spellStart"/>
      <w:r w:rsidRPr="00FB4265">
        <w:rPr>
          <w:i/>
          <w:sz w:val="24"/>
          <w:szCs w:val="24"/>
          <w:lang w:val="el-GR"/>
        </w:rPr>
        <w:t>Its</w:t>
      </w:r>
      <w:proofErr w:type="spellEnd"/>
      <w:r w:rsidRPr="00FB4265">
        <w:rPr>
          <w:i/>
          <w:sz w:val="24"/>
          <w:szCs w:val="24"/>
          <w:lang w:val="el-GR"/>
        </w:rPr>
        <w:t xml:space="preserve"> </w:t>
      </w:r>
      <w:proofErr w:type="spellStart"/>
      <w:r w:rsidRPr="00FB4265">
        <w:rPr>
          <w:i/>
          <w:sz w:val="24"/>
          <w:szCs w:val="24"/>
          <w:lang w:val="el-GR"/>
        </w:rPr>
        <w:t>Disposition</w:t>
      </w:r>
      <w:proofErr w:type="spellEnd"/>
      <w:r w:rsidRPr="00FB4265">
        <w:rPr>
          <w:i/>
          <w:sz w:val="24"/>
          <w:szCs w:val="24"/>
          <w:lang w:val="el-GR"/>
        </w:rPr>
        <w:t xml:space="preserve">, </w:t>
      </w:r>
      <w:proofErr w:type="spellStart"/>
      <w:r w:rsidRPr="00FB4265">
        <w:rPr>
          <w:i/>
          <w:sz w:val="24"/>
          <w:szCs w:val="24"/>
          <w:lang w:val="el-GR"/>
        </w:rPr>
        <w:t>Monthly</w:t>
      </w:r>
      <w:proofErr w:type="spellEnd"/>
      <w:r w:rsidRPr="00FB4265">
        <w:rPr>
          <w:sz w:val="24"/>
          <w:szCs w:val="24"/>
          <w:lang w:val="el-GR"/>
        </w:rPr>
        <w:t>, 2025</w:t>
      </w:r>
    </w:p>
  </w:footnote>
  <w:footnote w:id="7">
    <w:p w14:paraId="49BDA9EE" w14:textId="7464265F" w:rsidR="0090410D" w:rsidRPr="007A1099" w:rsidRDefault="0090410D" w:rsidP="00D2031A">
      <w:pPr>
        <w:pStyle w:val="FootnoteText"/>
        <w:spacing w:line="240" w:lineRule="auto"/>
        <w:ind w:left="567" w:hanging="567"/>
        <w:rPr>
          <w:sz w:val="24"/>
          <w:szCs w:val="24"/>
          <w:lang w:val="el-GR"/>
        </w:rPr>
      </w:pPr>
      <w:r w:rsidRPr="00D2031A">
        <w:rPr>
          <w:rStyle w:val="FootnoteReference"/>
          <w:sz w:val="24"/>
          <w:szCs w:val="24"/>
          <w:lang w:val="el-GR"/>
        </w:rPr>
        <w:footnoteRef/>
      </w:r>
      <w:r w:rsidR="00D33FF0" w:rsidRPr="00D2031A">
        <w:rPr>
          <w:sz w:val="24"/>
          <w:szCs w:val="24"/>
          <w:lang w:val="el-GR"/>
        </w:rPr>
        <w:t xml:space="preserve"> </w:t>
      </w:r>
      <w:r w:rsidR="00D33FF0" w:rsidRPr="00D2031A">
        <w:rPr>
          <w:sz w:val="24"/>
          <w:szCs w:val="24"/>
          <w:lang w:val="el-GR"/>
        </w:rPr>
        <w:tab/>
      </w:r>
      <w:r w:rsidR="008C111A" w:rsidRPr="00D2031A">
        <w:rPr>
          <w:sz w:val="24"/>
          <w:szCs w:val="24"/>
        </w:rPr>
        <w:t>Eurostat</w:t>
      </w:r>
      <w:r w:rsidR="008C111A" w:rsidRPr="00D2031A">
        <w:rPr>
          <w:sz w:val="24"/>
          <w:szCs w:val="24"/>
          <w:lang w:val="el-GR"/>
        </w:rPr>
        <w:t>, Χρηματοοικονομικές ροές και αποθέματα, 2023,</w:t>
      </w:r>
      <w:r w:rsidR="008C111A" w:rsidRPr="00D2031A">
        <w:rPr>
          <w:szCs w:val="24"/>
          <w:lang w:val="el-GR"/>
        </w:rPr>
        <w:t xml:space="preserve"> </w:t>
      </w:r>
      <w:hyperlink r:id="rId1" w:history="1">
        <w:r w:rsidR="008C111A" w:rsidRPr="007A1099">
          <w:rPr>
            <w:rStyle w:val="Hyperlink"/>
            <w:sz w:val="24"/>
            <w:szCs w:val="24"/>
            <w:lang w:val="el-GR"/>
          </w:rPr>
          <w:t>https://ec.europa.eu/eurostat/databrowser/view/NASA_10_F_BS__custom_13650774/default/table?lang=en</w:t>
        </w:r>
      </w:hyperlink>
      <w:r w:rsidR="008C111A" w:rsidRPr="007A1099">
        <w:rPr>
          <w:sz w:val="24"/>
          <w:szCs w:val="24"/>
          <w:lang w:val="el-GR"/>
        </w:rPr>
        <w:t xml:space="preserve">. </w:t>
      </w:r>
    </w:p>
  </w:footnote>
  <w:footnote w:id="8">
    <w:p w14:paraId="0C2CFBA9" w14:textId="4D10190E" w:rsidR="0090410D" w:rsidRPr="007A1099" w:rsidRDefault="0090410D" w:rsidP="00D2031A">
      <w:pPr>
        <w:pStyle w:val="FootnoteText"/>
        <w:spacing w:line="240" w:lineRule="auto"/>
        <w:ind w:left="567" w:hanging="567"/>
        <w:rPr>
          <w:sz w:val="24"/>
          <w:szCs w:val="24"/>
          <w:lang w:val="el-GR"/>
        </w:rPr>
      </w:pPr>
      <w:r w:rsidRPr="007A1099">
        <w:rPr>
          <w:rStyle w:val="FootnoteReference"/>
          <w:sz w:val="24"/>
          <w:szCs w:val="24"/>
          <w:lang w:val="el-GR"/>
        </w:rPr>
        <w:footnoteRef/>
      </w:r>
      <w:r w:rsidR="00D33FF0" w:rsidRPr="007A1099">
        <w:rPr>
          <w:sz w:val="24"/>
          <w:szCs w:val="24"/>
          <w:lang w:val="el-GR"/>
        </w:rPr>
        <w:t xml:space="preserve"> </w:t>
      </w:r>
      <w:r w:rsidR="00D33FF0" w:rsidRPr="007A1099">
        <w:rPr>
          <w:sz w:val="24"/>
          <w:szCs w:val="24"/>
          <w:lang w:val="el-GR"/>
        </w:rPr>
        <w:tab/>
      </w:r>
      <w:r w:rsidRPr="007A1099">
        <w:rPr>
          <w:sz w:val="24"/>
          <w:szCs w:val="24"/>
          <w:lang w:val="el-GR"/>
        </w:rPr>
        <w:t xml:space="preserve">Ευρωπαϊκή Κεντρική Τράπεζα, </w:t>
      </w:r>
      <w:proofErr w:type="spellStart"/>
      <w:r w:rsidRPr="007A1099">
        <w:rPr>
          <w:i/>
          <w:sz w:val="24"/>
          <w:szCs w:val="24"/>
          <w:lang w:val="el-GR"/>
        </w:rPr>
        <w:t>Follow</w:t>
      </w:r>
      <w:proofErr w:type="spellEnd"/>
      <w:r w:rsidRPr="007A1099">
        <w:rPr>
          <w:i/>
          <w:sz w:val="24"/>
          <w:szCs w:val="24"/>
          <w:lang w:val="el-GR"/>
        </w:rPr>
        <w:t xml:space="preserve"> the </w:t>
      </w:r>
      <w:proofErr w:type="spellStart"/>
      <w:r w:rsidRPr="007A1099">
        <w:rPr>
          <w:i/>
          <w:sz w:val="24"/>
          <w:szCs w:val="24"/>
          <w:lang w:val="el-GR"/>
        </w:rPr>
        <w:t>money</w:t>
      </w:r>
      <w:proofErr w:type="spellEnd"/>
      <w:r w:rsidRPr="007A1099">
        <w:rPr>
          <w:i/>
          <w:sz w:val="24"/>
          <w:szCs w:val="24"/>
          <w:lang w:val="el-GR"/>
        </w:rPr>
        <w:t xml:space="preserve">: </w:t>
      </w:r>
      <w:proofErr w:type="spellStart"/>
      <w:r w:rsidRPr="007A1099">
        <w:rPr>
          <w:sz w:val="24"/>
          <w:szCs w:val="24"/>
          <w:lang w:val="el-GR"/>
        </w:rPr>
        <w:t>channelling</w:t>
      </w:r>
      <w:proofErr w:type="spellEnd"/>
      <w:r w:rsidRPr="007A1099">
        <w:rPr>
          <w:sz w:val="24"/>
          <w:szCs w:val="24"/>
          <w:lang w:val="el-GR"/>
        </w:rPr>
        <w:t xml:space="preserve"> </w:t>
      </w:r>
      <w:proofErr w:type="spellStart"/>
      <w:r w:rsidRPr="007A1099">
        <w:rPr>
          <w:sz w:val="24"/>
          <w:szCs w:val="24"/>
          <w:lang w:val="el-GR"/>
        </w:rPr>
        <w:t>savings</w:t>
      </w:r>
      <w:proofErr w:type="spellEnd"/>
      <w:r w:rsidRPr="007A1099">
        <w:rPr>
          <w:sz w:val="24"/>
          <w:szCs w:val="24"/>
          <w:lang w:val="el-GR"/>
        </w:rPr>
        <w:t xml:space="preserve"> </w:t>
      </w:r>
      <w:proofErr w:type="spellStart"/>
      <w:r w:rsidRPr="007A1099">
        <w:rPr>
          <w:sz w:val="24"/>
          <w:szCs w:val="24"/>
          <w:lang w:val="el-GR"/>
        </w:rPr>
        <w:t>into</w:t>
      </w:r>
      <w:proofErr w:type="spellEnd"/>
      <w:r w:rsidRPr="007A1099">
        <w:rPr>
          <w:sz w:val="24"/>
          <w:szCs w:val="24"/>
          <w:lang w:val="el-GR"/>
        </w:rPr>
        <w:t xml:space="preserve"> </w:t>
      </w:r>
      <w:proofErr w:type="spellStart"/>
      <w:r w:rsidRPr="007A1099">
        <w:rPr>
          <w:sz w:val="24"/>
          <w:szCs w:val="24"/>
          <w:lang w:val="el-GR"/>
        </w:rPr>
        <w:t>investment</w:t>
      </w:r>
      <w:proofErr w:type="spellEnd"/>
      <w:r w:rsidRPr="007A1099">
        <w:rPr>
          <w:sz w:val="24"/>
          <w:szCs w:val="24"/>
          <w:lang w:val="el-GR"/>
        </w:rPr>
        <w:t xml:space="preserve"> and </w:t>
      </w:r>
      <w:proofErr w:type="spellStart"/>
      <w:r w:rsidRPr="007A1099">
        <w:rPr>
          <w:sz w:val="24"/>
          <w:szCs w:val="24"/>
          <w:lang w:val="el-GR"/>
        </w:rPr>
        <w:t>innovation</w:t>
      </w:r>
      <w:proofErr w:type="spellEnd"/>
      <w:r w:rsidRPr="007A1099">
        <w:rPr>
          <w:sz w:val="24"/>
          <w:szCs w:val="24"/>
          <w:lang w:val="el-GR"/>
        </w:rPr>
        <w:t xml:space="preserve"> in Europe (Ακολουθήστε τη διαδρομή του χρήματος: διοχέτευση των αποταμιεύσεων σε επενδύσεις και καινοτομία στην Ευρώπη), ομιλία της </w:t>
      </w:r>
      <w:proofErr w:type="spellStart"/>
      <w:r w:rsidRPr="007A1099">
        <w:rPr>
          <w:sz w:val="24"/>
          <w:szCs w:val="24"/>
          <w:lang w:val="el-GR"/>
        </w:rPr>
        <w:t>Christine</w:t>
      </w:r>
      <w:proofErr w:type="spellEnd"/>
      <w:r w:rsidRPr="007A1099">
        <w:rPr>
          <w:sz w:val="24"/>
          <w:szCs w:val="24"/>
          <w:lang w:val="el-GR"/>
        </w:rPr>
        <w:t xml:space="preserve"> </w:t>
      </w:r>
      <w:proofErr w:type="spellStart"/>
      <w:r w:rsidRPr="007A1099">
        <w:rPr>
          <w:sz w:val="24"/>
          <w:szCs w:val="24"/>
          <w:lang w:val="el-GR"/>
        </w:rPr>
        <w:t>Lagarde</w:t>
      </w:r>
      <w:proofErr w:type="spellEnd"/>
      <w:r w:rsidRPr="007A1099">
        <w:rPr>
          <w:sz w:val="24"/>
          <w:szCs w:val="24"/>
          <w:lang w:val="el-GR"/>
        </w:rPr>
        <w:t>, προέδρου της Ευρωπαϊκής Κεντρικής Τράπεζας, 22 Νοεμβρίου 2024.</w:t>
      </w:r>
    </w:p>
  </w:footnote>
  <w:footnote w:id="9">
    <w:p w14:paraId="34BF40F6" w14:textId="332CDA90" w:rsidR="0090410D" w:rsidRPr="007A1099" w:rsidRDefault="0090410D" w:rsidP="00D2031A">
      <w:pPr>
        <w:pStyle w:val="FootnoteText"/>
        <w:spacing w:line="240" w:lineRule="auto"/>
        <w:ind w:left="567" w:hanging="567"/>
        <w:rPr>
          <w:sz w:val="24"/>
          <w:szCs w:val="24"/>
          <w:lang w:val="el-GR"/>
        </w:rPr>
      </w:pPr>
      <w:r w:rsidRPr="007A1099">
        <w:rPr>
          <w:rStyle w:val="FootnoteReference"/>
          <w:sz w:val="24"/>
          <w:szCs w:val="24"/>
          <w:lang w:val="el-GR"/>
        </w:rPr>
        <w:footnoteRef/>
      </w:r>
      <w:r w:rsidR="00D33FF0" w:rsidRPr="007A1099">
        <w:rPr>
          <w:sz w:val="24"/>
          <w:szCs w:val="24"/>
          <w:lang w:val="el-GR"/>
        </w:rPr>
        <w:t xml:space="preserve"> </w:t>
      </w:r>
      <w:r w:rsidR="00D33FF0" w:rsidRPr="007A1099">
        <w:rPr>
          <w:sz w:val="24"/>
          <w:szCs w:val="24"/>
          <w:lang w:val="el-GR"/>
        </w:rPr>
        <w:tab/>
      </w:r>
      <w:r w:rsidRPr="007A1099">
        <w:rPr>
          <w:sz w:val="24"/>
          <w:szCs w:val="24"/>
          <w:lang w:val="el-GR"/>
        </w:rPr>
        <w:t xml:space="preserve">Έκθεση </w:t>
      </w:r>
      <w:proofErr w:type="spellStart"/>
      <w:r w:rsidRPr="007A1099">
        <w:rPr>
          <w:sz w:val="24"/>
          <w:szCs w:val="24"/>
          <w:lang w:val="el-GR"/>
        </w:rPr>
        <w:t>Letta</w:t>
      </w:r>
      <w:proofErr w:type="spellEnd"/>
      <w:r w:rsidRPr="007A1099">
        <w:rPr>
          <w:sz w:val="24"/>
          <w:szCs w:val="24"/>
          <w:lang w:val="el-GR"/>
        </w:rPr>
        <w:t>.</w:t>
      </w:r>
    </w:p>
  </w:footnote>
  <w:footnote w:id="10">
    <w:p w14:paraId="282BEA8C" w14:textId="034F9236" w:rsidR="0090410D" w:rsidRPr="007A1099" w:rsidRDefault="0090410D" w:rsidP="00D2031A">
      <w:pPr>
        <w:pStyle w:val="FootnoteText"/>
        <w:spacing w:line="240" w:lineRule="auto"/>
        <w:ind w:left="567" w:hanging="567"/>
        <w:rPr>
          <w:sz w:val="24"/>
          <w:szCs w:val="24"/>
          <w:lang w:val="el-GR"/>
        </w:rPr>
      </w:pPr>
      <w:r w:rsidRPr="007A1099">
        <w:rPr>
          <w:rStyle w:val="FootnoteReference"/>
          <w:sz w:val="24"/>
          <w:szCs w:val="24"/>
          <w:lang w:val="el-GR"/>
        </w:rPr>
        <w:footnoteRef/>
      </w:r>
      <w:r w:rsidR="00D33FF0" w:rsidRPr="007A1099">
        <w:rPr>
          <w:sz w:val="24"/>
          <w:szCs w:val="24"/>
          <w:lang w:val="el-GR"/>
        </w:rPr>
        <w:t xml:space="preserve"> </w:t>
      </w:r>
      <w:r w:rsidR="00D33FF0" w:rsidRPr="007A1099">
        <w:rPr>
          <w:sz w:val="24"/>
          <w:szCs w:val="24"/>
          <w:lang w:val="el-GR"/>
        </w:rPr>
        <w:tab/>
      </w:r>
      <w:r w:rsidRPr="007A1099">
        <w:rPr>
          <w:sz w:val="24"/>
          <w:szCs w:val="24"/>
          <w:lang w:val="el-GR"/>
        </w:rPr>
        <w:t xml:space="preserve">Διεθνές Νομισματικό Ταμείο, </w:t>
      </w:r>
      <w:proofErr w:type="spellStart"/>
      <w:r w:rsidRPr="007A1099">
        <w:rPr>
          <w:sz w:val="24"/>
          <w:szCs w:val="24"/>
          <w:lang w:val="el-GR"/>
        </w:rPr>
        <w:t>Europe’s</w:t>
      </w:r>
      <w:proofErr w:type="spellEnd"/>
      <w:r w:rsidRPr="007A1099">
        <w:rPr>
          <w:sz w:val="24"/>
          <w:szCs w:val="24"/>
          <w:lang w:val="el-GR"/>
        </w:rPr>
        <w:t xml:space="preserve"> </w:t>
      </w:r>
      <w:proofErr w:type="spellStart"/>
      <w:r w:rsidRPr="007A1099">
        <w:rPr>
          <w:sz w:val="24"/>
          <w:szCs w:val="24"/>
          <w:lang w:val="el-GR"/>
        </w:rPr>
        <w:t>Declining</w:t>
      </w:r>
      <w:proofErr w:type="spellEnd"/>
      <w:r w:rsidRPr="007A1099">
        <w:rPr>
          <w:sz w:val="24"/>
          <w:szCs w:val="24"/>
          <w:lang w:val="el-GR"/>
        </w:rPr>
        <w:t xml:space="preserve"> </w:t>
      </w:r>
      <w:proofErr w:type="spellStart"/>
      <w:r w:rsidRPr="007A1099">
        <w:rPr>
          <w:sz w:val="24"/>
          <w:szCs w:val="24"/>
          <w:lang w:val="el-GR"/>
        </w:rPr>
        <w:t>Productivity</w:t>
      </w:r>
      <w:proofErr w:type="spellEnd"/>
      <w:r w:rsidRPr="007A1099">
        <w:rPr>
          <w:sz w:val="24"/>
          <w:szCs w:val="24"/>
          <w:lang w:val="el-GR"/>
        </w:rPr>
        <w:t xml:space="preserve"> </w:t>
      </w:r>
      <w:proofErr w:type="spellStart"/>
      <w:r w:rsidRPr="007A1099">
        <w:rPr>
          <w:sz w:val="24"/>
          <w:szCs w:val="24"/>
          <w:lang w:val="el-GR"/>
        </w:rPr>
        <w:t>Growth</w:t>
      </w:r>
      <w:proofErr w:type="spellEnd"/>
      <w:r w:rsidRPr="007A1099">
        <w:rPr>
          <w:sz w:val="24"/>
          <w:szCs w:val="24"/>
          <w:lang w:val="el-GR"/>
        </w:rPr>
        <w:t xml:space="preserve">: </w:t>
      </w:r>
      <w:proofErr w:type="spellStart"/>
      <w:r w:rsidRPr="007A1099">
        <w:rPr>
          <w:sz w:val="24"/>
          <w:szCs w:val="24"/>
          <w:lang w:val="el-GR"/>
        </w:rPr>
        <w:t>Diagnoses</w:t>
      </w:r>
      <w:proofErr w:type="spellEnd"/>
      <w:r w:rsidRPr="007A1099">
        <w:rPr>
          <w:sz w:val="24"/>
          <w:szCs w:val="24"/>
          <w:lang w:val="el-GR"/>
        </w:rPr>
        <w:t xml:space="preserve"> and </w:t>
      </w:r>
      <w:proofErr w:type="spellStart"/>
      <w:r w:rsidRPr="007A1099">
        <w:rPr>
          <w:sz w:val="24"/>
          <w:szCs w:val="24"/>
          <w:lang w:val="el-GR"/>
        </w:rPr>
        <w:t>Remedies</w:t>
      </w:r>
      <w:proofErr w:type="spellEnd"/>
      <w:r w:rsidRPr="007A1099">
        <w:rPr>
          <w:i/>
          <w:sz w:val="24"/>
          <w:szCs w:val="24"/>
          <w:lang w:val="el-GR"/>
        </w:rPr>
        <w:t xml:space="preserve">, </w:t>
      </w:r>
      <w:proofErr w:type="spellStart"/>
      <w:r w:rsidRPr="007A1099">
        <w:rPr>
          <w:i/>
          <w:sz w:val="24"/>
          <w:szCs w:val="24"/>
          <w:lang w:val="el-GR"/>
        </w:rPr>
        <w:t>Regional</w:t>
      </w:r>
      <w:proofErr w:type="spellEnd"/>
      <w:r w:rsidRPr="007A1099">
        <w:rPr>
          <w:i/>
          <w:sz w:val="24"/>
          <w:szCs w:val="24"/>
          <w:lang w:val="el-GR"/>
        </w:rPr>
        <w:t xml:space="preserve"> Economic Outlook </w:t>
      </w:r>
      <w:proofErr w:type="spellStart"/>
      <w:r w:rsidRPr="007A1099">
        <w:rPr>
          <w:i/>
          <w:sz w:val="24"/>
          <w:szCs w:val="24"/>
          <w:lang w:val="el-GR"/>
        </w:rPr>
        <w:t>Notes</w:t>
      </w:r>
      <w:proofErr w:type="spellEnd"/>
      <w:r w:rsidRPr="007A1099">
        <w:rPr>
          <w:i/>
          <w:sz w:val="24"/>
          <w:szCs w:val="24"/>
          <w:lang w:val="el-GR"/>
        </w:rPr>
        <w:t xml:space="preserve"> – Europe</w:t>
      </w:r>
      <w:r w:rsidRPr="007A1099">
        <w:rPr>
          <w:sz w:val="24"/>
          <w:szCs w:val="24"/>
          <w:lang w:val="el-GR"/>
        </w:rPr>
        <w:t xml:space="preserve">, Νοέμβριος 2024, </w:t>
      </w:r>
      <w:hyperlink r:id="rId2" w:history="1">
        <w:r w:rsidR="0066761D" w:rsidRPr="007A1099">
          <w:rPr>
            <w:rStyle w:val="Hyperlink"/>
            <w:sz w:val="24"/>
            <w:szCs w:val="24"/>
            <w:lang w:val="el-GR"/>
          </w:rPr>
          <w:t>https://www.elibrary.imf.org/supplemental/book/9798400287312/9798400287312.xml/REOEUREA2024002-S001_SOURCE_PDF.pdf</w:t>
        </w:r>
      </w:hyperlink>
      <w:r w:rsidRPr="007A1099">
        <w:rPr>
          <w:sz w:val="24"/>
          <w:szCs w:val="24"/>
          <w:lang w:val="el-GR"/>
        </w:rPr>
        <w:t>.</w:t>
      </w:r>
      <w:r w:rsidR="0066761D" w:rsidRPr="007A1099">
        <w:rPr>
          <w:sz w:val="24"/>
          <w:szCs w:val="24"/>
          <w:lang w:val="el-GR"/>
        </w:rPr>
        <w:t xml:space="preserve"> </w:t>
      </w:r>
    </w:p>
  </w:footnote>
  <w:footnote w:id="11">
    <w:p w14:paraId="37D1B3C8" w14:textId="60568355" w:rsidR="0090410D" w:rsidRPr="007A1099" w:rsidRDefault="0090410D" w:rsidP="00D2031A">
      <w:pPr>
        <w:pStyle w:val="FootnoteText"/>
        <w:spacing w:line="240" w:lineRule="auto"/>
        <w:ind w:left="567" w:hanging="567"/>
        <w:rPr>
          <w:sz w:val="24"/>
          <w:szCs w:val="24"/>
          <w:lang w:val="el-GR"/>
        </w:rPr>
      </w:pPr>
      <w:r w:rsidRPr="007A1099">
        <w:rPr>
          <w:rStyle w:val="FootnoteReference"/>
          <w:sz w:val="24"/>
          <w:szCs w:val="24"/>
          <w:lang w:val="el-GR"/>
        </w:rPr>
        <w:footnoteRef/>
      </w:r>
      <w:r w:rsidR="00D33FF0" w:rsidRPr="007A1099">
        <w:rPr>
          <w:sz w:val="24"/>
          <w:szCs w:val="24"/>
          <w:lang w:val="el-GR"/>
        </w:rPr>
        <w:t xml:space="preserve"> </w:t>
      </w:r>
      <w:r w:rsidR="00D33FF0" w:rsidRPr="007A1099">
        <w:rPr>
          <w:sz w:val="24"/>
          <w:szCs w:val="24"/>
          <w:lang w:val="el-GR"/>
        </w:rPr>
        <w:tab/>
      </w:r>
      <w:r w:rsidRPr="007A1099">
        <w:rPr>
          <w:sz w:val="24"/>
          <w:szCs w:val="24"/>
          <w:lang w:val="el-GR"/>
        </w:rPr>
        <w:t>Ανακοίνωση της Επιτροπής, της 29ης Ιανουαρίου 2025, με τίτλο «Ετήσια έκθεση για την ενιαία αγορά και την ανταγωνιστικότητα 2025» (COM(2025)0026),</w:t>
      </w:r>
    </w:p>
  </w:footnote>
  <w:footnote w:id="12">
    <w:p w14:paraId="02EADEF8" w14:textId="7F080540" w:rsidR="0090410D" w:rsidRPr="007A1099" w:rsidRDefault="0090410D" w:rsidP="00D2031A">
      <w:pPr>
        <w:pStyle w:val="FootnoteText"/>
        <w:spacing w:line="240" w:lineRule="auto"/>
        <w:ind w:left="567" w:hanging="567"/>
        <w:rPr>
          <w:sz w:val="24"/>
          <w:szCs w:val="24"/>
          <w:lang w:val="el-GR"/>
        </w:rPr>
      </w:pPr>
      <w:r w:rsidRPr="007A1099">
        <w:rPr>
          <w:rStyle w:val="FootnoteReference"/>
          <w:sz w:val="24"/>
          <w:szCs w:val="24"/>
          <w:lang w:val="el-GR"/>
        </w:rPr>
        <w:footnoteRef/>
      </w:r>
      <w:r w:rsidR="00D33FF0" w:rsidRPr="007A1099">
        <w:rPr>
          <w:sz w:val="24"/>
          <w:szCs w:val="24"/>
          <w:lang w:val="el-GR"/>
        </w:rPr>
        <w:t xml:space="preserve"> </w:t>
      </w:r>
      <w:r w:rsidR="00D33FF0" w:rsidRPr="007A1099">
        <w:rPr>
          <w:sz w:val="24"/>
          <w:szCs w:val="24"/>
          <w:lang w:val="el-GR"/>
        </w:rPr>
        <w:tab/>
      </w:r>
      <w:r w:rsidRPr="007A1099">
        <w:rPr>
          <w:sz w:val="24"/>
          <w:szCs w:val="24"/>
          <w:lang w:val="el-GR"/>
        </w:rPr>
        <w:t xml:space="preserve">Σειρά </w:t>
      </w:r>
      <w:proofErr w:type="spellStart"/>
      <w:r w:rsidRPr="007A1099">
        <w:rPr>
          <w:sz w:val="24"/>
          <w:szCs w:val="24"/>
          <w:lang w:val="el-GR"/>
        </w:rPr>
        <w:t>Occasional</w:t>
      </w:r>
      <w:proofErr w:type="spellEnd"/>
      <w:r w:rsidRPr="007A1099">
        <w:rPr>
          <w:sz w:val="24"/>
          <w:szCs w:val="24"/>
          <w:lang w:val="el-GR"/>
        </w:rPr>
        <w:t xml:space="preserve"> Paper της ΕΚΤ αριθ. 369.</w:t>
      </w:r>
    </w:p>
  </w:footnote>
  <w:footnote w:id="13">
    <w:p w14:paraId="0778855F" w14:textId="3104B887" w:rsidR="0090410D" w:rsidRPr="007A1099" w:rsidRDefault="0090410D" w:rsidP="00D2031A">
      <w:pPr>
        <w:pStyle w:val="FootnoteText"/>
        <w:spacing w:line="240" w:lineRule="auto"/>
        <w:ind w:left="567" w:hanging="567"/>
        <w:rPr>
          <w:sz w:val="24"/>
          <w:szCs w:val="24"/>
          <w:lang w:val="el-GR"/>
        </w:rPr>
      </w:pPr>
      <w:r w:rsidRPr="007A1099">
        <w:rPr>
          <w:rStyle w:val="FootnoteReference"/>
          <w:sz w:val="24"/>
          <w:szCs w:val="24"/>
          <w:lang w:val="el-GR"/>
        </w:rPr>
        <w:footnoteRef/>
      </w:r>
      <w:r w:rsidR="00D33FF0" w:rsidRPr="007A1099">
        <w:rPr>
          <w:sz w:val="24"/>
          <w:szCs w:val="24"/>
          <w:lang w:val="el-GR"/>
        </w:rPr>
        <w:t xml:space="preserve"> </w:t>
      </w:r>
      <w:r w:rsidR="00D33FF0" w:rsidRPr="007A1099">
        <w:rPr>
          <w:sz w:val="24"/>
          <w:szCs w:val="24"/>
          <w:lang w:val="el-GR"/>
        </w:rPr>
        <w:tab/>
      </w:r>
      <w:r w:rsidRPr="007A1099">
        <w:rPr>
          <w:sz w:val="24"/>
          <w:szCs w:val="24"/>
          <w:lang w:val="el-GR"/>
        </w:rPr>
        <w:t xml:space="preserve">Έκθεση </w:t>
      </w:r>
      <w:proofErr w:type="spellStart"/>
      <w:r w:rsidRPr="007A1099">
        <w:rPr>
          <w:sz w:val="24"/>
          <w:szCs w:val="24"/>
          <w:lang w:val="el-GR"/>
        </w:rPr>
        <w:t>Letta</w:t>
      </w:r>
      <w:proofErr w:type="spellEnd"/>
      <w:r w:rsidRPr="007A1099">
        <w:rPr>
          <w:sz w:val="24"/>
          <w:szCs w:val="24"/>
          <w:lang w:val="el-GR"/>
        </w:rPr>
        <w:t>, σ. 91 και 111.</w:t>
      </w:r>
    </w:p>
  </w:footnote>
  <w:footnote w:id="14">
    <w:p w14:paraId="35A1469C" w14:textId="1C2554E7" w:rsidR="0090410D" w:rsidRPr="007A1099" w:rsidRDefault="0090410D" w:rsidP="00D2031A">
      <w:pPr>
        <w:pStyle w:val="FootnoteText"/>
        <w:spacing w:line="240" w:lineRule="auto"/>
        <w:ind w:left="567" w:hanging="567"/>
        <w:rPr>
          <w:sz w:val="24"/>
          <w:szCs w:val="24"/>
          <w:lang w:val="el-GR"/>
        </w:rPr>
      </w:pPr>
      <w:r w:rsidRPr="007A1099">
        <w:rPr>
          <w:rStyle w:val="FootnoteReference"/>
          <w:sz w:val="24"/>
          <w:szCs w:val="24"/>
          <w:lang w:val="el-GR"/>
        </w:rPr>
        <w:footnoteRef/>
      </w:r>
      <w:r w:rsidR="00D33FF0" w:rsidRPr="007A1099">
        <w:rPr>
          <w:sz w:val="24"/>
          <w:szCs w:val="24"/>
          <w:lang w:val="el-GR"/>
        </w:rPr>
        <w:t xml:space="preserve"> </w:t>
      </w:r>
      <w:r w:rsidR="00D33FF0" w:rsidRPr="007A1099">
        <w:rPr>
          <w:sz w:val="24"/>
          <w:szCs w:val="24"/>
          <w:lang w:val="el-GR"/>
        </w:rPr>
        <w:tab/>
      </w:r>
      <w:r w:rsidRPr="007A1099">
        <w:rPr>
          <w:sz w:val="24"/>
          <w:szCs w:val="24"/>
          <w:lang w:val="el-GR"/>
        </w:rPr>
        <w:t>Τα τραπεζικά δάνεια αντιστοιχούσαν στο 50,43 % της χρηματοδότησης των μη χρηματοοικονομικών εταιρειών (υπολογισμοί 2023 των ESTAT, ΕΚΤ και ΓΔ FISMA), βλ. την πρόσκληση υποβολής στοιχείων της Επιτροπής ενόψει της ανακοίνωσης σχετικά με την Ευρωπαϊκή Ένωση Αποταμίευσης και Επενδύσεων.</w:t>
      </w:r>
    </w:p>
  </w:footnote>
  <w:footnote w:id="15">
    <w:p w14:paraId="071EA8E1" w14:textId="63270E7A" w:rsidR="0090410D" w:rsidRPr="007A1099" w:rsidRDefault="0090410D" w:rsidP="00D2031A">
      <w:pPr>
        <w:pStyle w:val="FootnoteText"/>
        <w:spacing w:line="240" w:lineRule="auto"/>
        <w:ind w:left="567" w:hanging="567"/>
        <w:rPr>
          <w:sz w:val="24"/>
          <w:szCs w:val="24"/>
          <w:lang w:val="el-GR"/>
        </w:rPr>
      </w:pPr>
      <w:r w:rsidRPr="007A1099">
        <w:rPr>
          <w:rStyle w:val="FootnoteReference"/>
          <w:sz w:val="24"/>
          <w:szCs w:val="24"/>
          <w:lang w:val="el-GR"/>
        </w:rPr>
        <w:footnoteRef/>
      </w:r>
      <w:r w:rsidR="00D33FF0" w:rsidRPr="007A1099">
        <w:rPr>
          <w:sz w:val="24"/>
          <w:szCs w:val="24"/>
          <w:lang w:val="el-GR"/>
        </w:rPr>
        <w:t xml:space="preserve"> </w:t>
      </w:r>
      <w:r w:rsidR="00D33FF0" w:rsidRPr="007A1099">
        <w:rPr>
          <w:sz w:val="24"/>
          <w:szCs w:val="24"/>
          <w:lang w:val="el-GR"/>
        </w:rPr>
        <w:tab/>
      </w:r>
      <w:r w:rsidRPr="007A1099">
        <w:rPr>
          <w:sz w:val="24"/>
          <w:szCs w:val="24"/>
          <w:lang w:val="el-GR"/>
        </w:rPr>
        <w:t xml:space="preserve">Οικονομικός διευθυντής του Ευρωπαϊκού Μηχανισμού Σταθερότητας, </w:t>
      </w:r>
      <w:proofErr w:type="spellStart"/>
      <w:r w:rsidRPr="007A1099">
        <w:rPr>
          <w:sz w:val="24"/>
          <w:szCs w:val="24"/>
          <w:lang w:val="el-GR"/>
        </w:rPr>
        <w:t>Developing</w:t>
      </w:r>
      <w:proofErr w:type="spellEnd"/>
      <w:r w:rsidRPr="007A1099">
        <w:rPr>
          <w:sz w:val="24"/>
          <w:szCs w:val="24"/>
          <w:lang w:val="el-GR"/>
        </w:rPr>
        <w:t xml:space="preserve"> European </w:t>
      </w:r>
      <w:proofErr w:type="spellStart"/>
      <w:r w:rsidRPr="007A1099">
        <w:rPr>
          <w:sz w:val="24"/>
          <w:szCs w:val="24"/>
          <w:lang w:val="el-GR"/>
        </w:rPr>
        <w:t>safe</w:t>
      </w:r>
      <w:proofErr w:type="spellEnd"/>
      <w:r w:rsidRPr="007A1099">
        <w:rPr>
          <w:sz w:val="24"/>
          <w:szCs w:val="24"/>
          <w:lang w:val="el-GR"/>
        </w:rPr>
        <w:t xml:space="preserve"> </w:t>
      </w:r>
      <w:proofErr w:type="spellStart"/>
      <w:r w:rsidRPr="007A1099">
        <w:rPr>
          <w:sz w:val="24"/>
          <w:szCs w:val="24"/>
          <w:lang w:val="el-GR"/>
        </w:rPr>
        <w:t>assets</w:t>
      </w:r>
      <w:proofErr w:type="spellEnd"/>
      <w:r w:rsidRPr="007A1099">
        <w:rPr>
          <w:sz w:val="24"/>
          <w:szCs w:val="24"/>
          <w:lang w:val="el-GR"/>
        </w:rPr>
        <w:t xml:space="preserve">, </w:t>
      </w:r>
      <w:proofErr w:type="spellStart"/>
      <w:r w:rsidRPr="007A1099">
        <w:rPr>
          <w:rStyle w:val="Italic"/>
          <w:sz w:val="24"/>
          <w:szCs w:val="24"/>
          <w:lang w:val="el-GR"/>
        </w:rPr>
        <w:t>Intereconomics</w:t>
      </w:r>
      <w:proofErr w:type="spellEnd"/>
      <w:r w:rsidRPr="007A1099">
        <w:rPr>
          <w:sz w:val="24"/>
          <w:szCs w:val="24"/>
          <w:lang w:val="el-GR"/>
        </w:rPr>
        <w:t xml:space="preserve">, Δεκέμβριος 2023, </w:t>
      </w:r>
      <w:hyperlink r:id="rId3" w:history="1">
        <w:r w:rsidR="0066761D" w:rsidRPr="007A1099">
          <w:rPr>
            <w:rStyle w:val="Hyperlink"/>
            <w:sz w:val="24"/>
            <w:szCs w:val="24"/>
            <w:lang w:val="el-GR"/>
          </w:rPr>
          <w:t>https://www.esm.europa.eu/articles-and-op-eds/developing-european-safe-assets-article-intereconomics</w:t>
        </w:r>
      </w:hyperlink>
      <w:r w:rsidRPr="007A1099">
        <w:rPr>
          <w:sz w:val="24"/>
          <w:szCs w:val="24"/>
          <w:lang w:val="el-GR"/>
        </w:rPr>
        <w:t>.</w:t>
      </w:r>
      <w:r w:rsidR="0066761D" w:rsidRPr="007A1099">
        <w:rPr>
          <w:sz w:val="24"/>
          <w:szCs w:val="24"/>
          <w:lang w:val="el-GR"/>
        </w:rPr>
        <w:t xml:space="preserve"> </w:t>
      </w:r>
    </w:p>
  </w:footnote>
  <w:footnote w:id="16">
    <w:p w14:paraId="3E417E9B" w14:textId="21DD1DFC" w:rsidR="0090410D" w:rsidRPr="007A1099" w:rsidRDefault="0090410D" w:rsidP="00D2031A">
      <w:pPr>
        <w:pStyle w:val="FootnoteText"/>
        <w:spacing w:line="240" w:lineRule="auto"/>
        <w:ind w:left="567" w:hanging="567"/>
        <w:rPr>
          <w:sz w:val="24"/>
          <w:szCs w:val="24"/>
          <w:lang w:val="el-GR"/>
        </w:rPr>
      </w:pPr>
      <w:r w:rsidRPr="007A1099">
        <w:rPr>
          <w:rStyle w:val="FootnoteReference"/>
          <w:sz w:val="24"/>
          <w:szCs w:val="24"/>
          <w:lang w:val="el-GR"/>
        </w:rPr>
        <w:footnoteRef/>
      </w:r>
      <w:r w:rsidR="00D33FF0" w:rsidRPr="007A1099">
        <w:rPr>
          <w:sz w:val="24"/>
          <w:szCs w:val="24"/>
          <w:lang w:val="el-GR"/>
        </w:rPr>
        <w:t xml:space="preserve"> </w:t>
      </w:r>
      <w:r w:rsidR="00D33FF0" w:rsidRPr="007A1099">
        <w:rPr>
          <w:sz w:val="24"/>
          <w:szCs w:val="24"/>
          <w:lang w:val="el-GR"/>
        </w:rPr>
        <w:tab/>
      </w:r>
      <w:r w:rsidRPr="007A1099">
        <w:rPr>
          <w:sz w:val="24"/>
          <w:szCs w:val="24"/>
          <w:lang w:val="el-GR"/>
        </w:rPr>
        <w:t xml:space="preserve">ΔΝΤ, </w:t>
      </w:r>
      <w:r w:rsidRPr="007A1099">
        <w:rPr>
          <w:i/>
          <w:sz w:val="24"/>
          <w:szCs w:val="24"/>
          <w:lang w:val="el-GR"/>
        </w:rPr>
        <w:t>World Economic Outlook</w:t>
      </w:r>
      <w:r w:rsidRPr="007A1099">
        <w:rPr>
          <w:sz w:val="24"/>
          <w:szCs w:val="24"/>
          <w:lang w:val="el-GR"/>
        </w:rPr>
        <w:t xml:space="preserve"> (Προοπτικές της παγκόσμιας οικονομίας), Απρίλιος 2025.</w:t>
      </w:r>
    </w:p>
  </w:footnote>
  <w:footnote w:id="17">
    <w:p w14:paraId="71A2C2FE" w14:textId="75D78C65" w:rsidR="0090410D" w:rsidRPr="00D2031A" w:rsidRDefault="0090410D" w:rsidP="00D2031A">
      <w:pPr>
        <w:pStyle w:val="FootnoteText"/>
        <w:spacing w:line="240" w:lineRule="auto"/>
        <w:ind w:left="567" w:hanging="567"/>
        <w:rPr>
          <w:sz w:val="24"/>
          <w:szCs w:val="24"/>
          <w:lang w:val="en-GB"/>
        </w:rPr>
      </w:pPr>
      <w:r w:rsidRPr="007A1099">
        <w:rPr>
          <w:rStyle w:val="FootnoteReference"/>
          <w:sz w:val="24"/>
          <w:szCs w:val="24"/>
          <w:lang w:val="el-GR"/>
        </w:rPr>
        <w:footnoteRef/>
      </w:r>
      <w:r w:rsidR="00D33FF0" w:rsidRPr="00D2031A">
        <w:rPr>
          <w:sz w:val="24"/>
          <w:szCs w:val="24"/>
          <w:lang w:val="en-GB"/>
        </w:rPr>
        <w:t xml:space="preserve"> </w:t>
      </w:r>
      <w:r w:rsidR="00D33FF0" w:rsidRPr="00D2031A">
        <w:rPr>
          <w:sz w:val="24"/>
          <w:szCs w:val="24"/>
          <w:lang w:val="en-GB"/>
        </w:rPr>
        <w:tab/>
      </w:r>
      <w:r w:rsidRPr="00D2031A">
        <w:rPr>
          <w:sz w:val="24"/>
          <w:szCs w:val="24"/>
          <w:lang w:val="en-GB"/>
        </w:rPr>
        <w:t xml:space="preserve">Centre for European Policy Studies, </w:t>
      </w:r>
      <w:r w:rsidRPr="00D2031A">
        <w:rPr>
          <w:i/>
          <w:sz w:val="24"/>
          <w:szCs w:val="24"/>
          <w:lang w:val="en-GB"/>
        </w:rPr>
        <w:t>It’s finally time to leverage pension funds to foster EU productivity and benefit pensioners</w:t>
      </w:r>
      <w:r w:rsidRPr="00D2031A">
        <w:rPr>
          <w:sz w:val="24"/>
          <w:szCs w:val="24"/>
          <w:lang w:val="en-GB"/>
        </w:rPr>
        <w:t>, 10 </w:t>
      </w:r>
      <w:r w:rsidRPr="007A1099">
        <w:rPr>
          <w:sz w:val="24"/>
          <w:szCs w:val="24"/>
          <w:lang w:val="el-GR"/>
        </w:rPr>
        <w:t>Φεβρουαρίου</w:t>
      </w:r>
      <w:r w:rsidRPr="00D2031A">
        <w:rPr>
          <w:sz w:val="24"/>
          <w:szCs w:val="24"/>
          <w:lang w:val="en-GB"/>
        </w:rPr>
        <w:t xml:space="preserve"> 2025, </w:t>
      </w:r>
      <w:hyperlink r:id="rId4" w:history="1">
        <w:r w:rsidRPr="00D2031A">
          <w:rPr>
            <w:rStyle w:val="Hyperlink"/>
            <w:sz w:val="24"/>
            <w:szCs w:val="24"/>
            <w:lang w:val="en-GB"/>
          </w:rPr>
          <w:t>https://www.ceps.eu/its-finally-time-to-leverage-pension-funds-to-foster-eu-productivity-and-benefit-pensioners/</w:t>
        </w:r>
      </w:hyperlink>
    </w:p>
  </w:footnote>
  <w:footnote w:id="18">
    <w:p w14:paraId="0C1F7D71" w14:textId="3D712FEC" w:rsidR="0090410D" w:rsidRPr="007A1099" w:rsidRDefault="0090410D" w:rsidP="00D2031A">
      <w:pPr>
        <w:pStyle w:val="FootnoteText"/>
        <w:spacing w:line="240" w:lineRule="auto"/>
        <w:ind w:left="567" w:hanging="567"/>
        <w:rPr>
          <w:sz w:val="24"/>
          <w:szCs w:val="24"/>
          <w:lang w:val="el-GR"/>
        </w:rPr>
      </w:pPr>
      <w:r w:rsidRPr="007A1099">
        <w:rPr>
          <w:rStyle w:val="FootnoteReference"/>
          <w:sz w:val="24"/>
          <w:szCs w:val="24"/>
          <w:lang w:val="el-GR"/>
        </w:rPr>
        <w:footnoteRef/>
      </w:r>
      <w:r w:rsidR="00D33FF0" w:rsidRPr="007A1099">
        <w:rPr>
          <w:sz w:val="24"/>
          <w:szCs w:val="24"/>
          <w:lang w:val="el-GR"/>
        </w:rPr>
        <w:t xml:space="preserve"> </w:t>
      </w:r>
      <w:r w:rsidR="00D33FF0" w:rsidRPr="007A1099">
        <w:rPr>
          <w:sz w:val="24"/>
          <w:szCs w:val="24"/>
          <w:lang w:val="el-GR"/>
        </w:rPr>
        <w:tab/>
      </w:r>
      <w:r w:rsidRPr="007A1099">
        <w:rPr>
          <w:sz w:val="24"/>
          <w:szCs w:val="24"/>
          <w:lang w:val="el-GR"/>
        </w:rPr>
        <w:t xml:space="preserve">Έκθεση </w:t>
      </w:r>
      <w:proofErr w:type="spellStart"/>
      <w:r w:rsidRPr="007A1099">
        <w:rPr>
          <w:sz w:val="24"/>
          <w:szCs w:val="24"/>
          <w:lang w:val="el-GR"/>
        </w:rPr>
        <w:t>Noyer</w:t>
      </w:r>
      <w:proofErr w:type="spellEnd"/>
      <w:r w:rsidRPr="007A1099">
        <w:rPr>
          <w:sz w:val="24"/>
          <w:szCs w:val="24"/>
          <w:lang w:val="el-GR"/>
        </w:rPr>
        <w:t>, σ. 62.</w:t>
      </w:r>
    </w:p>
  </w:footnote>
  <w:footnote w:id="19">
    <w:p w14:paraId="2F1C1292" w14:textId="02369D05" w:rsidR="0090410D" w:rsidRPr="007A1099" w:rsidRDefault="0090410D" w:rsidP="00D2031A">
      <w:pPr>
        <w:pStyle w:val="FootnoteText"/>
        <w:spacing w:line="240" w:lineRule="auto"/>
        <w:ind w:left="567" w:hanging="567"/>
        <w:rPr>
          <w:sz w:val="24"/>
          <w:szCs w:val="24"/>
          <w:lang w:val="el-GR"/>
        </w:rPr>
      </w:pPr>
      <w:r w:rsidRPr="007A1099">
        <w:rPr>
          <w:rStyle w:val="FootnoteReference"/>
          <w:sz w:val="24"/>
          <w:szCs w:val="24"/>
          <w:lang w:val="el-GR"/>
        </w:rPr>
        <w:footnoteRef/>
      </w:r>
      <w:r w:rsidR="00D33FF0" w:rsidRPr="007A1099">
        <w:rPr>
          <w:sz w:val="24"/>
          <w:szCs w:val="24"/>
          <w:lang w:val="el-GR"/>
        </w:rPr>
        <w:t xml:space="preserve"> </w:t>
      </w:r>
      <w:r w:rsidR="00D33FF0" w:rsidRPr="007A1099">
        <w:rPr>
          <w:sz w:val="24"/>
          <w:szCs w:val="24"/>
          <w:lang w:val="el-GR"/>
        </w:rPr>
        <w:tab/>
      </w:r>
      <w:r w:rsidRPr="007A1099">
        <w:rPr>
          <w:sz w:val="24"/>
          <w:szCs w:val="24"/>
          <w:lang w:val="el-GR"/>
        </w:rPr>
        <w:t xml:space="preserve">Κανονισμός της Ευρωπαϊκής Κεντρικής Τράπεζας (ΕΕ) αριθ. 795/2014, της 3ης Ιουλίου 2014, σχετικά με τις απαιτήσεις επίβλεψης για τα συστημικώς σημαντικά συστήματα πληρωμών (ΕΕ L 217 της 23.7.2014, σ. 16, ELI: </w:t>
      </w:r>
      <w:hyperlink r:id="rId5" w:tooltip="Παρέχει πρόσβαση στο έγγραφο μέσω του URI του ELI." w:history="1">
        <w:r w:rsidRPr="00FB4265">
          <w:rPr>
            <w:rStyle w:val="Hyperlink"/>
            <w:sz w:val="24"/>
            <w:szCs w:val="24"/>
          </w:rPr>
          <w:t>http</w:t>
        </w:r>
        <w:r w:rsidRPr="00D2031A">
          <w:rPr>
            <w:rStyle w:val="Hyperlink"/>
            <w:sz w:val="24"/>
            <w:szCs w:val="24"/>
            <w:lang w:val="el-GR"/>
          </w:rPr>
          <w:t>://</w:t>
        </w:r>
        <w:r w:rsidRPr="00FB4265">
          <w:rPr>
            <w:rStyle w:val="Hyperlink"/>
            <w:sz w:val="24"/>
            <w:szCs w:val="24"/>
          </w:rPr>
          <w:t>data</w:t>
        </w:r>
        <w:r w:rsidRPr="00D2031A">
          <w:rPr>
            <w:rStyle w:val="Hyperlink"/>
            <w:sz w:val="24"/>
            <w:szCs w:val="24"/>
            <w:lang w:val="el-GR"/>
          </w:rPr>
          <w:t>.</w:t>
        </w:r>
        <w:proofErr w:type="spellStart"/>
        <w:r w:rsidRPr="00FB4265">
          <w:rPr>
            <w:rStyle w:val="Hyperlink"/>
            <w:sz w:val="24"/>
            <w:szCs w:val="24"/>
          </w:rPr>
          <w:t>europa</w:t>
        </w:r>
        <w:proofErr w:type="spellEnd"/>
        <w:r w:rsidRPr="00D2031A">
          <w:rPr>
            <w:rStyle w:val="Hyperlink"/>
            <w:sz w:val="24"/>
            <w:szCs w:val="24"/>
            <w:lang w:val="el-GR"/>
          </w:rPr>
          <w:t>.</w:t>
        </w:r>
        <w:r w:rsidRPr="00FB4265">
          <w:rPr>
            <w:rStyle w:val="Hyperlink"/>
            <w:sz w:val="24"/>
            <w:szCs w:val="24"/>
          </w:rPr>
          <w:t>eu</w:t>
        </w:r>
        <w:r w:rsidRPr="00D2031A">
          <w:rPr>
            <w:rStyle w:val="Hyperlink"/>
            <w:sz w:val="24"/>
            <w:szCs w:val="24"/>
            <w:lang w:val="el-GR"/>
          </w:rPr>
          <w:t>/</w:t>
        </w:r>
        <w:proofErr w:type="spellStart"/>
        <w:r w:rsidRPr="00FB4265">
          <w:rPr>
            <w:rStyle w:val="Hyperlink"/>
            <w:sz w:val="24"/>
            <w:szCs w:val="24"/>
          </w:rPr>
          <w:t>eli</w:t>
        </w:r>
        <w:proofErr w:type="spellEnd"/>
        <w:r w:rsidRPr="00D2031A">
          <w:rPr>
            <w:rStyle w:val="Hyperlink"/>
            <w:sz w:val="24"/>
            <w:szCs w:val="24"/>
            <w:lang w:val="el-GR"/>
          </w:rPr>
          <w:t>/</w:t>
        </w:r>
        <w:r w:rsidRPr="00FB4265">
          <w:rPr>
            <w:rStyle w:val="Hyperlink"/>
            <w:sz w:val="24"/>
            <w:szCs w:val="24"/>
          </w:rPr>
          <w:t>reg</w:t>
        </w:r>
        <w:r w:rsidRPr="00D2031A">
          <w:rPr>
            <w:rStyle w:val="Hyperlink"/>
            <w:sz w:val="24"/>
            <w:szCs w:val="24"/>
            <w:lang w:val="el-GR"/>
          </w:rPr>
          <w:t>/2014/795/</w:t>
        </w:r>
        <w:proofErr w:type="spellStart"/>
        <w:r w:rsidRPr="00FB4265">
          <w:rPr>
            <w:rStyle w:val="Hyperlink"/>
            <w:sz w:val="24"/>
            <w:szCs w:val="24"/>
          </w:rPr>
          <w:t>oj</w:t>
        </w:r>
        <w:proofErr w:type="spellEnd"/>
      </w:hyperlink>
      <w:r w:rsidRPr="007A1099">
        <w:rPr>
          <w:sz w:val="24"/>
          <w:szCs w:val="24"/>
          <w:lang w:val="el-GR"/>
        </w:rPr>
        <w:t xml:space="preserve">). </w:t>
      </w:r>
    </w:p>
  </w:footnote>
  <w:footnote w:id="20">
    <w:p w14:paraId="63013F8E" w14:textId="4120F4FC" w:rsidR="0090410D" w:rsidRPr="00FB4265" w:rsidRDefault="0090410D">
      <w:pPr>
        <w:pStyle w:val="title-bold"/>
        <w:shd w:val="clear" w:color="auto" w:fill="FFFFFF"/>
        <w:spacing w:before="0" w:beforeAutospacing="0" w:after="75" w:afterAutospacing="0"/>
        <w:ind w:left="567" w:hanging="567"/>
      </w:pPr>
      <w:r w:rsidRPr="00FB4265">
        <w:rPr>
          <w:rStyle w:val="FootnoteReference"/>
        </w:rPr>
        <w:footnoteRef/>
      </w:r>
      <w:r w:rsidR="00D33FF0" w:rsidRPr="00FB4265">
        <w:rPr>
          <w:snapToGrid w:val="0"/>
        </w:rPr>
        <w:t xml:space="preserve"> </w:t>
      </w:r>
      <w:r w:rsidR="00D33FF0" w:rsidRPr="00FB4265">
        <w:rPr>
          <w:snapToGrid w:val="0"/>
        </w:rPr>
        <w:tab/>
      </w:r>
      <w:r w:rsidRPr="00FB4265">
        <w:rPr>
          <w:snapToGrid w:val="0"/>
        </w:rPr>
        <w:t xml:space="preserve">Κανονισμός (ΕΕ) αριθ. 600/2014 του Ευρωπαϊκού Κοινοβουλίου και του Συμβουλίου, της 15ης Μαΐου 2014, για τις αγορές χρηματοπιστωτικών μέσων και για την τροποποίηση του κανονισμού (ΕΕ) αριθ. 648/2012 (ΕΕ L 173 της 12.6.2014, σ. 84, </w:t>
      </w:r>
      <w:r w:rsidRPr="00FB4265">
        <w:t>ELI:</w:t>
      </w:r>
      <w:r w:rsidRPr="00FB4265">
        <w:rPr>
          <w:snapToGrid w:val="0"/>
        </w:rPr>
        <w:t xml:space="preserve"> </w:t>
      </w:r>
      <w:hyperlink r:id="rId6" w:tooltip="Παρέχει πρόσβαση στο έγγραφο μέσω του URI του ELI." w:history="1">
        <w:r w:rsidRPr="00FB4265">
          <w:rPr>
            <w:rStyle w:val="Hyperlink"/>
            <w:lang w:val="fr-FR" w:eastAsia="fr-FR"/>
          </w:rPr>
          <w:t>http</w:t>
        </w:r>
        <w:r w:rsidRPr="00D2031A">
          <w:rPr>
            <w:rStyle w:val="Hyperlink"/>
            <w:lang w:eastAsia="fr-FR"/>
          </w:rPr>
          <w:t>://</w:t>
        </w:r>
        <w:r w:rsidRPr="00FB4265">
          <w:rPr>
            <w:rStyle w:val="Hyperlink"/>
            <w:lang w:val="fr-FR" w:eastAsia="fr-FR"/>
          </w:rPr>
          <w:t>data</w:t>
        </w:r>
        <w:r w:rsidRPr="00D2031A">
          <w:rPr>
            <w:rStyle w:val="Hyperlink"/>
            <w:lang w:eastAsia="fr-FR"/>
          </w:rPr>
          <w:t>.</w:t>
        </w:r>
        <w:proofErr w:type="spellStart"/>
        <w:r w:rsidRPr="00FB4265">
          <w:rPr>
            <w:rStyle w:val="Hyperlink"/>
            <w:lang w:val="fr-FR" w:eastAsia="fr-FR"/>
          </w:rPr>
          <w:t>europa</w:t>
        </w:r>
        <w:proofErr w:type="spellEnd"/>
        <w:r w:rsidRPr="00D2031A">
          <w:rPr>
            <w:rStyle w:val="Hyperlink"/>
            <w:lang w:eastAsia="fr-FR"/>
          </w:rPr>
          <w:t>.</w:t>
        </w:r>
        <w:r w:rsidRPr="00FB4265">
          <w:rPr>
            <w:rStyle w:val="Hyperlink"/>
            <w:lang w:val="fr-FR" w:eastAsia="fr-FR"/>
          </w:rPr>
          <w:t>eu</w:t>
        </w:r>
        <w:r w:rsidRPr="00D2031A">
          <w:rPr>
            <w:rStyle w:val="Hyperlink"/>
            <w:lang w:eastAsia="fr-FR"/>
          </w:rPr>
          <w:t>/</w:t>
        </w:r>
        <w:proofErr w:type="spellStart"/>
        <w:r w:rsidRPr="00FB4265">
          <w:rPr>
            <w:rStyle w:val="Hyperlink"/>
            <w:lang w:val="fr-FR" w:eastAsia="fr-FR"/>
          </w:rPr>
          <w:t>eli</w:t>
        </w:r>
        <w:proofErr w:type="spellEnd"/>
        <w:r w:rsidRPr="00D2031A">
          <w:rPr>
            <w:rStyle w:val="Hyperlink"/>
            <w:lang w:eastAsia="fr-FR"/>
          </w:rPr>
          <w:t>/</w:t>
        </w:r>
        <w:r w:rsidRPr="00FB4265">
          <w:rPr>
            <w:rStyle w:val="Hyperlink"/>
            <w:lang w:val="fr-FR" w:eastAsia="fr-FR"/>
          </w:rPr>
          <w:t>reg</w:t>
        </w:r>
        <w:r w:rsidRPr="00D2031A">
          <w:rPr>
            <w:rStyle w:val="Hyperlink"/>
            <w:lang w:eastAsia="fr-FR"/>
          </w:rPr>
          <w:t>/2014/600/</w:t>
        </w:r>
        <w:proofErr w:type="spellStart"/>
        <w:r w:rsidRPr="00FB4265">
          <w:rPr>
            <w:rStyle w:val="Hyperlink"/>
            <w:lang w:val="fr-FR" w:eastAsia="fr-FR"/>
          </w:rPr>
          <w:t>oj</w:t>
        </w:r>
        <w:proofErr w:type="spellEnd"/>
      </w:hyperlink>
      <w:r w:rsidRPr="00FB4265">
        <w:t>)</w:t>
      </w:r>
      <w:r w:rsidRPr="00FB4265">
        <w:rPr>
          <w:i/>
          <w:snapToGrid w:val="0"/>
        </w:rPr>
        <w:t>.</w:t>
      </w:r>
    </w:p>
  </w:footnote>
  <w:footnote w:id="21">
    <w:p w14:paraId="41F02698" w14:textId="286345BC" w:rsidR="0090410D" w:rsidRPr="00FB4265" w:rsidRDefault="0090410D">
      <w:pPr>
        <w:pStyle w:val="title-bold"/>
        <w:shd w:val="clear" w:color="auto" w:fill="FFFFFF"/>
        <w:spacing w:before="0" w:beforeAutospacing="0" w:after="75" w:afterAutospacing="0"/>
        <w:ind w:left="567" w:hanging="567"/>
      </w:pPr>
      <w:r w:rsidRPr="00FB4265">
        <w:rPr>
          <w:rStyle w:val="FootnoteReference"/>
        </w:rPr>
        <w:footnoteRef/>
      </w:r>
      <w:r w:rsidR="00D33FF0" w:rsidRPr="00FB4265">
        <w:rPr>
          <w:snapToGrid w:val="0"/>
        </w:rPr>
        <w:t xml:space="preserve"> </w:t>
      </w:r>
      <w:r w:rsidR="00D33FF0" w:rsidRPr="00FB4265">
        <w:rPr>
          <w:snapToGrid w:val="0"/>
        </w:rPr>
        <w:tab/>
      </w:r>
      <w:r w:rsidRPr="00FB4265">
        <w:rPr>
          <w:snapToGrid w:val="0"/>
        </w:rPr>
        <w:t xml:space="preserve">Κανονισμός (ΕΕ) αριθ. 648/2012 του Ευρωπαϊκού Κοινοβουλίου και του Συμβουλίου, της 4ης Ιουλίου 2012, για τα εξωχρηματιστηριακά παράγωγα, τους κεντρικούς αντισυμβαλλομένους και τα αρχεία καταγραφής συναλλαγών (ΕΕ L 201 της 27.7.2012, σ. 1, ELI: </w:t>
      </w:r>
      <w:hyperlink r:id="rId7" w:tooltip="Παρέχει πρόσβαση στο έγγραφο μέσω του URI του ELI." w:history="1">
        <w:r w:rsidRPr="00FB4265">
          <w:rPr>
            <w:rStyle w:val="Hyperlink"/>
            <w:lang w:val="fr-FR" w:eastAsia="fr-FR"/>
          </w:rPr>
          <w:t>http</w:t>
        </w:r>
        <w:r w:rsidRPr="00D2031A">
          <w:rPr>
            <w:rStyle w:val="Hyperlink"/>
            <w:lang w:eastAsia="fr-FR"/>
          </w:rPr>
          <w:t>://</w:t>
        </w:r>
        <w:r w:rsidRPr="00FB4265">
          <w:rPr>
            <w:rStyle w:val="Hyperlink"/>
            <w:lang w:val="fr-FR" w:eastAsia="fr-FR"/>
          </w:rPr>
          <w:t>data</w:t>
        </w:r>
        <w:r w:rsidRPr="00D2031A">
          <w:rPr>
            <w:rStyle w:val="Hyperlink"/>
            <w:lang w:eastAsia="fr-FR"/>
          </w:rPr>
          <w:t>.</w:t>
        </w:r>
        <w:proofErr w:type="spellStart"/>
        <w:r w:rsidRPr="00FB4265">
          <w:rPr>
            <w:rStyle w:val="Hyperlink"/>
            <w:lang w:val="fr-FR" w:eastAsia="fr-FR"/>
          </w:rPr>
          <w:t>europa</w:t>
        </w:r>
        <w:proofErr w:type="spellEnd"/>
        <w:r w:rsidRPr="00D2031A">
          <w:rPr>
            <w:rStyle w:val="Hyperlink"/>
            <w:lang w:eastAsia="fr-FR"/>
          </w:rPr>
          <w:t>.</w:t>
        </w:r>
        <w:r w:rsidRPr="00FB4265">
          <w:rPr>
            <w:rStyle w:val="Hyperlink"/>
            <w:lang w:val="fr-FR" w:eastAsia="fr-FR"/>
          </w:rPr>
          <w:t>eu</w:t>
        </w:r>
        <w:r w:rsidRPr="00D2031A">
          <w:rPr>
            <w:rStyle w:val="Hyperlink"/>
            <w:lang w:eastAsia="fr-FR"/>
          </w:rPr>
          <w:t>/</w:t>
        </w:r>
        <w:proofErr w:type="spellStart"/>
        <w:r w:rsidRPr="00FB4265">
          <w:rPr>
            <w:rStyle w:val="Hyperlink"/>
            <w:lang w:val="fr-FR" w:eastAsia="fr-FR"/>
          </w:rPr>
          <w:t>eli</w:t>
        </w:r>
        <w:proofErr w:type="spellEnd"/>
        <w:r w:rsidRPr="00D2031A">
          <w:rPr>
            <w:rStyle w:val="Hyperlink"/>
            <w:lang w:eastAsia="fr-FR"/>
          </w:rPr>
          <w:t>/</w:t>
        </w:r>
        <w:r w:rsidRPr="00FB4265">
          <w:rPr>
            <w:rStyle w:val="Hyperlink"/>
            <w:lang w:val="fr-FR" w:eastAsia="fr-FR"/>
          </w:rPr>
          <w:t>reg</w:t>
        </w:r>
        <w:r w:rsidRPr="00D2031A">
          <w:rPr>
            <w:rStyle w:val="Hyperlink"/>
            <w:lang w:eastAsia="fr-FR"/>
          </w:rPr>
          <w:t>/2012/648/</w:t>
        </w:r>
        <w:proofErr w:type="spellStart"/>
        <w:r w:rsidRPr="00FB4265">
          <w:rPr>
            <w:rStyle w:val="Hyperlink"/>
            <w:lang w:val="fr-FR" w:eastAsia="fr-FR"/>
          </w:rPr>
          <w:t>oj</w:t>
        </w:r>
        <w:proofErr w:type="spellEnd"/>
      </w:hyperlink>
      <w:r w:rsidRPr="00FB4265">
        <w:rPr>
          <w:snapToGrid w:val="0"/>
        </w:rPr>
        <w:t>).</w:t>
      </w:r>
    </w:p>
  </w:footnote>
  <w:footnote w:id="22">
    <w:p w14:paraId="3505604C" w14:textId="115B6804" w:rsidR="0090410D" w:rsidRPr="007A1099" w:rsidRDefault="0090410D" w:rsidP="00D2031A">
      <w:pPr>
        <w:pStyle w:val="FootnoteText"/>
        <w:spacing w:line="240" w:lineRule="auto"/>
        <w:ind w:left="567" w:hanging="567"/>
        <w:rPr>
          <w:i/>
          <w:sz w:val="24"/>
          <w:szCs w:val="24"/>
          <w:lang w:val="el-GR"/>
        </w:rPr>
      </w:pPr>
      <w:r w:rsidRPr="007A1099">
        <w:rPr>
          <w:rStyle w:val="FootnoteReference"/>
          <w:sz w:val="24"/>
          <w:szCs w:val="24"/>
          <w:lang w:val="el-GR"/>
        </w:rPr>
        <w:footnoteRef/>
      </w:r>
      <w:r w:rsidR="00D33FF0" w:rsidRPr="007A1099">
        <w:rPr>
          <w:sz w:val="24"/>
          <w:szCs w:val="24"/>
          <w:lang w:val="el-GR"/>
        </w:rPr>
        <w:t xml:space="preserve"> </w:t>
      </w:r>
      <w:r w:rsidR="00D33FF0" w:rsidRPr="007A1099">
        <w:rPr>
          <w:sz w:val="24"/>
          <w:szCs w:val="24"/>
          <w:lang w:val="el-GR"/>
        </w:rPr>
        <w:tab/>
      </w:r>
      <w:r w:rsidRPr="007A1099">
        <w:rPr>
          <w:sz w:val="24"/>
          <w:szCs w:val="24"/>
          <w:lang w:val="el-GR"/>
        </w:rPr>
        <w:t>Κανονισμός (ΕΕ) αριθ. 909/2014 του Ευρωπαϊκού Κοινοβουλίου και του Συμβουλίου, της 23ης Ιουλίου 2014, σχετικά με τη βελτίωση του διακανονισμού αξιογράφων στην Ευρωπαϊκή Ένωση και τα κεντρικά αποθετήρια τίτλων και για την τροποποίηση των οδηγιών 98/26/ΕΚ και 2014/65/ΕΕ και του κανονισμού (ΕΕ) αριθ. 236/2012 (ΕΕ L 257 της 28.8.2014, σ. 1, ELI:</w:t>
      </w:r>
      <w:r w:rsidRPr="00D2031A">
        <w:rPr>
          <w:sz w:val="24"/>
          <w:szCs w:val="24"/>
          <w:lang w:val="el-GR"/>
        </w:rPr>
        <w:t> </w:t>
      </w:r>
      <w:hyperlink r:id="rId8" w:tooltip="Παρέχει πρόσβαση στο έγγραφο μέσω του URI του ELI." w:history="1">
        <w:r w:rsidRPr="00D2031A">
          <w:rPr>
            <w:rStyle w:val="Hyperlink"/>
            <w:szCs w:val="24"/>
          </w:rPr>
          <w:t>http</w:t>
        </w:r>
        <w:r w:rsidRPr="00D2031A">
          <w:rPr>
            <w:rStyle w:val="Hyperlink"/>
            <w:szCs w:val="24"/>
            <w:lang w:val="el-GR"/>
          </w:rPr>
          <w:t>://</w:t>
        </w:r>
        <w:r w:rsidRPr="00D2031A">
          <w:rPr>
            <w:rStyle w:val="Hyperlink"/>
            <w:szCs w:val="24"/>
          </w:rPr>
          <w:t>data</w:t>
        </w:r>
        <w:r w:rsidRPr="00D2031A">
          <w:rPr>
            <w:rStyle w:val="Hyperlink"/>
            <w:szCs w:val="24"/>
            <w:lang w:val="el-GR"/>
          </w:rPr>
          <w:t>.</w:t>
        </w:r>
        <w:proofErr w:type="spellStart"/>
        <w:r w:rsidRPr="00D2031A">
          <w:rPr>
            <w:rStyle w:val="Hyperlink"/>
            <w:szCs w:val="24"/>
          </w:rPr>
          <w:t>europa</w:t>
        </w:r>
        <w:proofErr w:type="spellEnd"/>
        <w:r w:rsidRPr="00D2031A">
          <w:rPr>
            <w:rStyle w:val="Hyperlink"/>
            <w:szCs w:val="24"/>
            <w:lang w:val="el-GR"/>
          </w:rPr>
          <w:t>.</w:t>
        </w:r>
        <w:r w:rsidRPr="00D2031A">
          <w:rPr>
            <w:rStyle w:val="Hyperlink"/>
            <w:szCs w:val="24"/>
          </w:rPr>
          <w:t>eu</w:t>
        </w:r>
        <w:r w:rsidRPr="00D2031A">
          <w:rPr>
            <w:rStyle w:val="Hyperlink"/>
            <w:szCs w:val="24"/>
            <w:lang w:val="el-GR"/>
          </w:rPr>
          <w:t>/</w:t>
        </w:r>
        <w:proofErr w:type="spellStart"/>
        <w:r w:rsidRPr="00D2031A">
          <w:rPr>
            <w:rStyle w:val="Hyperlink"/>
            <w:szCs w:val="24"/>
          </w:rPr>
          <w:t>eli</w:t>
        </w:r>
        <w:proofErr w:type="spellEnd"/>
        <w:r w:rsidRPr="00D2031A">
          <w:rPr>
            <w:rStyle w:val="Hyperlink"/>
            <w:szCs w:val="24"/>
            <w:lang w:val="el-GR"/>
          </w:rPr>
          <w:t>/</w:t>
        </w:r>
        <w:r w:rsidRPr="00D2031A">
          <w:rPr>
            <w:rStyle w:val="Hyperlink"/>
            <w:szCs w:val="24"/>
          </w:rPr>
          <w:t>reg</w:t>
        </w:r>
        <w:r w:rsidRPr="00D2031A">
          <w:rPr>
            <w:rStyle w:val="Hyperlink"/>
            <w:szCs w:val="24"/>
            <w:lang w:val="el-GR"/>
          </w:rPr>
          <w:t>/2014/909/</w:t>
        </w:r>
        <w:proofErr w:type="spellStart"/>
        <w:r w:rsidRPr="00D2031A">
          <w:rPr>
            <w:rStyle w:val="Hyperlink"/>
            <w:szCs w:val="24"/>
          </w:rPr>
          <w:t>oj</w:t>
        </w:r>
        <w:proofErr w:type="spellEnd"/>
      </w:hyperlink>
      <w:r w:rsidRPr="00D2031A">
        <w:rPr>
          <w:rStyle w:val="Hyperlink"/>
          <w:szCs w:val="24"/>
          <w:lang w:val="el-GR"/>
        </w:rPr>
        <w:t>).</w:t>
      </w:r>
    </w:p>
  </w:footnote>
  <w:footnote w:id="23">
    <w:p w14:paraId="2A4C1D9A" w14:textId="309CA2CE" w:rsidR="0090410D" w:rsidRPr="007A1099" w:rsidRDefault="0090410D" w:rsidP="00D2031A">
      <w:pPr>
        <w:pStyle w:val="FootnoteText"/>
        <w:spacing w:line="240" w:lineRule="auto"/>
        <w:ind w:left="567" w:hanging="567"/>
        <w:rPr>
          <w:sz w:val="24"/>
          <w:szCs w:val="24"/>
          <w:lang w:val="el-GR"/>
        </w:rPr>
      </w:pPr>
      <w:r w:rsidRPr="007A1099">
        <w:rPr>
          <w:rStyle w:val="FootnoteReference"/>
          <w:sz w:val="24"/>
          <w:szCs w:val="24"/>
          <w:lang w:val="el-GR"/>
        </w:rPr>
        <w:footnoteRef/>
      </w:r>
      <w:r w:rsidR="00D33FF0" w:rsidRPr="007A1099">
        <w:rPr>
          <w:sz w:val="24"/>
          <w:szCs w:val="24"/>
          <w:lang w:val="el-GR"/>
        </w:rPr>
        <w:t xml:space="preserve"> </w:t>
      </w:r>
      <w:r w:rsidR="00D33FF0" w:rsidRPr="007A1099">
        <w:rPr>
          <w:sz w:val="24"/>
          <w:szCs w:val="24"/>
          <w:lang w:val="el-GR"/>
        </w:rPr>
        <w:tab/>
      </w:r>
      <w:r w:rsidRPr="007A1099">
        <w:rPr>
          <w:sz w:val="24"/>
          <w:szCs w:val="24"/>
          <w:lang w:val="el-GR"/>
        </w:rPr>
        <w:t>Κανονισμός (ΕΕ) 2019/2088 του Ευρωπαϊκού Κοινοβουλίου και του Συμβουλίου, της 27ης Νοεμβρίου 2019, περί γνωστοποιήσεων αειφορίας στον τομέα των χρηματοπιστωτικών υπηρεσιών (ΕΕ L 317 της 9.12.2019, σ. 1, ELI: </w:t>
      </w:r>
      <w:hyperlink r:id="rId9" w:tooltip="Παρέχει πρόσβαση στο έγγραφο μέσω του URI του ELI." w:history="1">
        <w:r w:rsidRPr="00FB4265">
          <w:rPr>
            <w:rStyle w:val="Hyperlink"/>
            <w:sz w:val="24"/>
            <w:szCs w:val="24"/>
          </w:rPr>
          <w:t>http</w:t>
        </w:r>
        <w:r w:rsidRPr="00D2031A">
          <w:rPr>
            <w:rStyle w:val="Hyperlink"/>
            <w:sz w:val="24"/>
            <w:szCs w:val="24"/>
            <w:lang w:val="el-GR"/>
          </w:rPr>
          <w:t>://</w:t>
        </w:r>
        <w:r w:rsidRPr="00FB4265">
          <w:rPr>
            <w:rStyle w:val="Hyperlink"/>
            <w:sz w:val="24"/>
            <w:szCs w:val="24"/>
          </w:rPr>
          <w:t>data</w:t>
        </w:r>
        <w:r w:rsidRPr="00D2031A">
          <w:rPr>
            <w:rStyle w:val="Hyperlink"/>
            <w:sz w:val="24"/>
            <w:szCs w:val="24"/>
            <w:lang w:val="el-GR"/>
          </w:rPr>
          <w:t>.</w:t>
        </w:r>
        <w:proofErr w:type="spellStart"/>
        <w:r w:rsidRPr="00FB4265">
          <w:rPr>
            <w:rStyle w:val="Hyperlink"/>
            <w:sz w:val="24"/>
            <w:szCs w:val="24"/>
          </w:rPr>
          <w:t>europa</w:t>
        </w:r>
        <w:proofErr w:type="spellEnd"/>
        <w:r w:rsidRPr="00D2031A">
          <w:rPr>
            <w:rStyle w:val="Hyperlink"/>
            <w:sz w:val="24"/>
            <w:szCs w:val="24"/>
            <w:lang w:val="el-GR"/>
          </w:rPr>
          <w:t>.</w:t>
        </w:r>
        <w:r w:rsidRPr="00FB4265">
          <w:rPr>
            <w:rStyle w:val="Hyperlink"/>
            <w:sz w:val="24"/>
            <w:szCs w:val="24"/>
          </w:rPr>
          <w:t>eu</w:t>
        </w:r>
        <w:r w:rsidRPr="00D2031A">
          <w:rPr>
            <w:rStyle w:val="Hyperlink"/>
            <w:sz w:val="24"/>
            <w:szCs w:val="24"/>
            <w:lang w:val="el-GR"/>
          </w:rPr>
          <w:t>/</w:t>
        </w:r>
        <w:proofErr w:type="spellStart"/>
        <w:r w:rsidRPr="00FB4265">
          <w:rPr>
            <w:rStyle w:val="Hyperlink"/>
            <w:sz w:val="24"/>
            <w:szCs w:val="24"/>
          </w:rPr>
          <w:t>eli</w:t>
        </w:r>
        <w:proofErr w:type="spellEnd"/>
        <w:r w:rsidRPr="00D2031A">
          <w:rPr>
            <w:rStyle w:val="Hyperlink"/>
            <w:sz w:val="24"/>
            <w:szCs w:val="24"/>
            <w:lang w:val="el-GR"/>
          </w:rPr>
          <w:t>/</w:t>
        </w:r>
        <w:r w:rsidRPr="00FB4265">
          <w:rPr>
            <w:rStyle w:val="Hyperlink"/>
            <w:sz w:val="24"/>
            <w:szCs w:val="24"/>
          </w:rPr>
          <w:t>reg</w:t>
        </w:r>
        <w:r w:rsidRPr="00D2031A">
          <w:rPr>
            <w:rStyle w:val="Hyperlink"/>
            <w:sz w:val="24"/>
            <w:szCs w:val="24"/>
            <w:lang w:val="el-GR"/>
          </w:rPr>
          <w:t>/2019/2088/</w:t>
        </w:r>
        <w:proofErr w:type="spellStart"/>
        <w:r w:rsidRPr="00FB4265">
          <w:rPr>
            <w:rStyle w:val="Hyperlink"/>
            <w:sz w:val="24"/>
            <w:szCs w:val="24"/>
          </w:rPr>
          <w:t>oj</w:t>
        </w:r>
        <w:proofErr w:type="spellEnd"/>
      </w:hyperlink>
      <w:r w:rsidRPr="007A1099">
        <w:rPr>
          <w:sz w:val="24"/>
          <w:szCs w:val="24"/>
          <w:lang w:val="el-GR"/>
        </w:rPr>
        <w:t>).</w:t>
      </w:r>
    </w:p>
  </w:footnote>
  <w:footnote w:id="24">
    <w:p w14:paraId="45185631" w14:textId="415A0308" w:rsidR="0090410D" w:rsidRPr="007A1099" w:rsidRDefault="0090410D" w:rsidP="00D2031A">
      <w:pPr>
        <w:pStyle w:val="FootnoteText"/>
        <w:spacing w:line="240" w:lineRule="auto"/>
        <w:ind w:left="567" w:hanging="567"/>
        <w:rPr>
          <w:sz w:val="24"/>
          <w:szCs w:val="24"/>
          <w:lang w:val="el-GR"/>
        </w:rPr>
      </w:pPr>
      <w:r w:rsidRPr="007A1099">
        <w:rPr>
          <w:rStyle w:val="FootnoteReference"/>
          <w:sz w:val="24"/>
          <w:szCs w:val="24"/>
          <w:lang w:val="el-GR"/>
        </w:rPr>
        <w:footnoteRef/>
      </w:r>
      <w:r w:rsidR="00D33FF0" w:rsidRPr="007A1099">
        <w:rPr>
          <w:sz w:val="24"/>
          <w:szCs w:val="24"/>
          <w:lang w:val="el-GR"/>
        </w:rPr>
        <w:t xml:space="preserve"> </w:t>
      </w:r>
      <w:r w:rsidR="00D33FF0" w:rsidRPr="007A1099">
        <w:rPr>
          <w:sz w:val="24"/>
          <w:szCs w:val="24"/>
          <w:lang w:val="el-GR"/>
        </w:rPr>
        <w:tab/>
      </w:r>
      <w:r w:rsidRPr="007A1099">
        <w:rPr>
          <w:sz w:val="24"/>
          <w:szCs w:val="24"/>
          <w:lang w:val="el-GR"/>
        </w:rPr>
        <w:t>Πρόταση της Επιτροπής, της 12ης Σεπτεμβρίου 2023, για οδηγία του Συμβουλίου σχετικά με τις επιχειρήσεις στην Ευρώπη: πλαίσιο για τη φορολογία εισοδήματος (BEFIT) (COM(2023)0532), αιτιολογική έκθεση, σ. 8.</w:t>
      </w:r>
    </w:p>
  </w:footnote>
  <w:footnote w:id="25">
    <w:p w14:paraId="51AF66F3" w14:textId="06A1600B" w:rsidR="0090410D" w:rsidRPr="007A1099" w:rsidRDefault="0090410D" w:rsidP="00D2031A">
      <w:pPr>
        <w:pStyle w:val="FootnoteText"/>
        <w:spacing w:line="240" w:lineRule="auto"/>
        <w:ind w:left="567" w:hanging="567"/>
        <w:rPr>
          <w:sz w:val="24"/>
          <w:szCs w:val="24"/>
          <w:lang w:val="el-GR"/>
        </w:rPr>
      </w:pPr>
      <w:r w:rsidRPr="007A1099">
        <w:rPr>
          <w:rStyle w:val="FootnoteReference"/>
          <w:sz w:val="24"/>
          <w:szCs w:val="24"/>
          <w:lang w:val="el-GR"/>
        </w:rPr>
        <w:footnoteRef/>
      </w:r>
      <w:r w:rsidR="00D33FF0" w:rsidRPr="007A1099">
        <w:rPr>
          <w:sz w:val="24"/>
          <w:szCs w:val="24"/>
          <w:lang w:val="el-GR"/>
        </w:rPr>
        <w:t xml:space="preserve"> </w:t>
      </w:r>
      <w:r w:rsidR="00D33FF0" w:rsidRPr="007A1099">
        <w:rPr>
          <w:sz w:val="24"/>
          <w:szCs w:val="24"/>
          <w:lang w:val="el-GR"/>
        </w:rPr>
        <w:tab/>
      </w:r>
      <w:r w:rsidRPr="007A1099">
        <w:rPr>
          <w:sz w:val="24"/>
          <w:szCs w:val="24"/>
          <w:lang w:val="el-GR"/>
        </w:rPr>
        <w:t xml:space="preserve">Γαλλικό Υπουργείο Οικονομίας, Οικονομικών και Βιομηχανικής και Ψηφιακής Κυριαρχίας, </w:t>
      </w:r>
      <w:proofErr w:type="spellStart"/>
      <w:r w:rsidRPr="007A1099">
        <w:rPr>
          <w:i/>
          <w:sz w:val="24"/>
          <w:szCs w:val="24"/>
          <w:lang w:val="el-GR"/>
        </w:rPr>
        <w:t>Launch</w:t>
      </w:r>
      <w:proofErr w:type="spellEnd"/>
      <w:r w:rsidRPr="007A1099">
        <w:rPr>
          <w:i/>
          <w:sz w:val="24"/>
          <w:szCs w:val="24"/>
          <w:lang w:val="el-GR"/>
        </w:rPr>
        <w:t xml:space="preserve"> of the ‘</w:t>
      </w:r>
      <w:proofErr w:type="spellStart"/>
      <w:r w:rsidRPr="007A1099">
        <w:rPr>
          <w:i/>
          <w:sz w:val="24"/>
          <w:szCs w:val="24"/>
          <w:lang w:val="el-GR"/>
        </w:rPr>
        <w:t>Finance</w:t>
      </w:r>
      <w:proofErr w:type="spellEnd"/>
      <w:r w:rsidRPr="007A1099">
        <w:rPr>
          <w:i/>
          <w:sz w:val="24"/>
          <w:szCs w:val="24"/>
          <w:lang w:val="el-GR"/>
        </w:rPr>
        <w:t xml:space="preserve"> Europe’ </w:t>
      </w:r>
      <w:proofErr w:type="spellStart"/>
      <w:r w:rsidRPr="007A1099">
        <w:rPr>
          <w:i/>
          <w:sz w:val="24"/>
          <w:szCs w:val="24"/>
          <w:lang w:val="el-GR"/>
        </w:rPr>
        <w:t>Label</w:t>
      </w:r>
      <w:proofErr w:type="spellEnd"/>
      <w:r w:rsidRPr="007A1099">
        <w:rPr>
          <w:i/>
          <w:sz w:val="24"/>
          <w:szCs w:val="24"/>
          <w:lang w:val="el-GR"/>
        </w:rPr>
        <w:t xml:space="preserve">: </w:t>
      </w:r>
      <w:proofErr w:type="spellStart"/>
      <w:r w:rsidRPr="007A1099">
        <w:rPr>
          <w:i/>
          <w:sz w:val="24"/>
          <w:szCs w:val="24"/>
          <w:lang w:val="el-GR"/>
        </w:rPr>
        <w:t>creating</w:t>
      </w:r>
      <w:proofErr w:type="spellEnd"/>
      <w:r w:rsidRPr="007A1099">
        <w:rPr>
          <w:i/>
          <w:sz w:val="24"/>
          <w:szCs w:val="24"/>
          <w:lang w:val="el-GR"/>
        </w:rPr>
        <w:t xml:space="preserve"> </w:t>
      </w:r>
      <w:proofErr w:type="spellStart"/>
      <w:r w:rsidRPr="007A1099">
        <w:rPr>
          <w:i/>
          <w:sz w:val="24"/>
          <w:szCs w:val="24"/>
          <w:lang w:val="el-GR"/>
        </w:rPr>
        <w:t>investment</w:t>
      </w:r>
      <w:proofErr w:type="spellEnd"/>
      <w:r w:rsidRPr="007A1099">
        <w:rPr>
          <w:i/>
          <w:sz w:val="24"/>
          <w:szCs w:val="24"/>
          <w:lang w:val="el-GR"/>
        </w:rPr>
        <w:t xml:space="preserve"> </w:t>
      </w:r>
      <w:proofErr w:type="spellStart"/>
      <w:r w:rsidRPr="007A1099">
        <w:rPr>
          <w:i/>
          <w:sz w:val="24"/>
          <w:szCs w:val="24"/>
          <w:lang w:val="el-GR"/>
        </w:rPr>
        <w:t>opportunities</w:t>
      </w:r>
      <w:proofErr w:type="spellEnd"/>
      <w:r w:rsidRPr="007A1099">
        <w:rPr>
          <w:i/>
          <w:sz w:val="24"/>
          <w:szCs w:val="24"/>
          <w:lang w:val="el-GR"/>
        </w:rPr>
        <w:t xml:space="preserve"> for </w:t>
      </w:r>
      <w:proofErr w:type="spellStart"/>
      <w:r w:rsidRPr="007A1099">
        <w:rPr>
          <w:i/>
          <w:sz w:val="24"/>
          <w:szCs w:val="24"/>
          <w:lang w:val="el-GR"/>
        </w:rPr>
        <w:t>financing</w:t>
      </w:r>
      <w:proofErr w:type="spellEnd"/>
      <w:r w:rsidRPr="007A1099">
        <w:rPr>
          <w:i/>
          <w:sz w:val="24"/>
          <w:szCs w:val="24"/>
          <w:lang w:val="el-GR"/>
        </w:rPr>
        <w:t xml:space="preserve"> the European </w:t>
      </w:r>
      <w:proofErr w:type="spellStart"/>
      <w:r w:rsidRPr="007A1099">
        <w:rPr>
          <w:i/>
          <w:sz w:val="24"/>
          <w:szCs w:val="24"/>
          <w:lang w:val="el-GR"/>
        </w:rPr>
        <w:t>economy</w:t>
      </w:r>
      <w:proofErr w:type="spellEnd"/>
      <w:r w:rsidRPr="007A1099">
        <w:rPr>
          <w:sz w:val="24"/>
          <w:szCs w:val="24"/>
          <w:lang w:val="el-GR"/>
        </w:rPr>
        <w:t xml:space="preserve">, δελτίου Τύπου, 6 Ιουνίου 2025, </w:t>
      </w:r>
      <w:hyperlink r:id="rId10" w:history="1">
        <w:r w:rsidRPr="007A1099">
          <w:rPr>
            <w:rStyle w:val="Hyperlink"/>
            <w:sz w:val="24"/>
            <w:szCs w:val="24"/>
            <w:lang w:val="el-GR"/>
          </w:rPr>
          <w:t>https://presse.economie.gouv.fr/lancement-du-label-europeen-finance-europe-pour-que-lepargne-des-europeens-contribue-au-financement-de-leconomie-europeenne/</w:t>
        </w:r>
      </w:hyperlink>
      <w:r w:rsidRPr="007A1099">
        <w:rPr>
          <w:sz w:val="24"/>
          <w:szCs w:val="24"/>
          <w:lang w:val="el-GR"/>
        </w:rPr>
        <w:t xml:space="preserve"> </w:t>
      </w:r>
    </w:p>
  </w:footnote>
  <w:footnote w:id="26">
    <w:p w14:paraId="510D4740" w14:textId="54E5C079" w:rsidR="0090410D" w:rsidRPr="007A1099" w:rsidRDefault="0090410D" w:rsidP="00D2031A">
      <w:pPr>
        <w:pStyle w:val="FootnoteText"/>
        <w:spacing w:line="240" w:lineRule="auto"/>
        <w:ind w:left="567" w:hanging="567"/>
        <w:rPr>
          <w:sz w:val="24"/>
          <w:szCs w:val="24"/>
          <w:lang w:val="el-GR"/>
        </w:rPr>
      </w:pPr>
      <w:r w:rsidRPr="007A1099">
        <w:rPr>
          <w:rStyle w:val="FootnoteReference"/>
          <w:sz w:val="24"/>
          <w:szCs w:val="24"/>
          <w:lang w:val="el-GR"/>
        </w:rPr>
        <w:footnoteRef/>
      </w:r>
      <w:r w:rsidR="00D33FF0" w:rsidRPr="007A1099">
        <w:rPr>
          <w:sz w:val="24"/>
          <w:szCs w:val="24"/>
          <w:lang w:val="el-GR"/>
        </w:rPr>
        <w:t xml:space="preserve"> </w:t>
      </w:r>
      <w:r w:rsidR="00D33FF0" w:rsidRPr="007A1099">
        <w:rPr>
          <w:sz w:val="24"/>
          <w:szCs w:val="24"/>
          <w:lang w:val="el-GR"/>
        </w:rPr>
        <w:tab/>
      </w:r>
      <w:r w:rsidRPr="007A1099">
        <w:rPr>
          <w:sz w:val="24"/>
          <w:szCs w:val="24"/>
          <w:lang w:val="el-GR"/>
        </w:rPr>
        <w:t xml:space="preserve">Ευρωπαϊκή Επιτροπή, </w:t>
      </w:r>
      <w:proofErr w:type="spellStart"/>
      <w:r w:rsidRPr="007A1099">
        <w:rPr>
          <w:i/>
          <w:sz w:val="24"/>
          <w:szCs w:val="24"/>
          <w:lang w:val="el-GR"/>
        </w:rPr>
        <w:t>Feasibility</w:t>
      </w:r>
      <w:proofErr w:type="spellEnd"/>
      <w:r w:rsidRPr="007A1099">
        <w:rPr>
          <w:i/>
          <w:sz w:val="24"/>
          <w:szCs w:val="24"/>
          <w:lang w:val="el-GR"/>
        </w:rPr>
        <w:t xml:space="preserve"> </w:t>
      </w:r>
      <w:proofErr w:type="spellStart"/>
      <w:r w:rsidRPr="007A1099">
        <w:rPr>
          <w:i/>
          <w:sz w:val="24"/>
          <w:szCs w:val="24"/>
          <w:lang w:val="el-GR"/>
        </w:rPr>
        <w:t>study</w:t>
      </w:r>
      <w:proofErr w:type="spellEnd"/>
      <w:r w:rsidRPr="007A1099">
        <w:rPr>
          <w:i/>
          <w:sz w:val="24"/>
          <w:szCs w:val="24"/>
          <w:lang w:val="el-GR"/>
        </w:rPr>
        <w:t xml:space="preserve"> for the </w:t>
      </w:r>
      <w:proofErr w:type="spellStart"/>
      <w:r w:rsidRPr="007A1099">
        <w:rPr>
          <w:i/>
          <w:sz w:val="24"/>
          <w:szCs w:val="24"/>
          <w:lang w:val="el-GR"/>
        </w:rPr>
        <w:t>creation</w:t>
      </w:r>
      <w:proofErr w:type="spellEnd"/>
      <w:r w:rsidRPr="007A1099">
        <w:rPr>
          <w:i/>
          <w:sz w:val="24"/>
          <w:szCs w:val="24"/>
          <w:lang w:val="el-GR"/>
        </w:rPr>
        <w:t xml:space="preserve"> of a CMU </w:t>
      </w:r>
      <w:proofErr w:type="spellStart"/>
      <w:r w:rsidRPr="007A1099">
        <w:rPr>
          <w:i/>
          <w:sz w:val="24"/>
          <w:szCs w:val="24"/>
          <w:lang w:val="el-GR"/>
        </w:rPr>
        <w:t>Equity</w:t>
      </w:r>
      <w:proofErr w:type="spellEnd"/>
      <w:r w:rsidRPr="007A1099">
        <w:rPr>
          <w:i/>
          <w:sz w:val="24"/>
          <w:szCs w:val="24"/>
          <w:lang w:val="el-GR"/>
        </w:rPr>
        <w:t xml:space="preserve"> Market </w:t>
      </w:r>
      <w:proofErr w:type="spellStart"/>
      <w:r w:rsidRPr="007A1099">
        <w:rPr>
          <w:i/>
          <w:sz w:val="24"/>
          <w:szCs w:val="24"/>
          <w:lang w:val="el-GR"/>
        </w:rPr>
        <w:t>Index</w:t>
      </w:r>
      <w:proofErr w:type="spellEnd"/>
      <w:r w:rsidRPr="007A1099">
        <w:rPr>
          <w:i/>
          <w:sz w:val="24"/>
          <w:szCs w:val="24"/>
          <w:lang w:val="el-GR"/>
        </w:rPr>
        <w:t xml:space="preserve"> </w:t>
      </w:r>
      <w:proofErr w:type="spellStart"/>
      <w:r w:rsidRPr="007A1099">
        <w:rPr>
          <w:i/>
          <w:sz w:val="24"/>
          <w:szCs w:val="24"/>
          <w:lang w:val="el-GR"/>
        </w:rPr>
        <w:t>Family</w:t>
      </w:r>
      <w:proofErr w:type="spellEnd"/>
      <w:r w:rsidRPr="007A1099">
        <w:rPr>
          <w:sz w:val="24"/>
          <w:szCs w:val="24"/>
          <w:lang w:val="el-GR"/>
        </w:rPr>
        <w:t xml:space="preserve">, </w:t>
      </w:r>
      <w:r w:rsidRPr="007A1099">
        <w:rPr>
          <w:i/>
          <w:sz w:val="24"/>
          <w:szCs w:val="24"/>
          <w:lang w:val="el-GR"/>
        </w:rPr>
        <w:t>(Μελέτη σκοπιμότητας για τη δημιουργία οικογένειας δεικτών αγοράς μετοχών της Ένωσης Κεφαλαιαγορών),</w:t>
      </w:r>
      <w:r w:rsidRPr="007A1099">
        <w:rPr>
          <w:sz w:val="24"/>
          <w:szCs w:val="24"/>
          <w:lang w:val="el-GR"/>
        </w:rPr>
        <w:t xml:space="preserve"> 2020, </w:t>
      </w:r>
      <w:hyperlink r:id="rId11" w:history="1">
        <w:r w:rsidR="00CB275B" w:rsidRPr="007A1099">
          <w:rPr>
            <w:rStyle w:val="Hyperlink"/>
            <w:sz w:val="24"/>
            <w:szCs w:val="24"/>
            <w:lang w:val="el-GR"/>
          </w:rPr>
          <w:t>https://op.europa.eu/el/publication-detail/-/publication/1562efbd-cbc6-11ea-adf7-01aa75ed71a1</w:t>
        </w:r>
      </w:hyperlink>
      <w:r w:rsidRPr="007A1099">
        <w:rPr>
          <w:sz w:val="24"/>
          <w:szCs w:val="24"/>
          <w:lang w:val="el-GR"/>
        </w:rPr>
        <w:t>.</w:t>
      </w:r>
      <w:r w:rsidR="00CB275B" w:rsidRPr="007A1099">
        <w:rPr>
          <w:sz w:val="24"/>
          <w:szCs w:val="24"/>
          <w:lang w:val="el-GR"/>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232F715" w14:textId="77777777" w:rsidR="00064002" w:rsidRPr="00D33FF0"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318FFEA" w14:textId="77777777" w:rsidR="00064002" w:rsidRPr="00D33FF0"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CC9F46A" w14:textId="77777777" w:rsidR="00064002" w:rsidRPr="00D33FF0"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23F92DEB"/>
    <w:multiLevelType w:val="hybridMultilevel"/>
    <w:tmpl w:val="B58409EA"/>
    <w:lvl w:ilvl="0" w:tplc="BCF46C98">
      <w:start w:val="1"/>
      <w:numFmt w:val="decimal"/>
      <w:lvlText w:val="%1."/>
      <w:lvlJc w:val="left"/>
      <w:pPr>
        <w:ind w:left="930" w:hanging="57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39152718"/>
    <w:multiLevelType w:val="hybridMultilevel"/>
    <w:tmpl w:val="0EE81580"/>
    <w:lvl w:ilvl="0" w:tplc="BCF46C98">
      <w:start w:val="1"/>
      <w:numFmt w:val="decimal"/>
      <w:lvlText w:val="%1."/>
      <w:lvlJc w:val="left"/>
      <w:pPr>
        <w:ind w:left="930" w:hanging="57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4" w15:restartNumberingAfterBreak="0">
    <w:nsid w:val="3AE519BA"/>
    <w:multiLevelType w:val="hybridMultilevel"/>
    <w:tmpl w:val="49BE4B6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67F855AC"/>
    <w:multiLevelType w:val="hybridMultilevel"/>
    <w:tmpl w:val="BBFE9E1C"/>
    <w:lvl w:ilvl="0" w:tplc="BCF46C98">
      <w:start w:val="1"/>
      <w:numFmt w:val="decimal"/>
      <w:lvlText w:val="%1."/>
      <w:lvlJc w:val="left"/>
      <w:pPr>
        <w:ind w:left="930" w:hanging="57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73362C29"/>
    <w:multiLevelType w:val="hybridMultilevel"/>
    <w:tmpl w:val="827062AA"/>
    <w:lvl w:ilvl="0" w:tplc="BCF46C98">
      <w:start w:val="1"/>
      <w:numFmt w:val="decimal"/>
      <w:lvlText w:val="%1."/>
      <w:lvlJc w:val="left"/>
      <w:pPr>
        <w:ind w:left="570" w:hanging="57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3"/>
  </w:num>
  <w:num w:numId="45">
    <w:abstractNumId w:val="14"/>
  </w:num>
  <w:num w:numId="46">
    <w:abstractNumId w:val="16"/>
  </w:num>
  <w:num w:numId="47">
    <w:abstractNumId w:val="12"/>
  </w:num>
  <w:num w:numId="48">
    <w:abstractNumId w:val="15"/>
  </w:num>
  <w:num w:numId="49">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mirrorMargins/>
  <w:bordersDoNotSurroundHeader/>
  <w:bordersDoNotSurroundFooter/>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10-0124/2025"/>
    <w:docVar w:name="dvlangue" w:val="EL"/>
    <w:docVar w:name="dvnumam" w:val="30"/>
    <w:docVar w:name="dvpe" w:val="770.112"/>
    <w:docVar w:name="dvrapporteur" w:val="Εισηγήτρια: "/>
    <w:docVar w:name="dvtitre" w:val="Ψήφισμα του Ευρωπαϊκού Κοινοβουλίου σχετικά με τη διευκόλυνση της χρηματοδότησης επενδύσεων και μεταρρυθμίσεων για την τόνωση της ευρωπαϊκής ανταγωνιστικότητας και τη δημιουργία Ένωσης Κεφαλαιαγορών (έκθεση Draghi)(2024/2116(INI))"/>
  </w:docVars>
  <w:rsids>
    <w:rsidRoot w:val="009E3480"/>
    <w:rsid w:val="00002272"/>
    <w:rsid w:val="00064002"/>
    <w:rsid w:val="000677B9"/>
    <w:rsid w:val="000831BA"/>
    <w:rsid w:val="000A42CC"/>
    <w:rsid w:val="000E7DD9"/>
    <w:rsid w:val="0010095E"/>
    <w:rsid w:val="00125B37"/>
    <w:rsid w:val="00187494"/>
    <w:rsid w:val="001F32AE"/>
    <w:rsid w:val="002767FF"/>
    <w:rsid w:val="002B18FE"/>
    <w:rsid w:val="002B5493"/>
    <w:rsid w:val="00343214"/>
    <w:rsid w:val="00361C00"/>
    <w:rsid w:val="00395FA1"/>
    <w:rsid w:val="003E15D4"/>
    <w:rsid w:val="00411CCE"/>
    <w:rsid w:val="0041666E"/>
    <w:rsid w:val="00421060"/>
    <w:rsid w:val="00464571"/>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6761D"/>
    <w:rsid w:val="00680577"/>
    <w:rsid w:val="006F74FA"/>
    <w:rsid w:val="00731ADD"/>
    <w:rsid w:val="00734777"/>
    <w:rsid w:val="00747932"/>
    <w:rsid w:val="00751A4A"/>
    <w:rsid w:val="00756632"/>
    <w:rsid w:val="00762C74"/>
    <w:rsid w:val="00786EC0"/>
    <w:rsid w:val="007A1099"/>
    <w:rsid w:val="007D1690"/>
    <w:rsid w:val="007E22AD"/>
    <w:rsid w:val="00817416"/>
    <w:rsid w:val="00842779"/>
    <w:rsid w:val="00865F67"/>
    <w:rsid w:val="00881A7B"/>
    <w:rsid w:val="008840E5"/>
    <w:rsid w:val="00887B3E"/>
    <w:rsid w:val="008C111A"/>
    <w:rsid w:val="008C2AC6"/>
    <w:rsid w:val="0090410D"/>
    <w:rsid w:val="00930C23"/>
    <w:rsid w:val="0093193B"/>
    <w:rsid w:val="009509D8"/>
    <w:rsid w:val="00950B64"/>
    <w:rsid w:val="00981893"/>
    <w:rsid w:val="009E3480"/>
    <w:rsid w:val="00A1687D"/>
    <w:rsid w:val="00A43E52"/>
    <w:rsid w:val="00A4678D"/>
    <w:rsid w:val="00A778C7"/>
    <w:rsid w:val="00A91A32"/>
    <w:rsid w:val="00AB441E"/>
    <w:rsid w:val="00AB6293"/>
    <w:rsid w:val="00AE0928"/>
    <w:rsid w:val="00AF3B82"/>
    <w:rsid w:val="00B12E95"/>
    <w:rsid w:val="00B22876"/>
    <w:rsid w:val="00B558F0"/>
    <w:rsid w:val="00B9160A"/>
    <w:rsid w:val="00BA1560"/>
    <w:rsid w:val="00BD48FE"/>
    <w:rsid w:val="00BD7BD8"/>
    <w:rsid w:val="00BE6ADC"/>
    <w:rsid w:val="00C05BFE"/>
    <w:rsid w:val="00C23CD4"/>
    <w:rsid w:val="00C61C0C"/>
    <w:rsid w:val="00C941CB"/>
    <w:rsid w:val="00CB275B"/>
    <w:rsid w:val="00CC2357"/>
    <w:rsid w:val="00CF071A"/>
    <w:rsid w:val="00D058B8"/>
    <w:rsid w:val="00D2031A"/>
    <w:rsid w:val="00D33FF0"/>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265"/>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CC99BA8"/>
  <w15:chartTrackingRefBased/>
  <w15:docId w15:val="{47C6A511-DC39-4EA5-8798-1C47E47A6C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el-G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90410D"/>
    <w:pPr>
      <w:spacing w:before="480" w:after="240"/>
    </w:pPr>
    <w:rPr>
      <w:snapToGrid w:val="0"/>
      <w:lang w:eastAsia="en-US"/>
    </w:rPr>
  </w:style>
  <w:style w:type="paragraph" w:customStyle="1" w:styleId="NormalHanging12a">
    <w:name w:val="NormalHanging12a"/>
    <w:basedOn w:val="Normal"/>
    <w:rsid w:val="0090410D"/>
    <w:pPr>
      <w:widowControl/>
      <w:spacing w:after="240"/>
      <w:ind w:left="567" w:hanging="567"/>
    </w:pPr>
    <w:rPr>
      <w:snapToGrid w:val="0"/>
      <w:lang w:eastAsia="en-US"/>
    </w:rPr>
  </w:style>
  <w:style w:type="paragraph" w:customStyle="1" w:styleId="NormalCenter12a">
    <w:name w:val="NormalCenter12a"/>
    <w:basedOn w:val="Normal"/>
    <w:rsid w:val="0090410D"/>
    <w:pPr>
      <w:spacing w:after="240"/>
      <w:jc w:val="center"/>
    </w:pPr>
  </w:style>
  <w:style w:type="character" w:customStyle="1" w:styleId="BoldItalic">
    <w:name w:val="BoldItalic"/>
    <w:uiPriority w:val="1"/>
    <w:rsid w:val="0090410D"/>
    <w:rPr>
      <w:b/>
      <w:i/>
      <w:u w:val="none"/>
    </w:rPr>
  </w:style>
  <w:style w:type="character" w:customStyle="1" w:styleId="Italic">
    <w:name w:val="Italic"/>
    <w:uiPriority w:val="1"/>
    <w:rsid w:val="0090410D"/>
    <w:rPr>
      <w:i/>
    </w:rPr>
  </w:style>
  <w:style w:type="paragraph" w:customStyle="1" w:styleId="Normal12a24b">
    <w:name w:val="Normal12a24b"/>
    <w:basedOn w:val="Normal"/>
    <w:rsid w:val="0090410D"/>
    <w:pPr>
      <w:spacing w:before="360" w:after="240"/>
    </w:pPr>
    <w:rPr>
      <w:snapToGrid w:val="0"/>
      <w:lang w:eastAsia="en-US"/>
    </w:rPr>
  </w:style>
  <w:style w:type="character" w:styleId="Hyperlink">
    <w:name w:val="Hyperlink"/>
    <w:basedOn w:val="DefaultParagraphFont"/>
    <w:uiPriority w:val="99"/>
    <w:rsid w:val="0090410D"/>
    <w:rPr>
      <w:color w:val="0000FF"/>
      <w:u w:val="single"/>
    </w:rPr>
  </w:style>
  <w:style w:type="character" w:customStyle="1" w:styleId="normaltextrun">
    <w:name w:val="normaltextrun"/>
    <w:basedOn w:val="DefaultParagraphFont"/>
    <w:rsid w:val="0090410D"/>
  </w:style>
  <w:style w:type="paragraph" w:customStyle="1" w:styleId="title-bold">
    <w:name w:val="title-bold"/>
    <w:basedOn w:val="Normal"/>
    <w:rsid w:val="0090410D"/>
    <w:pPr>
      <w:widowControl/>
      <w:spacing w:before="100" w:beforeAutospacing="1" w:after="100" w:afterAutospacing="1"/>
    </w:pPr>
    <w:rPr>
      <w:szCs w:val="24"/>
    </w:rPr>
  </w:style>
  <w:style w:type="paragraph" w:styleId="ListParagraph">
    <w:name w:val="List Paragraph"/>
    <w:basedOn w:val="Normal"/>
    <w:uiPriority w:val="34"/>
    <w:qFormat/>
    <w:rsid w:val="00CB275B"/>
    <w:pPr>
      <w:ind w:left="720"/>
      <w:contextualSpacing/>
    </w:pPr>
  </w:style>
  <w:style w:type="paragraph" w:styleId="Revision">
    <w:name w:val="Revision"/>
    <w:hidden/>
    <w:uiPriority w:val="99"/>
    <w:semiHidden/>
    <w:rsid w:val="00CB275B"/>
    <w:rPr>
      <w:sz w:val="24"/>
      <w:lang w:val="el-GR"/>
    </w:rPr>
  </w:style>
  <w:style w:type="character" w:customStyle="1" w:styleId="UnresolvedMention1">
    <w:name w:val="Unresolved Mention1"/>
    <w:basedOn w:val="DefaultParagraphFont"/>
    <w:uiPriority w:val="99"/>
    <w:semiHidden/>
    <w:unhideWhenUsed/>
    <w:rsid w:val="00CB275B"/>
    <w:rPr>
      <w:color w:val="605E5C"/>
      <w:shd w:val="clear" w:color="auto" w:fill="E1DFDD"/>
    </w:rPr>
  </w:style>
  <w:style w:type="paragraph" w:styleId="BalloonText">
    <w:name w:val="Balloon Text"/>
    <w:basedOn w:val="Normal"/>
    <w:link w:val="BalloonTextChar"/>
    <w:rsid w:val="00464571"/>
    <w:rPr>
      <w:rFonts w:ascii="Segoe UI" w:hAnsi="Segoe UI" w:cs="Segoe UI"/>
      <w:sz w:val="18"/>
      <w:szCs w:val="18"/>
    </w:rPr>
  </w:style>
  <w:style w:type="character" w:customStyle="1" w:styleId="BalloonTextChar">
    <w:name w:val="Balloon Text Char"/>
    <w:basedOn w:val="DefaultParagraphFont"/>
    <w:link w:val="BalloonText"/>
    <w:rsid w:val="00464571"/>
    <w:rPr>
      <w:rFonts w:ascii="Segoe UI" w:hAnsi="Segoe UI" w:cs="Segoe UI"/>
      <w:sz w:val="18"/>
      <w:szCs w:val="18"/>
      <w:lang w:val="el-G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reg/2014/909/oj" TargetMode="External"/><Relationship Id="rId3" Type="http://schemas.openxmlformats.org/officeDocument/2006/relationships/hyperlink" Target="https://www.esm.europa.eu/articles-and-op-eds/developing-european-safe-assets-article-intereconomics" TargetMode="External"/><Relationship Id="rId7" Type="http://schemas.openxmlformats.org/officeDocument/2006/relationships/hyperlink" Target="http://data.europa.eu/eli/reg/2012/648/oj" TargetMode="External"/><Relationship Id="rId2" Type="http://schemas.openxmlformats.org/officeDocument/2006/relationships/hyperlink" Target="https://www.elibrary.imf.org/supplemental/book/9798400287312/9798400287312.xml/REOEUREA2024002-S001_SOURCE_PDF.pdf" TargetMode="External"/><Relationship Id="rId1" Type="http://schemas.openxmlformats.org/officeDocument/2006/relationships/hyperlink" Target="https://ec.europa.eu/eurostat/databrowser/view/NASA_10_F_BS__custom_13650774/default/table?lang=en" TargetMode="External"/><Relationship Id="rId6" Type="http://schemas.openxmlformats.org/officeDocument/2006/relationships/hyperlink" Target="http://data.europa.eu/eli/reg/2014/600/oj" TargetMode="External"/><Relationship Id="rId11" Type="http://schemas.openxmlformats.org/officeDocument/2006/relationships/hyperlink" Target="https://op.europa.eu/el/publication-detail/-/publication/1562efbd-cbc6-11ea-adf7-01aa75ed71a1" TargetMode="External"/><Relationship Id="rId5" Type="http://schemas.openxmlformats.org/officeDocument/2006/relationships/hyperlink" Target="http://data.europa.eu/eli/reg/2014/795/oj" TargetMode="External"/><Relationship Id="rId10" Type="http://schemas.openxmlformats.org/officeDocument/2006/relationships/hyperlink" Target="https://presse.economie.gouv.fr/lancement-du-label-europeen-finance-europe-pour-que-lepargne-des-europeens-contribue-au-financement-de-leconomie-europeenne/" TargetMode="External"/><Relationship Id="rId4" Type="http://schemas.openxmlformats.org/officeDocument/2006/relationships/hyperlink" Target="https://www.ceps.eu/its-finally-time-to-leverage-pension-funds-to-foster-eu-productivity-and-benefit-pensioners/" TargetMode="External"/><Relationship Id="rId9" Type="http://schemas.openxmlformats.org/officeDocument/2006/relationships/hyperlink" Target="http://data.europa.eu/eli/reg/2019/2088/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0DA51EA-DE44-4E2B-AC8F-46C4DBD35A6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25</Pages>
  <Words>9436</Words>
  <Characters>63602</Characters>
  <Application>Microsoft Office Word</Application>
  <DocSecurity>0</DocSecurity>
  <Lines>2650</Lines>
  <Paragraphs>1404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71634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CHRISTOFOROU Nikolaos</dc:creator>
  <cp:keywords/>
  <cp:lastModifiedBy>KOLOKYTHIA Amalia </cp:lastModifiedBy>
  <cp:revision>2</cp:revision>
  <cp:lastPrinted>2004-11-19T15:42:00Z</cp:lastPrinted>
  <dcterms:created xsi:type="dcterms:W3CDTF">2025-09-10T13:23:00Z</dcterms:created>
  <dcterms:modified xsi:type="dcterms:W3CDTF">2025-09-10T13:23:00Z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EL</vt:lpwstr>
  </property>
  <property fmtid="{D5CDD505-2E9C-101B-9397-08002B2CF9AE}" pid="3" name="&lt;FdR&gt;">
    <vt:lpwstr>A10-0124/2025</vt:lpwstr>
  </property>
  <property fmtid="{D5CDD505-2E9C-101B-9397-08002B2CF9AE}" pid="4" name="&lt;Type&gt;">
    <vt:lpwstr>RR</vt:lpwstr>
  </property>
</Properties>
</file>