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F0255" w14:paraId="5AE0366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59E0DD8" w14:textId="77777777" w:rsidR="00751A4A" w:rsidRPr="00AF0255" w:rsidRDefault="003518DD" w:rsidP="0010095E">
            <w:pPr>
              <w:pStyle w:val="EPName"/>
            </w:pPr>
            <w:r w:rsidRPr="00AF0255">
              <w:t>Europski parlament</w:t>
            </w:r>
          </w:p>
          <w:p w14:paraId="1B85DBBB" w14:textId="77777777" w:rsidR="00751A4A" w:rsidRPr="00AF025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0255">
              <w:t>2024</w:t>
            </w:r>
            <w:r w:rsidR="00817416" w:rsidRPr="00AF0255">
              <w:t>-202</w:t>
            </w:r>
            <w:r w:rsidRPr="00AF0255">
              <w:t>9</w:t>
            </w:r>
          </w:p>
        </w:tc>
        <w:tc>
          <w:tcPr>
            <w:tcW w:w="2268" w:type="dxa"/>
            <w:shd w:val="clear" w:color="auto" w:fill="auto"/>
          </w:tcPr>
          <w:p w14:paraId="794B5A9D" w14:textId="77777777" w:rsidR="00751A4A" w:rsidRPr="00AF0255" w:rsidRDefault="00187494" w:rsidP="0010095E">
            <w:pPr>
              <w:pStyle w:val="EPLogo"/>
            </w:pPr>
            <w:r w:rsidRPr="00AF0255">
              <w:rPr>
                <w:noProof/>
                <w:lang w:eastAsia="ja-JP"/>
              </w:rPr>
              <w:drawing>
                <wp:inline distT="0" distB="0" distL="0" distR="0" wp14:anchorId="74AD648E" wp14:editId="3AF7941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936FD2" w14:textId="77777777" w:rsidR="00D058B8" w:rsidRPr="00AF0255" w:rsidRDefault="00D058B8" w:rsidP="004C5D52">
      <w:pPr>
        <w:pStyle w:val="LineTop"/>
      </w:pPr>
    </w:p>
    <w:p w14:paraId="4135AECB" w14:textId="77777777" w:rsidR="00680577" w:rsidRPr="00AF0255" w:rsidRDefault="003518DD" w:rsidP="00680577">
      <w:pPr>
        <w:pStyle w:val="EPBodyTA1"/>
      </w:pPr>
      <w:r w:rsidRPr="00AF0255">
        <w:t>USVOJENI TEKSTOVI</w:t>
      </w:r>
    </w:p>
    <w:p w14:paraId="437F83FA" w14:textId="77777777" w:rsidR="00D058B8" w:rsidRPr="00AF0255" w:rsidRDefault="00D058B8" w:rsidP="00D058B8">
      <w:pPr>
        <w:pStyle w:val="LineBottom"/>
      </w:pPr>
    </w:p>
    <w:p w14:paraId="0DF6ECAF" w14:textId="3CA2CAC4" w:rsidR="003518DD" w:rsidRPr="00AF0255" w:rsidRDefault="003518DD" w:rsidP="003518DD">
      <w:pPr>
        <w:pStyle w:val="ATHeading1"/>
      </w:pPr>
      <w:bookmarkStart w:id="0" w:name="TANumber"/>
      <w:r w:rsidRPr="00AF0255">
        <w:t>P10_TA(2025)0</w:t>
      </w:r>
      <w:r w:rsidR="007B64BE">
        <w:t>185</w:t>
      </w:r>
      <w:bookmarkEnd w:id="0"/>
    </w:p>
    <w:p w14:paraId="54E2A767" w14:textId="08DA8374" w:rsidR="003518DD" w:rsidRPr="00AF0255" w:rsidRDefault="007B64BE" w:rsidP="003518DD">
      <w:pPr>
        <w:pStyle w:val="ATHeading2"/>
      </w:pPr>
      <w:bookmarkStart w:id="1" w:name="title"/>
      <w:r>
        <w:t>U</w:t>
      </w:r>
      <w:r w:rsidR="009530B9" w:rsidRPr="009530B9">
        <w:t>laganja i reform</w:t>
      </w:r>
      <w:r w:rsidR="009530B9">
        <w:t>e</w:t>
      </w:r>
      <w:r w:rsidR="009530B9" w:rsidRPr="009530B9">
        <w:t xml:space="preserve"> za poticanje europske konkurentnosti i stvaranje unije tržišta kapitala </w:t>
      </w:r>
      <w:bookmarkEnd w:id="1"/>
    </w:p>
    <w:p w14:paraId="163CEC3E" w14:textId="77777777" w:rsidR="003518DD" w:rsidRPr="00AF0255" w:rsidRDefault="003518DD" w:rsidP="003518DD">
      <w:pPr>
        <w:rPr>
          <w:i/>
          <w:vanish/>
        </w:rPr>
      </w:pPr>
      <w:r w:rsidRPr="00AF0255">
        <w:rPr>
          <w:i/>
        </w:rPr>
        <w:fldChar w:fldCharType="begin"/>
      </w:r>
      <w:r w:rsidRPr="00AF0255">
        <w:rPr>
          <w:i/>
        </w:rPr>
        <w:instrText xml:space="preserve"> TC"(</w:instrText>
      </w:r>
      <w:bookmarkStart w:id="2" w:name="DocNumber"/>
      <w:r w:rsidRPr="00AF0255">
        <w:rPr>
          <w:i/>
        </w:rPr>
        <w:instrText>A10-0124/2025</w:instrText>
      </w:r>
      <w:bookmarkEnd w:id="2"/>
      <w:r w:rsidRPr="00AF0255">
        <w:rPr>
          <w:i/>
        </w:rPr>
        <w:instrText xml:space="preserve"> - Izvjestiteljica: Aurore Lalucq)"\l3 \n&gt; \* MERGEFORMAT </w:instrText>
      </w:r>
      <w:r w:rsidRPr="00AF0255">
        <w:rPr>
          <w:i/>
        </w:rPr>
        <w:fldChar w:fldCharType="end"/>
      </w:r>
    </w:p>
    <w:p w14:paraId="3A3FC77D" w14:textId="77777777" w:rsidR="003518DD" w:rsidRPr="00AF0255" w:rsidRDefault="003518DD" w:rsidP="003518DD">
      <w:pPr>
        <w:rPr>
          <w:vanish/>
        </w:rPr>
      </w:pPr>
      <w:bookmarkStart w:id="3" w:name="Commission"/>
      <w:r w:rsidRPr="00AF0255">
        <w:rPr>
          <w:vanish/>
        </w:rPr>
        <w:t>Odbor za ekonomsku i monetarnu politiku</w:t>
      </w:r>
      <w:bookmarkEnd w:id="3"/>
    </w:p>
    <w:p w14:paraId="3BD4CC65" w14:textId="77777777" w:rsidR="003518DD" w:rsidRPr="00AF0255" w:rsidRDefault="003518DD" w:rsidP="003518DD">
      <w:pPr>
        <w:rPr>
          <w:vanish/>
        </w:rPr>
      </w:pPr>
      <w:bookmarkStart w:id="4" w:name="PE"/>
      <w:r w:rsidRPr="00AF0255">
        <w:rPr>
          <w:vanish/>
        </w:rPr>
        <w:t>PE770.112</w:t>
      </w:r>
      <w:bookmarkEnd w:id="4"/>
    </w:p>
    <w:p w14:paraId="6DB20B31" w14:textId="464F5072" w:rsidR="003518DD" w:rsidRPr="00AF0255" w:rsidRDefault="003518DD" w:rsidP="003518DD">
      <w:pPr>
        <w:pStyle w:val="ATHeading3"/>
      </w:pPr>
      <w:bookmarkStart w:id="5" w:name="Sujet"/>
      <w:r w:rsidRPr="00AF0255">
        <w:t xml:space="preserve">Rezolucija Europskog parlamenta od </w:t>
      </w:r>
      <w:r w:rsidR="009530B9">
        <w:t>10. rujna</w:t>
      </w:r>
      <w:r w:rsidRPr="00AF0255">
        <w:t xml:space="preserve"> 2025. o olakšavanju financiranja ulaganja i reformi za poticanje europske konkurentnosti i stvaranje unije tržišta kapitala (</w:t>
      </w:r>
      <w:proofErr w:type="spellStart"/>
      <w:r w:rsidRPr="00AF0255">
        <w:t>Draghijevo</w:t>
      </w:r>
      <w:proofErr w:type="spellEnd"/>
      <w:r w:rsidRPr="00AF0255">
        <w:t xml:space="preserve"> izvješće)</w:t>
      </w:r>
      <w:bookmarkEnd w:id="5"/>
      <w:r w:rsidRPr="00AF0255">
        <w:t xml:space="preserve"> </w:t>
      </w:r>
      <w:bookmarkStart w:id="6" w:name="References"/>
      <w:r w:rsidRPr="00AF0255">
        <w:t>(2024/2116(INI))</w:t>
      </w:r>
      <w:bookmarkEnd w:id="6"/>
    </w:p>
    <w:p w14:paraId="323132E2" w14:textId="77777777" w:rsidR="00A76C30" w:rsidRPr="00AF0255" w:rsidRDefault="00A76C30" w:rsidP="00A76C30">
      <w:pPr>
        <w:pStyle w:val="EPComma"/>
      </w:pPr>
      <w:r w:rsidRPr="00AF0255">
        <w:rPr>
          <w:rStyle w:val="Italic"/>
        </w:rPr>
        <w:t>Europski parlament</w:t>
      </w:r>
      <w:r w:rsidRPr="00AF0255">
        <w:t>,</w:t>
      </w:r>
    </w:p>
    <w:p w14:paraId="2479E371" w14:textId="77777777" w:rsidR="00A76C30" w:rsidRPr="00AF0255" w:rsidRDefault="00A76C30" w:rsidP="00A76C30">
      <w:pPr>
        <w:pStyle w:val="NormalHanging12a"/>
      </w:pPr>
      <w:r w:rsidRPr="00AF0255">
        <w:t>–</w:t>
      </w:r>
      <w:r w:rsidRPr="00AF0255">
        <w:tab/>
        <w:t xml:space="preserve">uzimajući u obzir publikaciju predsjednice Komisije Ursule von </w:t>
      </w:r>
      <w:proofErr w:type="spellStart"/>
      <w:r w:rsidRPr="00AF0255">
        <w:t>der</w:t>
      </w:r>
      <w:proofErr w:type="spellEnd"/>
      <w:r w:rsidRPr="00AF0255">
        <w:t xml:space="preserve"> </w:t>
      </w:r>
      <w:proofErr w:type="spellStart"/>
      <w:r w:rsidRPr="00AF0255">
        <w:t>Leyen</w:t>
      </w:r>
      <w:proofErr w:type="spellEnd"/>
      <w:r w:rsidRPr="00AF0255">
        <w:t xml:space="preserve"> od 18. srpnja 2024. naslovljenu „Izbor za Europu: političke smjernice za sljedeću Europsku komisiju 2024.–2029.”</w:t>
      </w:r>
    </w:p>
    <w:p w14:paraId="731729A2" w14:textId="77777777" w:rsidR="00A76C30" w:rsidRPr="00AF0255" w:rsidRDefault="00A76C30" w:rsidP="00A76C30">
      <w:pPr>
        <w:pStyle w:val="NormalHanging12a"/>
      </w:pPr>
      <w:r w:rsidRPr="00AF0255">
        <w:t>–</w:t>
      </w:r>
      <w:r w:rsidRPr="00AF0255">
        <w:tab/>
        <w:t xml:space="preserve">uzimajući u obzir izvješće Marija </w:t>
      </w:r>
      <w:proofErr w:type="spellStart"/>
      <w:r w:rsidRPr="00AF0255">
        <w:t>Draghija</w:t>
      </w:r>
      <w:proofErr w:type="spellEnd"/>
      <w:r w:rsidRPr="00AF0255">
        <w:t xml:space="preserve"> od 9. rujna 2024. naslovljeno „Budućnost europske konkurentnosti” („</w:t>
      </w:r>
      <w:proofErr w:type="spellStart"/>
      <w:r w:rsidRPr="00AF0255">
        <w:t>The</w:t>
      </w:r>
      <w:proofErr w:type="spellEnd"/>
      <w:r w:rsidRPr="00AF0255">
        <w:t xml:space="preserve"> future </w:t>
      </w:r>
      <w:proofErr w:type="spellStart"/>
      <w:r w:rsidRPr="00AF0255">
        <w:t>of</w:t>
      </w:r>
      <w:proofErr w:type="spellEnd"/>
      <w:r w:rsidRPr="00AF0255">
        <w:t xml:space="preserve"> European </w:t>
      </w:r>
      <w:proofErr w:type="spellStart"/>
      <w:r w:rsidRPr="00AF0255">
        <w:t>competitiveness</w:t>
      </w:r>
      <w:proofErr w:type="spellEnd"/>
      <w:r w:rsidRPr="00AF0255">
        <w:t>”) (</w:t>
      </w:r>
      <w:proofErr w:type="spellStart"/>
      <w:r w:rsidRPr="00AF0255">
        <w:t>Draghijevo</w:t>
      </w:r>
      <w:proofErr w:type="spellEnd"/>
      <w:r w:rsidRPr="00AF0255">
        <w:t xml:space="preserve"> izvješće),</w:t>
      </w:r>
    </w:p>
    <w:p w14:paraId="5AA525E9" w14:textId="77777777" w:rsidR="00A76C30" w:rsidRPr="00AF0255" w:rsidRDefault="00A76C30" w:rsidP="00A76C30">
      <w:pPr>
        <w:pStyle w:val="NormalHanging12a"/>
      </w:pPr>
      <w:r w:rsidRPr="00AF0255">
        <w:t>–</w:t>
      </w:r>
      <w:r w:rsidRPr="00AF0255">
        <w:tab/>
        <w:t xml:space="preserve">uzimajući u obzir izvješće Enrica </w:t>
      </w:r>
      <w:proofErr w:type="spellStart"/>
      <w:r w:rsidRPr="00AF0255">
        <w:t>Lette</w:t>
      </w:r>
      <w:proofErr w:type="spellEnd"/>
      <w:r w:rsidRPr="00AF0255">
        <w:t xml:space="preserve"> od 17. travnja 2024. naslovljeno „Više od tržišta” („</w:t>
      </w:r>
      <w:proofErr w:type="spellStart"/>
      <w:r w:rsidRPr="00AF0255">
        <w:t>Much</w:t>
      </w:r>
      <w:proofErr w:type="spellEnd"/>
      <w:r w:rsidRPr="00AF0255">
        <w:t xml:space="preserve"> more </w:t>
      </w:r>
      <w:proofErr w:type="spellStart"/>
      <w:r w:rsidRPr="00AF0255">
        <w:t>than</w:t>
      </w:r>
      <w:proofErr w:type="spellEnd"/>
      <w:r w:rsidRPr="00AF0255">
        <w:t xml:space="preserve"> a market”), (</w:t>
      </w:r>
      <w:proofErr w:type="spellStart"/>
      <w:r w:rsidRPr="00AF0255">
        <w:t>Lettino</w:t>
      </w:r>
      <w:proofErr w:type="spellEnd"/>
      <w:r w:rsidRPr="00AF0255">
        <w:t xml:space="preserve"> izvješće),</w:t>
      </w:r>
    </w:p>
    <w:p w14:paraId="0CAC3171" w14:textId="77777777" w:rsidR="00A76C30" w:rsidRPr="00AF0255" w:rsidRDefault="00A76C30" w:rsidP="00A76C30">
      <w:pPr>
        <w:pStyle w:val="NormalHanging12a"/>
      </w:pPr>
      <w:r w:rsidRPr="00AF0255">
        <w:t>–</w:t>
      </w:r>
      <w:r w:rsidRPr="00AF0255">
        <w:tab/>
        <w:t xml:space="preserve">uzimajući u obzir izvješće Christiana </w:t>
      </w:r>
      <w:proofErr w:type="spellStart"/>
      <w:r w:rsidRPr="00AF0255">
        <w:t>Noyera</w:t>
      </w:r>
      <w:proofErr w:type="spellEnd"/>
      <w:r w:rsidRPr="00AF0255">
        <w:t xml:space="preserve"> od 25. travnja 2024. naslovljeno „Razvoj europskih tržišta kapitala radi financiranja budućnosti” („</w:t>
      </w:r>
      <w:proofErr w:type="spellStart"/>
      <w:r w:rsidRPr="00AF0255">
        <w:t>Developing</w:t>
      </w:r>
      <w:proofErr w:type="spellEnd"/>
      <w:r w:rsidRPr="00AF0255">
        <w:t xml:space="preserve"> European </w:t>
      </w:r>
      <w:proofErr w:type="spellStart"/>
      <w:r w:rsidRPr="00AF0255">
        <w:t>capital</w:t>
      </w:r>
      <w:proofErr w:type="spellEnd"/>
      <w:r w:rsidRPr="00AF0255">
        <w:t xml:space="preserve"> </w:t>
      </w:r>
      <w:proofErr w:type="spellStart"/>
      <w:r w:rsidRPr="00AF0255">
        <w:t>markets</w:t>
      </w:r>
      <w:proofErr w:type="spellEnd"/>
      <w:r w:rsidRPr="00AF0255">
        <w:t xml:space="preserve"> to </w:t>
      </w:r>
      <w:proofErr w:type="spellStart"/>
      <w:r w:rsidRPr="00AF0255">
        <w:t>finance</w:t>
      </w:r>
      <w:proofErr w:type="spellEnd"/>
      <w:r w:rsidRPr="00AF0255">
        <w:t xml:space="preserve"> </w:t>
      </w:r>
      <w:proofErr w:type="spellStart"/>
      <w:r w:rsidRPr="00AF0255">
        <w:t>the</w:t>
      </w:r>
      <w:proofErr w:type="spellEnd"/>
      <w:r w:rsidRPr="00AF0255">
        <w:t xml:space="preserve"> future”) (</w:t>
      </w:r>
      <w:proofErr w:type="spellStart"/>
      <w:r w:rsidRPr="00AF0255">
        <w:t>Noyerovo</w:t>
      </w:r>
      <w:proofErr w:type="spellEnd"/>
      <w:r w:rsidRPr="00AF0255">
        <w:t xml:space="preserve"> izvješće),</w:t>
      </w:r>
    </w:p>
    <w:p w14:paraId="44F16EB4" w14:textId="77777777" w:rsidR="00A76C30" w:rsidRPr="00AF0255" w:rsidRDefault="00A76C30" w:rsidP="00A76C30">
      <w:pPr>
        <w:pStyle w:val="NormalHanging12a"/>
        <w:rPr>
          <w:snapToGrid/>
        </w:rPr>
      </w:pPr>
      <w:r w:rsidRPr="00AF0255">
        <w:t>–</w:t>
      </w:r>
      <w:r w:rsidRPr="00AF0255">
        <w:tab/>
        <w:t xml:space="preserve">uzimajući u obzir komunikaciju Komisije od 29. siječnja 2025. naslovljenu „Kompas konkurentnosti za EU” (COM(2025)0030) i onu od 26. veljače 2025. naslovljenu „Plan za čistu industriju: zajednički plan za </w:t>
      </w:r>
      <w:proofErr w:type="spellStart"/>
      <w:r w:rsidRPr="00AF0255">
        <w:t>dekarbonizaciju</w:t>
      </w:r>
      <w:proofErr w:type="spellEnd"/>
      <w:r w:rsidRPr="00AF0255">
        <w:t xml:space="preserve"> i konkurentnost” (COM(2025)0085), </w:t>
      </w:r>
    </w:p>
    <w:p w14:paraId="7D30C122" w14:textId="77777777" w:rsidR="00A76C30" w:rsidRPr="00AF0255" w:rsidRDefault="00A76C30" w:rsidP="00A76C30">
      <w:pPr>
        <w:pStyle w:val="NormalHanging12a"/>
      </w:pPr>
      <w:r w:rsidRPr="00AF0255">
        <w:t>–</w:t>
      </w:r>
      <w:r w:rsidRPr="00AF0255">
        <w:tab/>
        <w:t xml:space="preserve">uzimajući u obzir pismo predsjednice von </w:t>
      </w:r>
      <w:proofErr w:type="spellStart"/>
      <w:r w:rsidRPr="00AF0255">
        <w:t>der</w:t>
      </w:r>
      <w:proofErr w:type="spellEnd"/>
      <w:r w:rsidRPr="00AF0255">
        <w:t xml:space="preserve"> </w:t>
      </w:r>
      <w:proofErr w:type="spellStart"/>
      <w:r w:rsidRPr="00AF0255">
        <w:t>Leyen</w:t>
      </w:r>
      <w:proofErr w:type="spellEnd"/>
      <w:r w:rsidRPr="00AF0255">
        <w:t xml:space="preserve"> o obrani upućeno Europskom vijeću uoči njegova sastanka 6. ožujka 2025.,</w:t>
      </w:r>
    </w:p>
    <w:p w14:paraId="526E3C12" w14:textId="77777777" w:rsidR="00A76C30" w:rsidRPr="00AF0255" w:rsidRDefault="00A76C30" w:rsidP="00A76C30">
      <w:pPr>
        <w:pStyle w:val="NormalHanging12a"/>
      </w:pPr>
      <w:r w:rsidRPr="00AF0255">
        <w:t>–</w:t>
      </w:r>
      <w:r w:rsidRPr="00AF0255">
        <w:tab/>
        <w:t>uzimajući u obzir zaključke Europskog vijeća od 6. ožujka 2025. o europskoj obrani,</w:t>
      </w:r>
    </w:p>
    <w:p w14:paraId="6A036F27" w14:textId="77777777" w:rsidR="00A76C30" w:rsidRPr="00AF0255" w:rsidRDefault="00A76C30" w:rsidP="00A76C30">
      <w:pPr>
        <w:pStyle w:val="NormalHanging12a"/>
        <w:rPr>
          <w:snapToGrid/>
        </w:rPr>
      </w:pPr>
      <w:r w:rsidRPr="00AF0255">
        <w:lastRenderedPageBreak/>
        <w:t>–</w:t>
      </w:r>
      <w:r w:rsidRPr="00AF0255">
        <w:tab/>
        <w:t>uzimajući u obzir komunikaciju Komisije od 19. ožujka 2025. naslovljenu „Unija za štednju i ulaganja – Strategija za povećanje bogatstva građana i gospodarske konkurentnosti EU-a” (COM(2025)0124),</w:t>
      </w:r>
    </w:p>
    <w:p w14:paraId="20CC2B99" w14:textId="77777777" w:rsidR="00A76C30" w:rsidRPr="00AF0255" w:rsidRDefault="00A76C30" w:rsidP="00A76C30">
      <w:pPr>
        <w:pStyle w:val="NormalHanging12a"/>
      </w:pPr>
      <w:r w:rsidRPr="00AF0255">
        <w:t>–</w:t>
      </w:r>
      <w:r w:rsidRPr="00AF0255">
        <w:tab/>
        <w:t xml:space="preserve">uzimajući u obzir izjavu </w:t>
      </w:r>
      <w:proofErr w:type="spellStart"/>
      <w:r w:rsidRPr="00AF0255">
        <w:t>Euroskupine</w:t>
      </w:r>
      <w:proofErr w:type="spellEnd"/>
      <w:r w:rsidRPr="00AF0255">
        <w:t xml:space="preserve"> u </w:t>
      </w:r>
      <w:proofErr w:type="spellStart"/>
      <w:r w:rsidRPr="00AF0255">
        <w:t>uključivom</w:t>
      </w:r>
      <w:proofErr w:type="spellEnd"/>
      <w:r w:rsidRPr="00AF0255">
        <w:t xml:space="preserve"> sastavu o budućnosti unije tržišta kapitala od 11. ožujka 2024.,</w:t>
      </w:r>
    </w:p>
    <w:p w14:paraId="53B14CCB" w14:textId="77777777" w:rsidR="00A76C30" w:rsidRPr="00AF0255" w:rsidRDefault="00A76C30" w:rsidP="00A76C30">
      <w:pPr>
        <w:pStyle w:val="NormalHanging12a"/>
      </w:pPr>
      <w:r w:rsidRPr="00AF0255">
        <w:t>–</w:t>
      </w:r>
      <w:r w:rsidRPr="00AF0255">
        <w:tab/>
        <w:t xml:space="preserve">uzimajući u obzir plan na visokoj razini iz svibnja 2024. za daljnje postupanje nakon izjave </w:t>
      </w:r>
      <w:proofErr w:type="spellStart"/>
      <w:r w:rsidRPr="00AF0255">
        <w:t>Euroskupine</w:t>
      </w:r>
      <w:proofErr w:type="spellEnd"/>
      <w:r w:rsidRPr="00AF0255">
        <w:t xml:space="preserve"> o budućnosti unije tržišta kapitala u </w:t>
      </w:r>
      <w:proofErr w:type="spellStart"/>
      <w:r w:rsidRPr="00AF0255">
        <w:t>uključivom</w:t>
      </w:r>
      <w:proofErr w:type="spellEnd"/>
      <w:r w:rsidRPr="00AF0255">
        <w:t xml:space="preserve"> sastavu </w:t>
      </w:r>
      <w:proofErr w:type="spellStart"/>
      <w:r w:rsidRPr="00AF0255">
        <w:t>Euroskupine</w:t>
      </w:r>
      <w:proofErr w:type="spellEnd"/>
      <w:r w:rsidRPr="00AF0255">
        <w:t>,</w:t>
      </w:r>
    </w:p>
    <w:p w14:paraId="53DBFB23" w14:textId="77777777" w:rsidR="00A76C30" w:rsidRPr="00AF0255" w:rsidRDefault="00A76C30" w:rsidP="00A76C30">
      <w:pPr>
        <w:pStyle w:val="NormalHanging12a"/>
      </w:pPr>
      <w:r w:rsidRPr="00AF0255">
        <w:t>–</w:t>
      </w:r>
      <w:r w:rsidRPr="00AF0255">
        <w:tab/>
        <w:t>uzimajući u obzir zaključke Europskog vijeća od 17. i 18. travnja 2024.,</w:t>
      </w:r>
    </w:p>
    <w:p w14:paraId="393E3D11" w14:textId="77777777" w:rsidR="00A76C30" w:rsidRPr="00AF0255" w:rsidRDefault="00A76C30" w:rsidP="00A76C30">
      <w:pPr>
        <w:pStyle w:val="NormalHanging12a"/>
        <w:rPr>
          <w:snapToGrid/>
        </w:rPr>
      </w:pPr>
      <w:r w:rsidRPr="00AF0255">
        <w:t>–</w:t>
      </w:r>
      <w:r w:rsidRPr="00AF0255">
        <w:tab/>
        <w:t xml:space="preserve">uzimajući u obzir </w:t>
      </w:r>
      <w:proofErr w:type="spellStart"/>
      <w:r w:rsidRPr="00AF0255">
        <w:t>razmatračko</w:t>
      </w:r>
      <w:proofErr w:type="spellEnd"/>
      <w:r w:rsidRPr="00AF0255">
        <w:t xml:space="preserve"> mišljenje ECO/665 Europskog gospodarskog i socijalnog odbora naslovljeno „Ulaganja i reforme za poticanje europske konkurentnosti i stvaranje unije tržišta kapitala”, usvojeno 30. travnja 2025., </w:t>
      </w:r>
    </w:p>
    <w:p w14:paraId="23B9765E" w14:textId="77777777" w:rsidR="00A76C30" w:rsidRPr="00AF0255" w:rsidRDefault="00A76C30" w:rsidP="00A76C30">
      <w:pPr>
        <w:pStyle w:val="NormalHanging12a"/>
      </w:pPr>
      <w:r w:rsidRPr="00AF0255">
        <w:t>–</w:t>
      </w:r>
      <w:r w:rsidRPr="00AF0255">
        <w:tab/>
        <w:t xml:space="preserve">uzimajući u obzir izjavu Europskog nadzornog tijela za osiguranje i strukovno mirovinsko osiguranje od 25. travnja 2024. na temu „Kako europski osiguravatelji i mirovinski fondovi mogu doprinijeti daljnjem jačanju unije tržišta kapitala” („How European </w:t>
      </w:r>
      <w:proofErr w:type="spellStart"/>
      <w:r w:rsidRPr="00AF0255">
        <w:t>insurers</w:t>
      </w:r>
      <w:proofErr w:type="spellEnd"/>
      <w:r w:rsidRPr="00AF0255">
        <w:t xml:space="preserve"> </w:t>
      </w:r>
      <w:proofErr w:type="spellStart"/>
      <w:r w:rsidRPr="00AF0255">
        <w:t>and</w:t>
      </w:r>
      <w:proofErr w:type="spellEnd"/>
      <w:r w:rsidRPr="00AF0255">
        <w:t xml:space="preserve"> </w:t>
      </w:r>
      <w:proofErr w:type="spellStart"/>
      <w:r w:rsidRPr="00AF0255">
        <w:t>pension</w:t>
      </w:r>
      <w:proofErr w:type="spellEnd"/>
      <w:r w:rsidRPr="00AF0255">
        <w:t xml:space="preserve"> </w:t>
      </w:r>
      <w:proofErr w:type="spellStart"/>
      <w:r w:rsidRPr="00AF0255">
        <w:t>funds</w:t>
      </w:r>
      <w:proofErr w:type="spellEnd"/>
      <w:r w:rsidRPr="00AF0255">
        <w:t xml:space="preserve"> </w:t>
      </w:r>
      <w:proofErr w:type="spellStart"/>
      <w:r w:rsidRPr="00AF0255">
        <w:t>can</w:t>
      </w:r>
      <w:proofErr w:type="spellEnd"/>
      <w:r w:rsidRPr="00AF0255">
        <w:t xml:space="preserve"> </w:t>
      </w:r>
      <w:proofErr w:type="spellStart"/>
      <w:r w:rsidRPr="00AF0255">
        <w:t>contribute</w:t>
      </w:r>
      <w:proofErr w:type="spellEnd"/>
      <w:r w:rsidRPr="00AF0255">
        <w:t xml:space="preserve"> to </w:t>
      </w:r>
      <w:proofErr w:type="spellStart"/>
      <w:r w:rsidRPr="00AF0255">
        <w:t>further</w:t>
      </w:r>
      <w:proofErr w:type="spellEnd"/>
      <w:r w:rsidRPr="00AF0255">
        <w:t xml:space="preserve"> </w:t>
      </w:r>
      <w:proofErr w:type="spellStart"/>
      <w:r w:rsidRPr="00AF0255">
        <w:t>strengthen</w:t>
      </w:r>
      <w:proofErr w:type="spellEnd"/>
      <w:r w:rsidRPr="00AF0255">
        <w:t xml:space="preserve"> </w:t>
      </w:r>
      <w:proofErr w:type="spellStart"/>
      <w:r w:rsidRPr="00AF0255">
        <w:t>the</w:t>
      </w:r>
      <w:proofErr w:type="spellEnd"/>
      <w:r w:rsidRPr="00AF0255">
        <w:t xml:space="preserve"> Capital </w:t>
      </w:r>
      <w:proofErr w:type="spellStart"/>
      <w:r w:rsidRPr="00AF0255">
        <w:t>Markets</w:t>
      </w:r>
      <w:proofErr w:type="spellEnd"/>
      <w:r w:rsidRPr="00AF0255">
        <w:t xml:space="preserve"> Union”), dokument službi od 11. rujna 2024. naslovljen „Jednostavan i dugoročan europski štedni proizvod: budući paneuropski mirovinski proizvod” (A </w:t>
      </w:r>
      <w:proofErr w:type="spellStart"/>
      <w:r w:rsidRPr="00AF0255">
        <w:t>simple</w:t>
      </w:r>
      <w:proofErr w:type="spellEnd"/>
      <w:r w:rsidRPr="00AF0255">
        <w:t xml:space="preserve"> </w:t>
      </w:r>
      <w:proofErr w:type="spellStart"/>
      <w:r w:rsidRPr="00AF0255">
        <w:t>and</w:t>
      </w:r>
      <w:proofErr w:type="spellEnd"/>
      <w:r w:rsidRPr="00AF0255">
        <w:t xml:space="preserve"> </w:t>
      </w:r>
      <w:proofErr w:type="spellStart"/>
      <w:r w:rsidRPr="00AF0255">
        <w:t>long-term</w:t>
      </w:r>
      <w:proofErr w:type="spellEnd"/>
      <w:r w:rsidRPr="00AF0255">
        <w:t xml:space="preserve"> European </w:t>
      </w:r>
      <w:proofErr w:type="spellStart"/>
      <w:r w:rsidRPr="00AF0255">
        <w:t>savings</w:t>
      </w:r>
      <w:proofErr w:type="spellEnd"/>
      <w:r w:rsidRPr="00AF0255">
        <w:t xml:space="preserve"> </w:t>
      </w:r>
      <w:proofErr w:type="spellStart"/>
      <w:r w:rsidRPr="00AF0255">
        <w:t>product</w:t>
      </w:r>
      <w:proofErr w:type="spellEnd"/>
      <w:r w:rsidRPr="00AF0255">
        <w:t xml:space="preserve">: </w:t>
      </w:r>
      <w:proofErr w:type="spellStart"/>
      <w:r w:rsidRPr="00AF0255">
        <w:t>the</w:t>
      </w:r>
      <w:proofErr w:type="spellEnd"/>
      <w:r w:rsidRPr="00AF0255">
        <w:t xml:space="preserve"> future Pan-European </w:t>
      </w:r>
      <w:proofErr w:type="spellStart"/>
      <w:r w:rsidRPr="00AF0255">
        <w:t>Pension</w:t>
      </w:r>
      <w:proofErr w:type="spellEnd"/>
      <w:r w:rsidRPr="00AF0255">
        <w:t xml:space="preserve"> </w:t>
      </w:r>
      <w:proofErr w:type="spellStart"/>
      <w:r w:rsidRPr="00AF0255">
        <w:t>Product</w:t>
      </w:r>
      <w:proofErr w:type="spellEnd"/>
      <w:r w:rsidRPr="00AF0255">
        <w:t>), svoje izvješće o troškovima i prošlim rezultatima od 15. travnja 2025. i izvješće od 7. studenoga 2024. naslovljeno „Bonitetni tretman rizika za održivost”,</w:t>
      </w:r>
    </w:p>
    <w:p w14:paraId="1CFEA8AD" w14:textId="77777777" w:rsidR="00A76C30" w:rsidRPr="00AF0255" w:rsidRDefault="00A76C30" w:rsidP="00A76C30">
      <w:pPr>
        <w:pStyle w:val="NormalHanging12a"/>
        <w:rPr>
          <w:snapToGrid/>
        </w:rPr>
      </w:pPr>
      <w:r w:rsidRPr="00AF0255">
        <w:t>–</w:t>
      </w:r>
      <w:r w:rsidRPr="00AF0255">
        <w:tab/>
        <w:t xml:space="preserve">uzimajući u obzir dokument o stajalištu Europskog nadzornog tijela za vrijednosne papire i tržišta kapitala (ESMA) od 22. svibnja 2024. naslovljen „Izgradnja učinkovitijih i privlačnijih tržišta kapitala u EU-u”, izvješće ESMA-e o tržištu od 18. prosinca 2023. naslovljeno „Troškovi i uspješnost investicijskih proizvoda EU-a za male ulagatelje 2023.” i mišljenje ESMA-e od 24. srpnja 2024. naslovljeno „Održiva ulaganja: olakšavanje putovanja za ulagatelje – holistička vizija za dugoročno razdoblje”, </w:t>
      </w:r>
    </w:p>
    <w:p w14:paraId="7099B4FC" w14:textId="77777777" w:rsidR="00A76C30" w:rsidRPr="00AF0255" w:rsidRDefault="00A76C30" w:rsidP="00A76C30">
      <w:pPr>
        <w:pStyle w:val="NormalHanging12a"/>
      </w:pPr>
      <w:r w:rsidRPr="00AF0255">
        <w:t>–</w:t>
      </w:r>
      <w:r w:rsidRPr="00AF0255">
        <w:tab/>
        <w:t>uzimajući u obzir izvješće ESMA-e od 21. rujna 2023. naslovljeno „</w:t>
      </w:r>
      <w:proofErr w:type="spellStart"/>
      <w:r w:rsidRPr="00AF0255">
        <w:t>Sekuritizacijsko</w:t>
      </w:r>
      <w:proofErr w:type="spellEnd"/>
      <w:r w:rsidRPr="00AF0255">
        <w:t xml:space="preserve"> tržište EU-a – pregled”,</w:t>
      </w:r>
    </w:p>
    <w:p w14:paraId="53C113F8" w14:textId="77777777" w:rsidR="00A76C30" w:rsidRPr="00AF0255" w:rsidRDefault="00A76C30" w:rsidP="00A76C30">
      <w:pPr>
        <w:pStyle w:val="NormalHanging12a"/>
      </w:pPr>
      <w:r w:rsidRPr="00AF0255">
        <w:t>–</w:t>
      </w:r>
      <w:r w:rsidRPr="00AF0255">
        <w:tab/>
        <w:t>uzimajući u obzir izjavu Upravnog vijeća Europske središnje banke od 7. ožujka 2024. o unapređenju unije tržišta kapitala,</w:t>
      </w:r>
    </w:p>
    <w:p w14:paraId="3127E4A4" w14:textId="77777777" w:rsidR="00A76C30" w:rsidRPr="00AF0255" w:rsidRDefault="00A76C30" w:rsidP="00A76C30">
      <w:pPr>
        <w:pStyle w:val="NormalHanging12a"/>
        <w:rPr>
          <w:snapToGrid/>
        </w:rPr>
      </w:pPr>
      <w:r w:rsidRPr="00AF0255">
        <w:t>–</w:t>
      </w:r>
      <w:r w:rsidRPr="00AF0255">
        <w:tab/>
        <w:t>uzimajući u obzir Komisijin prijedlog uredbe Europskog parlamenta i Vijeća od 12. veljače 2025. o izmjeni Uredbe (EU) br. 909/2014 u pogledu kraćeg ciklusa namire u Uniji (COM(2025)0038),</w:t>
      </w:r>
    </w:p>
    <w:p w14:paraId="627B2F5C" w14:textId="77777777" w:rsidR="00A76C30" w:rsidRPr="00AF0255" w:rsidRDefault="00A76C30" w:rsidP="00A76C30">
      <w:pPr>
        <w:pStyle w:val="NormalHanging12a"/>
      </w:pPr>
      <w:r w:rsidRPr="00AF0255">
        <w:t>–</w:t>
      </w:r>
      <w:r w:rsidRPr="00AF0255">
        <w:tab/>
        <w:t>uzimajući u obzir Inicijativu europskih tehnoloških predvodnika, koja se počela provoditi u veljači 2023.,</w:t>
      </w:r>
    </w:p>
    <w:p w14:paraId="2AD4B6B6" w14:textId="77777777" w:rsidR="00A76C30" w:rsidRPr="00AF0255" w:rsidRDefault="00A76C30" w:rsidP="00A76C30">
      <w:pPr>
        <w:spacing w:after="240"/>
        <w:ind w:left="567" w:hanging="567"/>
      </w:pPr>
      <w:r w:rsidRPr="00AF0255">
        <w:t>–</w:t>
      </w:r>
      <w:r w:rsidRPr="00AF0255">
        <w:tab/>
        <w:t>uzimajući u obzir izvješće Odbora za ekonomsku politiku od 17. lipnja 2025. o financijskim aktivnostima Europske investicijske banke – godišnje izvješće za 2024.,</w:t>
      </w:r>
    </w:p>
    <w:p w14:paraId="3D72393C" w14:textId="77777777" w:rsidR="00A76C30" w:rsidRPr="00AF0255" w:rsidRDefault="00A76C30" w:rsidP="00A76C30">
      <w:pPr>
        <w:pStyle w:val="NormalHanging12a"/>
      </w:pPr>
      <w:r w:rsidRPr="00AF0255">
        <w:lastRenderedPageBreak/>
        <w:t>–</w:t>
      </w:r>
      <w:r w:rsidRPr="00AF0255">
        <w:tab/>
        <w:t>uzimajući u obzir svoju Rezoluciju od 8. listopada 2020. o daljnjem razvoju unije tržišta kapitala (CMU): poboljšanje pristupa financiranju na tržištima kapitala, posebno za MSP-ove, te daljnje jačanje sudjelovanja malih ulagatelja</w:t>
      </w:r>
      <w:r w:rsidRPr="00AF0255">
        <w:rPr>
          <w:rStyle w:val="FootnoteReference"/>
        </w:rPr>
        <w:footnoteReference w:id="1"/>
      </w:r>
      <w:r w:rsidRPr="00AF0255">
        <w:t>,</w:t>
      </w:r>
    </w:p>
    <w:p w14:paraId="620A99D2" w14:textId="77777777" w:rsidR="00A76C30" w:rsidRPr="00AF0255" w:rsidRDefault="00A76C30" w:rsidP="00A76C30">
      <w:pPr>
        <w:pStyle w:val="NormalHanging12a"/>
      </w:pPr>
      <w:r w:rsidRPr="00AF0255">
        <w:t>–</w:t>
      </w:r>
      <w:r w:rsidRPr="00AF0255">
        <w:tab/>
        <w:t>uzimajući u obzir svoju Rezoluciju od 9. srpnja 2015. o stvaranju unije tržišta kapitala</w:t>
      </w:r>
      <w:r w:rsidRPr="00AF0255">
        <w:rPr>
          <w:rStyle w:val="FootnoteReference"/>
        </w:rPr>
        <w:footnoteReference w:id="2"/>
      </w:r>
      <w:r w:rsidRPr="00AF0255">
        <w:t>,</w:t>
      </w:r>
    </w:p>
    <w:p w14:paraId="4BBC0420" w14:textId="77777777" w:rsidR="00A76C30" w:rsidRPr="00AF0255" w:rsidRDefault="00A76C30" w:rsidP="00A76C30">
      <w:pPr>
        <w:pStyle w:val="NormalHanging12a"/>
      </w:pPr>
      <w:r w:rsidRPr="00AF0255">
        <w:t>–</w:t>
      </w:r>
      <w:r w:rsidRPr="00AF0255">
        <w:tab/>
        <w:t>uzimajući u obzir članak 55. Poslovnika,</w:t>
      </w:r>
    </w:p>
    <w:p w14:paraId="06F71C9D" w14:textId="77777777" w:rsidR="00A76C30" w:rsidRPr="00AF0255" w:rsidRDefault="00A76C30" w:rsidP="00A76C30">
      <w:pPr>
        <w:pStyle w:val="NormalHanging12a"/>
      </w:pPr>
      <w:r w:rsidRPr="00AF0255">
        <w:t>–</w:t>
      </w:r>
      <w:r w:rsidRPr="00AF0255">
        <w:tab/>
        <w:t>uzimajući u obzir mišljenje Odbora za proračune,</w:t>
      </w:r>
    </w:p>
    <w:p w14:paraId="51117678" w14:textId="77777777" w:rsidR="00A76C30" w:rsidRPr="00AF0255" w:rsidRDefault="00A76C30" w:rsidP="00A76C30">
      <w:pPr>
        <w:pStyle w:val="NormalHanging12a"/>
      </w:pPr>
      <w:r w:rsidRPr="00AF0255">
        <w:t>–</w:t>
      </w:r>
      <w:r w:rsidRPr="00AF0255">
        <w:tab/>
        <w:t>uzimajući u obzir izvješće Odbora za ekonomsku i monetarnu politiku (A10</w:t>
      </w:r>
      <w:r w:rsidRPr="00AF0255">
        <w:noBreakHyphen/>
        <w:t>0124/2025),</w:t>
      </w:r>
    </w:p>
    <w:p w14:paraId="25FAC5B8" w14:textId="77777777" w:rsidR="00A76C30" w:rsidRPr="00AF0255" w:rsidRDefault="00A76C30" w:rsidP="00A76C30">
      <w:pPr>
        <w:pStyle w:val="NormalHanging12a"/>
        <w:rPr>
          <w:snapToGrid/>
        </w:rPr>
      </w:pPr>
      <w:r w:rsidRPr="00AF0255">
        <w:t>A.</w:t>
      </w:r>
      <w:r w:rsidRPr="00AF0255">
        <w:tab/>
        <w:t xml:space="preserve">budući da su u </w:t>
      </w:r>
      <w:proofErr w:type="spellStart"/>
      <w:r w:rsidRPr="00AF0255">
        <w:t>Draghijevom</w:t>
      </w:r>
      <w:proofErr w:type="spellEnd"/>
      <w:r w:rsidRPr="00AF0255">
        <w:t xml:space="preserve"> izvješću istaknuti ozbiljni nedostaci u pogledu opće konkurentnosti europskog gospodarstva i nedostatka rasta produktivnosti te je predloženo da se rješenje temelji na privlačenju ulaganja, među ostalim oslobađanjem privatnog kapitala, stvaranjem unije štednje i ulaganja; budući da se u </w:t>
      </w:r>
      <w:proofErr w:type="spellStart"/>
      <w:r w:rsidRPr="00AF0255">
        <w:t>Draghijevu</w:t>
      </w:r>
      <w:proofErr w:type="spellEnd"/>
      <w:r w:rsidRPr="00AF0255">
        <w:t xml:space="preserve"> izvješću procjenjuje da su potrebna dodatna godišnja ulaganja u iznosu od najmanje 750 do 800 milijardi EUR kako bi se ponovno pokrenuo održivi rast, obnovila produktivnost EU-a, poduprla konkurentnost, potaknule inovacije, poduprla energetska tranzicija EU-a, ojačalo njegovo vodstvo u digitalnoj tehnologiji, ostvarili okolišni i socijalni ciljevi EU-a, ojačali obrana i sigurnost te smanjile ovisnosti; budući da su ona 2023. iznosila 4,4 – 4,7 % BDP-a EU-a</w:t>
      </w:r>
      <w:r w:rsidRPr="00AF0255">
        <w:rPr>
          <w:rStyle w:val="FootnoteReference"/>
        </w:rPr>
        <w:footnoteReference w:id="3"/>
      </w:r>
      <w:r w:rsidRPr="00AF0255">
        <w:t>;</w:t>
      </w:r>
    </w:p>
    <w:p w14:paraId="207FDB71" w14:textId="77777777" w:rsidR="00A76C30" w:rsidRPr="00AF0255" w:rsidRDefault="00A76C30" w:rsidP="00A76C30">
      <w:pPr>
        <w:pStyle w:val="NormalHanging12a"/>
      </w:pPr>
      <w:r w:rsidRPr="00AF0255">
        <w:t>B.</w:t>
      </w:r>
      <w:r w:rsidRPr="00AF0255">
        <w:tab/>
        <w:t>budući da se u izvješću navodi da u posljednjih 50 godina kao novi subjekt u Uniji nije osnovano nijedno poduzeće s tržišnom kapitalizacijom većom od 100 milijardi EUR, dok je u istom razdoblju u SAD-u osnovano šest poduzeća s vrijednošću većom od bilijun dolara;</w:t>
      </w:r>
    </w:p>
    <w:p w14:paraId="64124F59" w14:textId="77777777" w:rsidR="00A76C30" w:rsidRPr="00AF0255" w:rsidRDefault="00A76C30" w:rsidP="00A76C30">
      <w:pPr>
        <w:pStyle w:val="NormalHanging12a"/>
      </w:pPr>
      <w:r w:rsidRPr="00AF0255">
        <w:t>C.</w:t>
      </w:r>
      <w:r w:rsidRPr="00AF0255">
        <w:tab/>
        <w:t>budući da se plan za ponovno naoružanje Europe („</w:t>
      </w:r>
      <w:proofErr w:type="spellStart"/>
      <w:r w:rsidRPr="00AF0255">
        <w:t>ReArm</w:t>
      </w:r>
      <w:proofErr w:type="spellEnd"/>
      <w:r w:rsidRPr="00AF0255">
        <w:t xml:space="preserve"> Europe”) sastoji od pet stupova usmjerenih na financiranje sigurnosti i obrane Europe, koji obuhvaćaju javna ulaganja te uniju štednje i ulaganjâ;</w:t>
      </w:r>
    </w:p>
    <w:p w14:paraId="2D7AE63F" w14:textId="77777777" w:rsidR="00A76C30" w:rsidRPr="00AF0255" w:rsidRDefault="00A76C30" w:rsidP="00A76C30">
      <w:pPr>
        <w:pStyle w:val="NormalHanging12a"/>
      </w:pPr>
      <w:r w:rsidRPr="00AF0255">
        <w:t>D.</w:t>
      </w:r>
      <w:r w:rsidRPr="00AF0255">
        <w:tab/>
        <w:t>budući da aktualni trgovinski ratovi i carinski sporovi uzrokuju veliku nesigurnost na globalnim tržištima, negativno utječu na rast, inflaciju i prognoze zapošljavanja, što posebno utječe na prekogranična ulaganja i prekida uspostavljene lance opskrbe; budući da uvođenje carina i trgovinskih prepreka narušava koristi trgovine i konkurentnih tržišta; budući da takve geopolitičke napetosti stvaraju dodatne rizike za ulagače jer smanjuju povjerenje i ometaju prekogranični protok privatnog kapitala, koji je ključan za financiranje inovacija, novoosnovanih poduzeća i rastućih poduzeća; budući da nestabilnost prouzročena tim trgovinskim sukobima može usporiti razvoj unije tržišta kapitala odvraćanjem od ulaganja na europskom tržištu, posebno u visokorizičnim sektorima, koji se u velikoj mjeri oslanjaju na globalne trgovinske mreže;</w:t>
      </w:r>
    </w:p>
    <w:p w14:paraId="5EDFBB5A" w14:textId="77777777" w:rsidR="00A76C30" w:rsidRPr="00AF0255" w:rsidRDefault="00A76C30" w:rsidP="00A76C30">
      <w:pPr>
        <w:pStyle w:val="NormalHanging12a"/>
      </w:pPr>
      <w:r w:rsidRPr="00AF0255">
        <w:t>E.</w:t>
      </w:r>
      <w:r w:rsidRPr="00AF0255">
        <w:tab/>
        <w:t xml:space="preserve">budući da trenutačne geopolitičke nesigurnosti utječu na makroekonomske pokazatelje, povećavaju nestabilnost na financijskim tržištima i oslabljuju američki dolar; budući da </w:t>
      </w:r>
      <w:r w:rsidRPr="00AF0255">
        <w:lastRenderedPageBreak/>
        <w:t>bi se time mogao ojačati položaj eura kao istaknutije globalne valute, čime bi se ojačali ekonomska suverenost i otpornost Europe;</w:t>
      </w:r>
    </w:p>
    <w:p w14:paraId="48235BF0" w14:textId="77777777" w:rsidR="00A76C30" w:rsidRPr="00AF0255" w:rsidRDefault="00A76C30" w:rsidP="00A76C30">
      <w:pPr>
        <w:pStyle w:val="NormalHanging12a"/>
      </w:pPr>
      <w:r w:rsidRPr="00AF0255">
        <w:t>F.</w:t>
      </w:r>
      <w:r w:rsidRPr="00AF0255">
        <w:tab/>
        <w:t>budući da je privatni sektor u Europi povijesno doprinosio s oko četiri petine produktivnih ulaganja, dok je javni sektor osiguravao ostatak</w:t>
      </w:r>
      <w:r w:rsidRPr="00AF0255">
        <w:rPr>
          <w:rStyle w:val="FootnoteReference"/>
        </w:rPr>
        <w:footnoteReference w:id="4"/>
      </w:r>
      <w:r w:rsidRPr="00AF0255">
        <w:t>;</w:t>
      </w:r>
    </w:p>
    <w:p w14:paraId="0F8AE3C7" w14:textId="77777777" w:rsidR="00A76C30" w:rsidRPr="00AF0255" w:rsidRDefault="00A76C30" w:rsidP="00A76C30">
      <w:pPr>
        <w:spacing w:after="240"/>
        <w:ind w:left="567" w:hanging="567"/>
      </w:pPr>
      <w:r w:rsidRPr="00AF0255">
        <w:t>G.</w:t>
      </w:r>
      <w:r w:rsidRPr="00AF0255">
        <w:tab/>
        <w:t>budući da su ukupne razine produktivnih ulaganja u EU-u tijekom posljednja dva desetljeća bile znatno niže nego u SAD-u;</w:t>
      </w:r>
    </w:p>
    <w:p w14:paraId="5E50F7BF" w14:textId="77777777" w:rsidR="00A76C30" w:rsidRPr="00AF0255" w:rsidRDefault="00A76C30" w:rsidP="00A76C30">
      <w:pPr>
        <w:pStyle w:val="NormalHanging12a"/>
      </w:pPr>
      <w:r w:rsidRPr="00AF0255">
        <w:t>H.</w:t>
      </w:r>
      <w:r w:rsidRPr="00AF0255">
        <w:tab/>
        <w:t>budući da samo 18 % europskih građana posjeduje visoku razinu financijske pismenosti, kako je istaknuto u Pregledu europske financijske pismenosti, koji je pripremila Europska komisija; budući da većina njih, 64 %, ima prosječnu razinu financijskog znanja, dok njih 18 % posjeduje nisku razinu financijske pismenosti, što dovodi do velikog jaza u financijskim sposobnostima europskih građana; budući da građani samo četiriju država članica imaju visoku razinu financijskog znanja, a riječ je, konkretno, o Nizozemskoj, Danskoj, Švedskoj i Sloveniji; budući da bi povećanje financijske pismenosti omogućilo pojedincima da donose informirane odluke o štednji, ulaganjima i planiranju umirovljenja, čime se povećava i njihova dugoročna financijska dobrobit; budući da je bolje financijsko obrazovanje diljem EU-a potrebno da bi građani stekli vještine koje im trebaju za snalaženje na sve složenijim financijskim tržištima i puno iskorištavanje mogućnosti ulaganja, što će doprinijeti rastu gospodarstva;</w:t>
      </w:r>
    </w:p>
    <w:p w14:paraId="633D4BE7" w14:textId="77777777" w:rsidR="00A76C30" w:rsidRPr="00AF0255" w:rsidRDefault="00A76C30" w:rsidP="00A76C30">
      <w:pPr>
        <w:pStyle w:val="NormalHanging12a"/>
      </w:pPr>
      <w:r w:rsidRPr="00AF0255">
        <w:t>I.</w:t>
      </w:r>
      <w:r w:rsidRPr="00AF0255">
        <w:tab/>
        <w:t xml:space="preserve">budući da je prema </w:t>
      </w:r>
      <w:proofErr w:type="spellStart"/>
      <w:r w:rsidRPr="00AF0255">
        <w:t>Draghijevu</w:t>
      </w:r>
      <w:proofErr w:type="spellEnd"/>
      <w:r w:rsidRPr="00AF0255">
        <w:t xml:space="preserve"> izvješću štednja kućanstava u EU-u 2022. iznosila 1390 milijardi EUR, u usporedbi s 840 milijardi EUR u SAD-u;</w:t>
      </w:r>
    </w:p>
    <w:p w14:paraId="4195BDE0" w14:textId="77777777" w:rsidR="00A76C30" w:rsidRPr="00AF0255" w:rsidRDefault="00A76C30" w:rsidP="00A76C30">
      <w:pPr>
        <w:pStyle w:val="NormalHanging12a"/>
        <w:rPr>
          <w:snapToGrid/>
          <w:vertAlign w:val="superscript"/>
        </w:rPr>
      </w:pPr>
      <w:r w:rsidRPr="00AF0255">
        <w:t>J.</w:t>
      </w:r>
      <w:r w:rsidRPr="00AF0255">
        <w:tab/>
        <w:t>budući da financijski vrijednosni papiri (uvrštene dionice, obveznice, uzajamni fondovi i financijske izvedenice) u izravnom vlasništvu kućanstava danas čine 43 % bogatstva kućanstava u SAD-u, no tek 17 % bogatstva kućanstava u EU-u</w:t>
      </w:r>
      <w:r w:rsidRPr="00AF0255">
        <w:rPr>
          <w:rStyle w:val="FootnoteReference"/>
        </w:rPr>
        <w:footnoteReference w:id="5"/>
      </w:r>
      <w:r w:rsidRPr="00AF0255">
        <w:t>;</w:t>
      </w:r>
    </w:p>
    <w:p w14:paraId="28A215DD" w14:textId="77777777" w:rsidR="00A76C30" w:rsidRPr="00AF0255" w:rsidRDefault="00A76C30" w:rsidP="00A76C30">
      <w:pPr>
        <w:spacing w:after="240"/>
        <w:ind w:left="567" w:hanging="567"/>
      </w:pPr>
      <w:r w:rsidRPr="00AF0255">
        <w:t>K.</w:t>
      </w:r>
      <w:r w:rsidRPr="00AF0255">
        <w:tab/>
        <w:t>budući da su kućanstva u EU-u uštedjela 14,79 % svojeg raspoloživog dohotka (više od tri puta više u usporedbi s 4,7 % u SAD-u</w:t>
      </w:r>
      <w:r w:rsidRPr="00AF0255">
        <w:rPr>
          <w:rStyle w:val="FootnoteReference"/>
        </w:rPr>
        <w:footnoteReference w:id="6"/>
      </w:r>
      <w:r w:rsidRPr="00AF0255">
        <w:t>), a da su građani EU-a držali 31,01 % svoje ušteđevine (11,63 bilijuna EUR) u gotovini i depozitima (naspram 12,1 % u SAD-u), uz tek ograničen povrat; budući da su 36 % svoje ušteđevine (ili 13,42 bilijuna EUR) držali u obliku vlasničkog kapitala i dionica investicijskih fondova (49,1 % u SAD-u), a 27 % svoje ušteđevine (10,06 bilijuna EUR) u obliku osiguranja, mirovina i standardiziranih jamstava</w:t>
      </w:r>
      <w:r w:rsidRPr="00AF0255">
        <w:rPr>
          <w:rStyle w:val="FootnoteReference"/>
        </w:rPr>
        <w:footnoteReference w:id="7"/>
      </w:r>
      <w:r w:rsidRPr="00AF0255">
        <w:t xml:space="preserve"> (27,5 % u SAD-u);</w:t>
      </w:r>
    </w:p>
    <w:p w14:paraId="6D2D90CE" w14:textId="77777777" w:rsidR="00A76C30" w:rsidRPr="00AF0255" w:rsidRDefault="00A76C30" w:rsidP="00A76C30">
      <w:pPr>
        <w:pStyle w:val="NormalHanging12a"/>
        <w:rPr>
          <w:snapToGrid/>
        </w:rPr>
      </w:pPr>
      <w:r w:rsidRPr="00AF0255">
        <w:t>L.</w:t>
      </w:r>
      <w:r w:rsidRPr="00AF0255">
        <w:tab/>
        <w:t>budući da bi se čak 8 bilijuna EUR moglo preusmjeriti na instrumente za tržišno utemeljena ulaganja, što je tok od oko 350 milijardi EUR godišnje</w:t>
      </w:r>
      <w:r w:rsidRPr="00AF0255">
        <w:rPr>
          <w:rStyle w:val="FootnoteReference"/>
        </w:rPr>
        <w:footnoteReference w:id="8"/>
      </w:r>
      <w:r w:rsidRPr="00AF0255">
        <w:t xml:space="preserve">, kada bi kućanstva u </w:t>
      </w:r>
      <w:r w:rsidRPr="00AF0255">
        <w:lastRenderedPageBreak/>
        <w:t>EU-u svoju strukturu raspodjele između depozita i financijske imovine prilagodila na način da bude slična onoj koju vidimo u SAD-u;</w:t>
      </w:r>
    </w:p>
    <w:p w14:paraId="081920A8" w14:textId="77777777" w:rsidR="00A76C30" w:rsidRPr="00AF0255" w:rsidRDefault="00A76C30" w:rsidP="00A76C30">
      <w:pPr>
        <w:pStyle w:val="NormalHanging12a"/>
      </w:pPr>
      <w:r w:rsidRPr="00AF0255">
        <w:t>M.</w:t>
      </w:r>
      <w:r w:rsidRPr="00AF0255">
        <w:tab/>
        <w:t>budući da europska kućanstva godišnje ulože oko 300 milijardi EUR </w:t>
      </w:r>
      <w:r w:rsidRPr="00AF0255">
        <w:rPr>
          <w:rStyle w:val="FootnoteReference"/>
        </w:rPr>
        <w:footnoteReference w:id="9"/>
      </w:r>
      <w:r w:rsidRPr="00AF0255">
        <w:t xml:space="preserve"> izvan EU-a, prvenstveno u Sjedinjenim Američkim Državama; budući da je taj iznos usporediv s dodatnim kapitalom koji bi se mogao mobilizirati unutar EU-a pod uvjetima koji su u većoj mjeri usmjereni na tržište;</w:t>
      </w:r>
    </w:p>
    <w:p w14:paraId="47067D36" w14:textId="77777777" w:rsidR="00A76C30" w:rsidRPr="00AF0255" w:rsidRDefault="00A76C30" w:rsidP="00A76C30">
      <w:pPr>
        <w:pStyle w:val="NormalHanging12a"/>
      </w:pPr>
      <w:r w:rsidRPr="00AF0255">
        <w:t>N.</w:t>
      </w:r>
      <w:r w:rsidRPr="00AF0255">
        <w:tab/>
        <w:t>budući da je oko 70 % korporativnog financiranja u EU-u u obliku zaduživanja kod banaka, za razliku od SAD-a, gdje se oko 77 % korporativnog financiranja financira putem tržišta kapitala;</w:t>
      </w:r>
    </w:p>
    <w:p w14:paraId="5EFE5296" w14:textId="77777777" w:rsidR="00A76C30" w:rsidRPr="00AF0255" w:rsidRDefault="00A76C30" w:rsidP="00A76C30">
      <w:pPr>
        <w:pStyle w:val="NormalHanging12a"/>
      </w:pPr>
      <w:r w:rsidRPr="00AF0255">
        <w:t>O.</w:t>
      </w:r>
      <w:r w:rsidRPr="00AF0255">
        <w:tab/>
        <w:t xml:space="preserve">budući da je prema podacima iz </w:t>
      </w:r>
      <w:proofErr w:type="spellStart"/>
      <w:r w:rsidRPr="00AF0255">
        <w:t>Draghijeva</w:t>
      </w:r>
      <w:proofErr w:type="spellEnd"/>
      <w:r w:rsidRPr="00AF0255">
        <w:t xml:space="preserve"> izvješća između 2008. i 2021. godine osnovano 147 „jednoroga”, tj. start-</w:t>
      </w:r>
      <w:proofErr w:type="spellStart"/>
      <w:r w:rsidRPr="00AF0255">
        <w:t>up</w:t>
      </w:r>
      <w:proofErr w:type="spellEnd"/>
      <w:r w:rsidRPr="00AF0255">
        <w:t xml:space="preserve"> poduzeća čija procijenjena vrijednost iznosi 1 milijardu USD ili više, od čega je njih 40 premjestilo svoje sjedište u inozemstvo, uglavnom u SAD; budući da se administrativno opterećenje Unije procjenjuje na oko 150 milijardi EUR (1,3 % godišnjeg BDP-a), i da prema Međunarodnom monetarnom fondu unutarnje prepreke na unutarnjem tržištu odgovaraju carinskom učinku od 100 %, pri čemu su samo četiri od 50 najvećih tehnoloških poduzeća na svijetu europska poduzeća</w:t>
      </w:r>
    </w:p>
    <w:p w14:paraId="5DB339C1" w14:textId="77777777" w:rsidR="00A76C30" w:rsidRPr="00AF0255" w:rsidRDefault="00A76C30" w:rsidP="00A76C30">
      <w:pPr>
        <w:pStyle w:val="NormalHanging12a"/>
        <w:rPr>
          <w:snapToGrid/>
        </w:rPr>
      </w:pPr>
      <w:r w:rsidRPr="00AF0255">
        <w:t>P.</w:t>
      </w:r>
      <w:r w:rsidRPr="00AF0255">
        <w:tab/>
        <w:t xml:space="preserve">budući da su rashodi za istraživanje i razvoj 2023. činili 2,2 % BDP-a u EU-u, ali 3,4 % u SAD-u i 2,6 % u Kini, dok je </w:t>
      </w:r>
      <w:proofErr w:type="spellStart"/>
      <w:r w:rsidRPr="00AF0255">
        <w:t>Lisabonskom</w:t>
      </w:r>
      <w:proofErr w:type="spellEnd"/>
      <w:r w:rsidRPr="00AF0255">
        <w:t xml:space="preserve"> strategijom iz 2000. postavljen cilj potrošnje za istraživanje i razvoj od 3 %; budući da je u ukupnim rashodima za istraživanje i razvoj u EU-u udio privatnog sektora iznosio 66 %, u usporedbi sa 78 % u SAD-u i 77,7 % u Kini;</w:t>
      </w:r>
    </w:p>
    <w:p w14:paraId="3FBB8538" w14:textId="77777777" w:rsidR="00A76C30" w:rsidRPr="00AF0255" w:rsidRDefault="00A76C30" w:rsidP="00A76C30">
      <w:pPr>
        <w:pStyle w:val="NormalHanging12a"/>
      </w:pPr>
      <w:r w:rsidRPr="00AF0255">
        <w:t>Q.</w:t>
      </w:r>
      <w:r w:rsidRPr="00AF0255">
        <w:tab/>
        <w:t>budući da se prema MMF-u preostale necarinske prepreke koje ograničavaju trgovinu unutar EU-a procjenjuju na carinske razine od oko 45 % za prosječni proizvodni sektor (razina koja je tri puta veća od one procijenjene u državama SAD-a) i 110 % za prosječni sektor usluga</w:t>
      </w:r>
      <w:r w:rsidRPr="00AF0255">
        <w:rPr>
          <w:rStyle w:val="FootnoteReference"/>
        </w:rPr>
        <w:footnoteReference w:id="10"/>
      </w:r>
      <w:r w:rsidRPr="00AF0255">
        <w:t>; budući da su kao prijavljene prepreke na jedinstvenom tržištu mala i srednja poduzeća (MSP-ovi) istaknula PDV (17 %), pristup tržištu (12 %), financiranje (10 %) i tržišne zahtjeve (6 %)</w:t>
      </w:r>
      <w:r w:rsidRPr="00AF0255">
        <w:rPr>
          <w:rStyle w:val="FootnoteReference"/>
        </w:rPr>
        <w:footnoteReference w:id="11"/>
      </w:r>
      <w:r w:rsidRPr="00AF0255">
        <w:t>;</w:t>
      </w:r>
    </w:p>
    <w:p w14:paraId="17F28299" w14:textId="77777777" w:rsidR="00A76C30" w:rsidRPr="00AF0255" w:rsidRDefault="00A76C30" w:rsidP="00A76C30">
      <w:pPr>
        <w:pStyle w:val="NormalHanging12a"/>
      </w:pPr>
      <w:r w:rsidRPr="00AF0255">
        <w:t>R.</w:t>
      </w:r>
      <w:r w:rsidRPr="00AF0255">
        <w:tab/>
        <w:t xml:space="preserve">budući da su europska tržišta kapitala vrlo rascjepkana i da znatan broj mjesta trgovanja posluje na cijelom kontinentu, te da je posebno da u ožujku 2023. u EU-u bilo 295 mjesta trgovanja, 14 središnjih drugih ugovornih strana i 32 središnja </w:t>
      </w:r>
      <w:proofErr w:type="spellStart"/>
      <w:r w:rsidRPr="00AF0255">
        <w:t>depozitorija</w:t>
      </w:r>
      <w:proofErr w:type="spellEnd"/>
      <w:r w:rsidRPr="00AF0255">
        <w:t xml:space="preserve"> vrijednosnih papira; budući da se 56 – 68 % trgovanja na mjestu trgovanja 2023. odvijalo na domaćoj burzi za pet glavnih zapadnoeuropskih dioničkih indeksa (AEX 25, CAC 40, DAX 40, IBEX 35 </w:t>
      </w:r>
      <w:proofErr w:type="spellStart"/>
      <w:r w:rsidRPr="00AF0255">
        <w:t>and</w:t>
      </w:r>
      <w:proofErr w:type="spellEnd"/>
      <w:r w:rsidRPr="00AF0255">
        <w:t xml:space="preserve"> MIB 40)</w:t>
      </w:r>
      <w:r w:rsidRPr="00AF0255">
        <w:rPr>
          <w:rStyle w:val="FootnoteReference"/>
        </w:rPr>
        <w:footnoteReference w:id="12"/>
      </w:r>
      <w:r w:rsidRPr="00AF0255">
        <w:t>;</w:t>
      </w:r>
    </w:p>
    <w:p w14:paraId="4D88E579" w14:textId="77777777" w:rsidR="00A76C30" w:rsidRPr="00AF0255" w:rsidRDefault="00A76C30" w:rsidP="00A76C30">
      <w:pPr>
        <w:pStyle w:val="NormalHanging12a"/>
      </w:pPr>
      <w:r w:rsidRPr="00AF0255">
        <w:lastRenderedPageBreak/>
        <w:t>S.</w:t>
      </w:r>
      <w:r w:rsidRPr="00AF0255">
        <w:tab/>
        <w:t>budući da je integracija tržišta kapitala nužna, ali sama po sebi nije dovoljna za postizanje ciljanog povećanja ulaganja; budući da su porezni sustavi i sustavi nesolventnosti u državama članicama i dalje u velikoj mjeri neusklađeni;</w:t>
      </w:r>
    </w:p>
    <w:p w14:paraId="17D82E26" w14:textId="77777777" w:rsidR="00A76C30" w:rsidRPr="00AF0255" w:rsidRDefault="00A76C30" w:rsidP="00A76C30">
      <w:pPr>
        <w:pStyle w:val="NormalHanging12a"/>
      </w:pPr>
      <w:r w:rsidRPr="00AF0255">
        <w:t>T.</w:t>
      </w:r>
      <w:r w:rsidRPr="00AF0255">
        <w:tab/>
        <w:t xml:space="preserve">budući da je porezna fragmentacija prema </w:t>
      </w:r>
      <w:proofErr w:type="spellStart"/>
      <w:r w:rsidRPr="00AF0255">
        <w:t>Lettinu</w:t>
      </w:r>
      <w:proofErr w:type="spellEnd"/>
      <w:r w:rsidRPr="00AF0255">
        <w:t xml:space="preserve"> izvješću i dalje velika prepreka za poduzeća, posebno za mala i srednja poduzeća u EU-u, i da je bolje usklađivanje s pomoću </w:t>
      </w:r>
      <w:proofErr w:type="spellStart"/>
      <w:r w:rsidRPr="00AF0255">
        <w:t>koordiniranijeg</w:t>
      </w:r>
      <w:proofErr w:type="spellEnd"/>
      <w:r w:rsidRPr="00AF0255">
        <w:t xml:space="preserve"> poreznog okvira EU-a ključno za olakšavanje slobodnog kretanja radnika, robe i usluga te za podupiranje rasta i privatnih ulaganja</w:t>
      </w:r>
      <w:r w:rsidRPr="00AF0255">
        <w:rPr>
          <w:rStyle w:val="FootnoteReference"/>
        </w:rPr>
        <w:footnoteReference w:id="13"/>
      </w:r>
      <w:r w:rsidRPr="00AF0255">
        <w:t>;</w:t>
      </w:r>
    </w:p>
    <w:p w14:paraId="5B6F1D74" w14:textId="77777777" w:rsidR="00A76C30" w:rsidRPr="00AF0255" w:rsidRDefault="00A76C30" w:rsidP="00A76C30">
      <w:pPr>
        <w:pStyle w:val="NormalHanging12a"/>
      </w:pPr>
      <w:r w:rsidRPr="00AF0255">
        <w:t>U.</w:t>
      </w:r>
      <w:r w:rsidRPr="00AF0255">
        <w:tab/>
        <w:t>budući da je nedostatak mogućnosti izlaska za ulagače ključan čimbenik nedovoljne razvijenosti fondova poduzetničkog kapitala i kapitala za rast u EU-u; budući da se EU prekomjerno oslanja na bankovno financiranje</w:t>
      </w:r>
      <w:r w:rsidRPr="00AF0255">
        <w:rPr>
          <w:rStyle w:val="FootnoteReference"/>
        </w:rPr>
        <w:footnoteReference w:id="14"/>
      </w:r>
      <w:r w:rsidRPr="00AF0255">
        <w:t>;</w:t>
      </w:r>
    </w:p>
    <w:p w14:paraId="50C9C714" w14:textId="77777777" w:rsidR="00A76C30" w:rsidRPr="00AF0255" w:rsidRDefault="00A76C30" w:rsidP="00A76C30">
      <w:pPr>
        <w:pStyle w:val="NormalHanging12a"/>
      </w:pPr>
      <w:r w:rsidRPr="00AF0255">
        <w:t>V.</w:t>
      </w:r>
      <w:r w:rsidRPr="00AF0255">
        <w:tab/>
        <w:t>budući da bi proračun EU-a trebao biti usmjeren na konkurentnost kao jedno od središnjih područja, da bi se njime trebali promicati zajednički dogovoreni strateški prioriteti i financirati europska javna dobra, čime bi se doprinijelo većoj produktivnosti i osigurala gospodarska, socijalna i teritorijalna kohezija; budući da je potrebna snažnija koordinacija između proračuna EU-a i proračuna država članica kako bi se izbjegla fragmentacija jedinstvenog tržišta i povećao ukupni učinak javnih ulaganja;</w:t>
      </w:r>
    </w:p>
    <w:p w14:paraId="67E71F3B" w14:textId="77777777" w:rsidR="00A76C30" w:rsidRPr="00AF0255" w:rsidRDefault="00A76C30" w:rsidP="00A76C30">
      <w:pPr>
        <w:pStyle w:val="NormalHanging12a"/>
      </w:pPr>
      <w:r w:rsidRPr="00AF0255">
        <w:t>W.</w:t>
      </w:r>
      <w:r w:rsidRPr="00AF0255">
        <w:tab/>
        <w:t>budući da na razini EU-a sigurnu imovinu izdaju europski izdavatelji kao što su Europska investicijska banka, Europski instrument za financijsku stabilnost, Europski mehanizam za stabilnost i, od 1976., Europska ekonomska zajednica, a zatim i sam EU</w:t>
      </w:r>
      <w:r w:rsidRPr="00AF0255">
        <w:rPr>
          <w:bCs/>
          <w:iCs/>
          <w:vertAlign w:val="superscript"/>
        </w:rPr>
        <w:footnoteReference w:id="15"/>
      </w:r>
      <w:r w:rsidRPr="00AF0255">
        <w:t>;</w:t>
      </w:r>
    </w:p>
    <w:p w14:paraId="28A619E3" w14:textId="77777777" w:rsidR="00A76C30" w:rsidRPr="00AF0255" w:rsidRDefault="00A76C30" w:rsidP="00A76C30">
      <w:pPr>
        <w:pStyle w:val="NormalHanging12a"/>
      </w:pPr>
      <w:r w:rsidRPr="00AF0255">
        <w:t>X.</w:t>
      </w:r>
      <w:r w:rsidRPr="00AF0255">
        <w:tab/>
        <w:t>budući da financiranje vlasničkim kapitalom ima velik neiskorišteni potencijal za podupiranje rasta i inovacija u poduzećima iz EU-a;</w:t>
      </w:r>
    </w:p>
    <w:p w14:paraId="073BF22F" w14:textId="77777777" w:rsidR="00A76C30" w:rsidRPr="00AF0255" w:rsidRDefault="00A76C30" w:rsidP="00A76C30">
      <w:pPr>
        <w:pStyle w:val="NormalHanging12a"/>
      </w:pPr>
      <w:r w:rsidRPr="00AF0255">
        <w:t>Y.</w:t>
      </w:r>
      <w:r w:rsidRPr="00AF0255">
        <w:tab/>
        <w:t xml:space="preserve">budući da je program </w:t>
      </w:r>
      <w:proofErr w:type="spellStart"/>
      <w:r w:rsidRPr="00AF0255">
        <w:t>InvestEU</w:t>
      </w:r>
      <w:proofErr w:type="spellEnd"/>
      <w:r w:rsidRPr="00AF0255">
        <w:t xml:space="preserve"> trenutačno najveći instrument Unije za podjelu rizika; budući da je većina partnera u provedbi i dalje uglavnom usmjerena na manje rizičan opseg ulaganja;</w:t>
      </w:r>
    </w:p>
    <w:p w14:paraId="21C6AAF3" w14:textId="77777777" w:rsidR="00A76C30" w:rsidRPr="00AF0255" w:rsidRDefault="00A76C30" w:rsidP="00A76C30">
      <w:pPr>
        <w:pStyle w:val="NormalHanging12a"/>
      </w:pPr>
      <w:r w:rsidRPr="00AF0255">
        <w:t>Z.</w:t>
      </w:r>
      <w:r w:rsidRPr="00AF0255">
        <w:tab/>
        <w:t>budući da politički otpor i različiti nacionalni interesi sprječavaju postizanje konsenzusa o ostvarenju unije tržišta kapitala;</w:t>
      </w:r>
    </w:p>
    <w:p w14:paraId="5D98F6C1" w14:textId="77777777" w:rsidR="00A76C30" w:rsidRPr="00AF0255" w:rsidRDefault="00A76C30" w:rsidP="00A76C30">
      <w:pPr>
        <w:pStyle w:val="Normal12a24b"/>
      </w:pPr>
      <w:r w:rsidRPr="00AF0255">
        <w:rPr>
          <w:rStyle w:val="BoldItalic"/>
        </w:rPr>
        <w:t>Izgradnja zajedničke vizije europske produktivnosti i potrebe za održivim rastom</w:t>
      </w:r>
    </w:p>
    <w:p w14:paraId="503F3915" w14:textId="77777777" w:rsidR="00A76C30" w:rsidRPr="00AF0255" w:rsidRDefault="00A76C30" w:rsidP="00A76C30">
      <w:pPr>
        <w:pStyle w:val="NormalHanging12a"/>
      </w:pPr>
      <w:r w:rsidRPr="00AF0255">
        <w:t>1.</w:t>
      </w:r>
      <w:r w:rsidRPr="00AF0255">
        <w:tab/>
        <w:t xml:space="preserve">poziva na opću mobilizaciju svih pravnih, administrativnih i financijskih sredstava i dostupnih instrumenata za jačanje sigurnosti te industrijske i tehnološke suverenosti EU-a, uključujući jačanje otpornosti i zaštite kritične infrastrukture, kao što su elektroenergetski, vodoopskrbni i komunikacijski sustavi, kako bi se zaštitili građani i poduzeća iz EU-a, ubrzale tranzicije i ulaganja u njih, stvorio održivi ekonomski rast, </w:t>
      </w:r>
      <w:r w:rsidRPr="00AF0255">
        <w:lastRenderedPageBreak/>
        <w:t>otvorila kvalitetna radna mjesta, poduprli MSP-ovi te doprinijelo uzlaznoj socijalnoj konvergenciji i koheziji u kontekstu geopolitičke nestabilnosti i međunarodnih napetosti; ističe da Europa zaostaje i da bi mogao nastati rizik od toga da naša regija postane nevažna ako se ne poduzmu daljnje mjere;</w:t>
      </w:r>
    </w:p>
    <w:p w14:paraId="247DB4D8" w14:textId="77777777" w:rsidR="00A76C30" w:rsidRPr="00AF0255" w:rsidRDefault="00A76C30" w:rsidP="00A76C30">
      <w:pPr>
        <w:pStyle w:val="NormalHanging12a"/>
      </w:pPr>
      <w:r w:rsidRPr="00AF0255">
        <w:t>2.</w:t>
      </w:r>
      <w:r w:rsidRPr="00AF0255">
        <w:tab/>
        <w:t xml:space="preserve">pozdravlja ponovni početak rasprave o potrebi za ponovnom uspostavom konkurentnosti, produktivnosti i ekonomskog rasta EU-a, potaknut izvješćima </w:t>
      </w:r>
      <w:proofErr w:type="spellStart"/>
      <w:r w:rsidRPr="00AF0255">
        <w:t>Draghija</w:t>
      </w:r>
      <w:proofErr w:type="spellEnd"/>
      <w:r w:rsidRPr="00AF0255">
        <w:t xml:space="preserve"> i </w:t>
      </w:r>
      <w:proofErr w:type="spellStart"/>
      <w:r w:rsidRPr="00AF0255">
        <w:t>Lette</w:t>
      </w:r>
      <w:proofErr w:type="spellEnd"/>
      <w:r w:rsidRPr="00AF0255">
        <w:t>; podsjeća da bi se povećanje produktivnosti moglo postići uglavnom ulaganjima u inovativne aktivnosti, uključujući tranzicije; ističe da tržišno natjecanje može poticati produktivnost, ulaganja i inovacije;</w:t>
      </w:r>
    </w:p>
    <w:p w14:paraId="058F909F" w14:textId="77777777" w:rsidR="00A76C30" w:rsidRPr="00AF0255" w:rsidRDefault="00A76C30" w:rsidP="00A76C30">
      <w:pPr>
        <w:pStyle w:val="NormalHanging12a"/>
      </w:pPr>
      <w:r w:rsidRPr="00AF0255">
        <w:t>3.</w:t>
      </w:r>
      <w:r w:rsidRPr="00AF0255">
        <w:tab/>
        <w:t xml:space="preserve">prihvaća izvješća </w:t>
      </w:r>
      <w:proofErr w:type="spellStart"/>
      <w:r w:rsidRPr="00AF0255">
        <w:t>Draghija</w:t>
      </w:r>
      <w:proofErr w:type="spellEnd"/>
      <w:r w:rsidRPr="00AF0255">
        <w:t xml:space="preserve"> i </w:t>
      </w:r>
      <w:proofErr w:type="spellStart"/>
      <w:r w:rsidRPr="00AF0255">
        <w:t>Lette</w:t>
      </w:r>
      <w:proofErr w:type="spellEnd"/>
      <w:r w:rsidRPr="00AF0255">
        <w:t xml:space="preserve"> kao jedan od brojnih poziva na buđenje za europske i nacionalne donositelje odluka te kao polazišnu točku za djelovanje u cilju poticanja privatnih i javnih ulaganja, a posebno za sektore digitalne i zelene tehnologije, automobilski sektor koji se nalazi u tranziciji i teške industrije kao što je industrija čelika i kemijska industrija; pozdravlja činjenicu da Komisija prepoznaje ulogu javnih sredstava u mobilizaciji privatnih sredstava i podupiranju inovacija u EU-u; ističe da je nedostatak napretka u integraciji financijskih tržišta EU-a često posljedica zadrški država članica EU-a; poziva države članice da iskoriste postojeći zamah i surađuju s Parlamentom kako bi se istinski unaprijedila integracija financijskih tržišta EU-a; podsjeća da napori Europske unije za dovršetak unije tržišta kapitala od 2015. nisu polučili konačan rezultat; potiče sve stranke da ulože napore kako bi se što prije ostvarila Unija štednje i ulaganja;</w:t>
      </w:r>
    </w:p>
    <w:p w14:paraId="6FABE88B" w14:textId="77777777" w:rsidR="00A76C30" w:rsidRPr="00AF0255" w:rsidRDefault="00A76C30" w:rsidP="00A76C30">
      <w:pPr>
        <w:pStyle w:val="NormalHanging12a"/>
        <w:rPr>
          <w:snapToGrid/>
        </w:rPr>
      </w:pPr>
      <w:r w:rsidRPr="00AF0255">
        <w:t>4.</w:t>
      </w:r>
      <w:r w:rsidRPr="00AF0255">
        <w:tab/>
        <w:t>sa zabrinutošću primjećuje rizike od negativnih šokova za gospodarski rast</w:t>
      </w:r>
      <w:r w:rsidRPr="00AF0255">
        <w:rPr>
          <w:rStyle w:val="FootnoteReference"/>
        </w:rPr>
        <w:footnoteReference w:id="16"/>
      </w:r>
      <w:r w:rsidRPr="00AF0255">
        <w:t xml:space="preserve"> i aktualna previranja na financijskim tržištima i geopolitičke nesigurnosti koje bi mogle ugroziti blagostanje europskih građana, posebno radnika i poduzeća; napominje da su geopolitičke nesigurnosti već znatno povećale nestabilnost financijskog tržišta i doprinijele slabljenju američkog dolara te da je sigurnost preduvjet za održivi rast;</w:t>
      </w:r>
    </w:p>
    <w:p w14:paraId="310512F5" w14:textId="77777777" w:rsidR="00A76C30" w:rsidRPr="00AF0255" w:rsidRDefault="00A76C30" w:rsidP="00A76C30">
      <w:pPr>
        <w:pStyle w:val="NormalHanging12a"/>
      </w:pPr>
      <w:r w:rsidRPr="00AF0255">
        <w:t>5.</w:t>
      </w:r>
      <w:r w:rsidRPr="00AF0255">
        <w:tab/>
        <w:t>uviđa da je čvrst regulatorni okvir EU-a pridonio njegovoj financijskoj stabilnosti; smatra da bi ta zakonodavna stabilnost i predvidljivost mogle postati istinska komparativna i konkurentna prednost jer su ti čimbenici ključni za povjerenje međunarodnih ulagača; ističe suštinsku vezu između vladavine prava i održivog i konkurentnog gospodarskog rasta; ističe da je otpornost financijskog sektora ključan element njegove konkurentnosti;</w:t>
      </w:r>
    </w:p>
    <w:p w14:paraId="2AB52197" w14:textId="77777777" w:rsidR="00A76C30" w:rsidRPr="00AF0255" w:rsidRDefault="00A76C30" w:rsidP="00A76C30">
      <w:pPr>
        <w:pStyle w:val="NormalHanging12a"/>
        <w:rPr>
          <w:bCs/>
          <w:snapToGrid/>
        </w:rPr>
      </w:pPr>
      <w:r w:rsidRPr="00AF0255">
        <w:t>6.</w:t>
      </w:r>
      <w:r w:rsidRPr="00AF0255">
        <w:tab/>
        <w:t>prima na znanje dosadašnji rad na izgradnji unije tržišta kapitala, počevši s Akcijskim planom o izgradnji unije tržišta kapitala u rujnu 2015.; žali zbog toga što je napredak u integraciji tržišta kapitala EU-a otad ograničen te poziva da se taj proces ubrza; u tom pogledu pozdravlja donošenje komunikacije Komisije naslovljene „Unija za štednju i ulaganja: Strategija za povećanje bogatstva građana i gospodarske konkurentnosti EU-a”, u kojoj su istaknute razne političke inicijative i čiji je cilj integracija financijskih tržišta EU-a i djelotvorno usmjeravanje štednje u ulaganja;</w:t>
      </w:r>
    </w:p>
    <w:p w14:paraId="01D65681" w14:textId="77777777" w:rsidR="00A76C30" w:rsidRPr="00AF0255" w:rsidRDefault="00A76C30" w:rsidP="00A76C30">
      <w:pPr>
        <w:pStyle w:val="NormalHanging12a"/>
      </w:pPr>
      <w:r w:rsidRPr="00AF0255">
        <w:t>7.</w:t>
      </w:r>
      <w:r w:rsidRPr="00AF0255">
        <w:tab/>
        <w:t xml:space="preserve">ističe važnost jačanja povjerenja u bankarski sustav, jamčenja financijske stabilnosti i promicanja učinkovitog jedinstvenog tržišta kao temeljnih ciljeva EU-a; uviđa da dovršetak bankovne unije mora biti strateški prioritet u produbljivanju ekonomske i </w:t>
      </w:r>
      <w:r w:rsidRPr="00AF0255">
        <w:lastRenderedPageBreak/>
        <w:t>monetarne unije; poziva Vijeće da ubrza donošenje preostalog zakonodavstva kako bi se osigurao njegov okvir za financijsku stabilnost i dovršila uspostava bankovne unije;</w:t>
      </w:r>
    </w:p>
    <w:p w14:paraId="16C152A1" w14:textId="77777777" w:rsidR="00A76C30" w:rsidRPr="00AF0255" w:rsidRDefault="00A76C30" w:rsidP="00A76C30">
      <w:pPr>
        <w:pStyle w:val="NormalHanging12a"/>
      </w:pPr>
      <w:r w:rsidRPr="00AF0255">
        <w:t>8.</w:t>
      </w:r>
      <w:r w:rsidRPr="00AF0255">
        <w:tab/>
        <w:t>ustraje na hitnosti poduzimanja mjera, ubrzanju donošenja odluka, smanjenju kašnjenja u provedbi i ubrzavanju odluka o instrumentima i mehanizmima potpore EU-a;</w:t>
      </w:r>
    </w:p>
    <w:p w14:paraId="118BB413" w14:textId="77777777" w:rsidR="00A76C30" w:rsidRPr="00AF0255" w:rsidRDefault="00A76C30" w:rsidP="00A76C30">
      <w:pPr>
        <w:pStyle w:val="NormalHanging12a"/>
      </w:pPr>
      <w:r w:rsidRPr="00AF0255">
        <w:t>9.</w:t>
      </w:r>
      <w:r w:rsidRPr="00AF0255">
        <w:tab/>
        <w:t xml:space="preserve">smatra da Unija mora unaprijediti svoju uniju tržišta kapitala kako bi iskoristila ulaganja privatnog sektora; naglašava da će biti potrebna i potpora javnog sektora kako bi se ostvarila minimalna godišnja dodatna ulaganja potrebna za obnovu održivog i inovativnog industrijskog sektora i za učvršćivanje blagostanja Unije; ističe da bi povećanje produktivnosti također stvorilo veći fiskalni prostor; </w:t>
      </w:r>
    </w:p>
    <w:p w14:paraId="3787EF41" w14:textId="77777777" w:rsidR="00A76C30" w:rsidRPr="00AF0255" w:rsidRDefault="00A76C30" w:rsidP="00A76C30">
      <w:pPr>
        <w:pStyle w:val="NormalHanging12a"/>
      </w:pPr>
      <w:r w:rsidRPr="00AF0255">
        <w:t>10.</w:t>
      </w:r>
      <w:r w:rsidRPr="00AF0255">
        <w:tab/>
        <w:t>ističe da se prevelika količina kapitala ne koristi produktivno u EU-u; ističe da poduzeća, posebno MSP-ovi, ne mogu u potpunosti iskoristiti postojeća tržišta kapitala u Europi za financiranje i ulaganja;</w:t>
      </w:r>
    </w:p>
    <w:p w14:paraId="74F26CD9" w14:textId="77777777" w:rsidR="00A76C30" w:rsidRPr="00AF0255" w:rsidRDefault="00A76C30" w:rsidP="00A76C30">
      <w:pPr>
        <w:pStyle w:val="NormalHanging12a"/>
        <w:tabs>
          <w:tab w:val="left" w:pos="6663"/>
        </w:tabs>
        <w:rPr>
          <w:snapToGrid/>
        </w:rPr>
      </w:pPr>
      <w:r w:rsidRPr="00AF0255">
        <w:t>11.</w:t>
      </w:r>
      <w:r w:rsidRPr="00AF0255">
        <w:tab/>
        <w:t>žali zbog činjenice što mnogi poduzetnici sa sjedištem u EU-u smatraju da je potrebno preseliti se kako bi lakše pristupili financiranju i resursima; primjećuje sa žaljenjem da se zbog nedostatka velikih fondova poduzetničkog kapitala i financijski održivih mogućnosti napuštanja tržišta u EU-u okreću mogućnostima širenja uz strana ulaganja i na inozemnim tržištima; napominje da je to posljedica nedostatka integrirane unije tržišta kapitala u EU-u i činjenice da tržišta EU-a još ne mogu zadovoljiti njihove potrebe; podsjeća da EU stvara više novoosnovanih poduzeća nego SAD godišnje i da je povrat ulaganja poduzetničkog kapitala oko 6 % veći u EU-u nego u SAD-u</w:t>
      </w:r>
      <w:r w:rsidRPr="00AF0255">
        <w:rPr>
          <w:rStyle w:val="FootnoteReference"/>
        </w:rPr>
        <w:footnoteReference w:id="17"/>
      </w:r>
      <w:r w:rsidRPr="00AF0255">
        <w:t xml:space="preserve">, te naglašava potrebu da institucije EU-a potiču privlačnije i poticajnije okruženje za inovacije i rast; slaže se s izvješćima </w:t>
      </w:r>
      <w:proofErr w:type="spellStart"/>
      <w:r w:rsidRPr="00AF0255">
        <w:t>Draghija</w:t>
      </w:r>
      <w:proofErr w:type="spellEnd"/>
      <w:r w:rsidRPr="00AF0255">
        <w:t xml:space="preserve"> i </w:t>
      </w:r>
      <w:proofErr w:type="spellStart"/>
      <w:r w:rsidRPr="00AF0255">
        <w:t>Lette</w:t>
      </w:r>
      <w:proofErr w:type="spellEnd"/>
      <w:r w:rsidRPr="00AF0255">
        <w:t xml:space="preserve"> da bi EU trebao dodatno razviti svoja tržišta poduzetničkog kapitala te stoga naglašava važnost razvoja snažnog ekosustava za poduzetnički kapital i ulaganja u EU-u te poziva na stvaranje poduzetničkog i rizičnog kapitala kako bi poduzeća dobila ulaganja na našim tržištima, kao što su dovoljno veliki europski fondovi za rast i otkup; ističe da bi javna potpora tržištima poduzetničkog kapitala trebala dati prednost projektima usklađenima s prioritetima EU-a;</w:t>
      </w:r>
    </w:p>
    <w:p w14:paraId="1346B1AD" w14:textId="77777777" w:rsidR="00A76C30" w:rsidRPr="00AF0255" w:rsidRDefault="00A76C30" w:rsidP="00A76C30">
      <w:pPr>
        <w:pStyle w:val="NormalHanging12a"/>
      </w:pPr>
      <w:r w:rsidRPr="00AF0255">
        <w:t>12.</w:t>
      </w:r>
      <w:r w:rsidRPr="00AF0255">
        <w:tab/>
        <w:t xml:space="preserve">ističe da europska financijska tržišta moraju biti privlačna te jednostavna za pristup i izdavateljima i ulagačima; ističe da se to odnosi i na primarna i na sekundarna tržišta; naglašava da odluka o uvrštenju na uređenom tržištu često podrazumijeva dodatne zahtjeve za poduzeća, također radi zaštite ulagača; napominje da se takvi zahtjevi mogu smatrati negativnom stranom izlaska na burzu; poziva Komisiju da kontinuirano prati i smanji administrativne troškove i troškove usklađivanja trgovačkih društava uvrštenih na burzu, posebno za mala i srednja poduzeća; pozdravlja nedavno doneseni Akt o uvrštenju kao prvi korak u tom pogledu, čime se poduzećima svih veličina, uključujući mala i srednja poduzeća, olakšava uvrštenje na europske burze; poziva na pragmatičnu provedbu Akta o uvrštenju i poziva Komisiju da nastavi s radom na toj inicijativi, </w:t>
      </w:r>
      <w:r w:rsidRPr="00AF0255">
        <w:lastRenderedPageBreak/>
        <w:t>posebno u pogledu istraživanja vlasničkog kapitala za MSP-ove i jačanjem rastućih tržišta MSP-ova, što je pomoglo manjim poduzećima da izađu na burzu;</w:t>
      </w:r>
    </w:p>
    <w:p w14:paraId="1A1B029B" w14:textId="77777777" w:rsidR="00A76C30" w:rsidRPr="00AF0255" w:rsidRDefault="00A76C30" w:rsidP="00A76C30">
      <w:pPr>
        <w:pStyle w:val="NormalHanging12a"/>
      </w:pPr>
      <w:r w:rsidRPr="00AF0255">
        <w:t>13.</w:t>
      </w:r>
      <w:r w:rsidRPr="00AF0255">
        <w:tab/>
        <w:t>naglašava da javna ulaganja imaju ključnu ulogu u dopunjavanju privatnih ulaganja; potiče Komisiju da objavi prijedloge kojima će cilj biti mobiliziranje dodatnog kapitala kako bi se podržali ciljevi utvrđeni u članku 3. Ugovora o Europskoj uniji (UEU); smatra da financijski instrumenti i proračunska jamstva predstavljaju učinkovito korištenje resursa za postizanje ključnih ciljeva politike EU-a; ponavlja da dobro osmišljena proračunska jamstva i financijski instrumenti, kada se temelje na potrebama tržišta, predstavljaju vrlo učinkovito korištenje ograničenih proračunskih sredstava EU-a za smanjenje rizika ulaganja i privlačenje privatnog kapitala;</w:t>
      </w:r>
    </w:p>
    <w:p w14:paraId="193FB619" w14:textId="77777777" w:rsidR="00A76C30" w:rsidRPr="00AF0255" w:rsidRDefault="00A76C30" w:rsidP="00A76C30">
      <w:pPr>
        <w:pStyle w:val="NormalHanging12a"/>
      </w:pPr>
      <w:r w:rsidRPr="00AF0255">
        <w:t>14.</w:t>
      </w:r>
      <w:r w:rsidRPr="00AF0255">
        <w:tab/>
        <w:t>naglašava da bi javna sredstva trebala biti usmjerena na osiguranje kvalitete, učinkovitosti, dobrobiti, održivosti i dostupnosti javnih usluga i infrastrukture, posebno onih povezanih s uslugama od općeg interesa, uz istodobno poticanje privatnih ulaganja u inovativne i čiste industrije pod jasno definiranim uvjetima;</w:t>
      </w:r>
    </w:p>
    <w:p w14:paraId="3C39A2FE" w14:textId="77777777" w:rsidR="00A76C30" w:rsidRPr="00AF0255" w:rsidRDefault="00A76C30" w:rsidP="00A76C30">
      <w:pPr>
        <w:spacing w:after="240"/>
        <w:ind w:left="567" w:hanging="567"/>
      </w:pPr>
      <w:r w:rsidRPr="00AF0255">
        <w:t>15.</w:t>
      </w:r>
      <w:r w:rsidRPr="00AF0255">
        <w:tab/>
        <w:t xml:space="preserve">naglašava da za premošćivanje investicijskog jaza nije važna samo mobilizacija velikih financijskih iznosa, već i jamstvo da EU može usmjeravati sredstva u produktivna ulaganja; naglašava da su za učinkovitu upotrebu javnog i privatnog kapitala ključni institucionalni kapaciteti, regulatorna jasnoća i kvaliteta projekata; u tom pogledu napominje da zbog niza čimbenika, uključujući ograničen pristup širem tržišnom portfelju, kvalitetu proizvoda i naknade, mnogi proizvodi iz EU-a ne nude dovoljan povrat; </w:t>
      </w:r>
    </w:p>
    <w:p w14:paraId="0A2EAFCF" w14:textId="77777777" w:rsidR="00A76C30" w:rsidRPr="00AF0255" w:rsidRDefault="00A76C30" w:rsidP="00A76C30">
      <w:pPr>
        <w:pStyle w:val="NormalHanging12a"/>
      </w:pPr>
      <w:r w:rsidRPr="00AF0255">
        <w:t>16.</w:t>
      </w:r>
      <w:r w:rsidRPr="00AF0255">
        <w:tab/>
        <w:t>podsjeća da bi se povećanje produktivnosti uglavnom moglo postići ulaganjima u inovativne aktivnosti; podsjeća da je cilj ulaganja 3 % BDP-a u područje istraživanja i inovacija još uvijek daleko od ostvarenja; poziva Komisiju i države članice da osiguraju dovoljno sredstava i alata za postizanje tog cilja;</w:t>
      </w:r>
    </w:p>
    <w:p w14:paraId="3C1B6141" w14:textId="77777777" w:rsidR="00A76C30" w:rsidRPr="00AF0255" w:rsidRDefault="00A76C30" w:rsidP="00A76C30">
      <w:pPr>
        <w:pStyle w:val="NormalHanging12a"/>
      </w:pPr>
      <w:r w:rsidRPr="00AF0255">
        <w:t>17.</w:t>
      </w:r>
      <w:r w:rsidRPr="00AF0255">
        <w:tab/>
        <w:t>žali zbog toga što niska razina financijskog obrazovanja u brojnim državama članicama predstavlja znatan izazov za ekonomsku autonomiju građana te razvoj snažnog i konkurentnog gospodarstva; podsjeća da loše financijsko obrazovanje otežava sposobnost stanovništva da donosi informirane odluke o štednji, ulaganju i planiranju mirovine; potvrđuje da taj jaz u financijskom obrazovanju otežava razvoj investicijske kulture koja je ključna za gospodarski rast; naglašava važnost ambiciozne, mjerljive i odlučne strategije EU-a za promicanje financijske pismenosti u Europi, čime bi se građanima omogućilo da bolje zaštite i mobiliziraju svoje štednje i oslone se na privlačnije tržište kapitala;</w:t>
      </w:r>
    </w:p>
    <w:p w14:paraId="016ED847" w14:textId="77777777" w:rsidR="00A76C30" w:rsidRPr="00AF0255" w:rsidRDefault="00A76C30" w:rsidP="00A76C30">
      <w:pPr>
        <w:pStyle w:val="Normal12a24b"/>
      </w:pPr>
      <w:r w:rsidRPr="00AF0255">
        <w:rPr>
          <w:rStyle w:val="BoldItalic"/>
        </w:rPr>
        <w:t>Mobilizacija privatnih ulaganja i olakšavanje pristupa financiranju</w:t>
      </w:r>
      <w:r w:rsidRPr="00AF0255">
        <w:t xml:space="preserve"> </w:t>
      </w:r>
      <w:r w:rsidRPr="00AF0255">
        <w:rPr>
          <w:b/>
          <w:i/>
        </w:rPr>
        <w:t>razvojem unije za štednju i ulaganja</w:t>
      </w:r>
    </w:p>
    <w:p w14:paraId="146BD138" w14:textId="77777777" w:rsidR="00A76C30" w:rsidRPr="00AF0255" w:rsidRDefault="00A76C30" w:rsidP="00A76C30">
      <w:pPr>
        <w:pStyle w:val="Normal12a24b"/>
        <w:ind w:left="567" w:hanging="567"/>
      </w:pPr>
      <w:r w:rsidRPr="00AF0255">
        <w:t>18.</w:t>
      </w:r>
      <w:r w:rsidRPr="00AF0255">
        <w:tab/>
        <w:t>pozdravlja cilj koji si je Komisija zadala da bude „Komisija ulaganja” i da oslobodi financijska sredstva potrebna za zelenu, digitalnu i socijalnu tranziciju, da maksimalno poveća sinergije između javnih i privatnih ulaganja te da iskoristi privatni kapital i smanji njegov rizik;</w:t>
      </w:r>
    </w:p>
    <w:p w14:paraId="07461861" w14:textId="77777777" w:rsidR="00A76C30" w:rsidRPr="00AF0255" w:rsidRDefault="00A76C30" w:rsidP="00A76C30">
      <w:pPr>
        <w:pStyle w:val="NormalHanging12a"/>
        <w:rPr>
          <w:snapToGrid/>
        </w:rPr>
      </w:pPr>
      <w:r w:rsidRPr="00AF0255">
        <w:t>19.</w:t>
      </w:r>
      <w:r w:rsidRPr="00AF0255">
        <w:tab/>
        <w:t xml:space="preserve">smatra da će se privlačnost tržišta kapitala EU-a povećati daljnjom integracijom njegova unutarnjeg tržišta na način da se potiče natjecanje među poduzećima EU-a, stvaranjem </w:t>
      </w:r>
      <w:r w:rsidRPr="00AF0255">
        <w:lastRenderedPageBreak/>
        <w:t xml:space="preserve">gospodarskih prilika za privatna ulaganja i pojednostavljenjem, čime bi se omogućili veći povrati za građane i poduzeća; no naglašava da visoki troškovi povezani s ulaganjima na europskim financijskim tržištima narušavaju povrate; poziva Komisiju i države članice da izrade rješenja, bilo da se radi o zakonodavnim ili </w:t>
      </w:r>
      <w:proofErr w:type="spellStart"/>
      <w:r w:rsidRPr="00AF0255">
        <w:t>nezakonodavnim</w:t>
      </w:r>
      <w:proofErr w:type="spellEnd"/>
      <w:r w:rsidRPr="00AF0255">
        <w:t xml:space="preserve"> rješenjima, za poticanje stvaranja integriranog tržišta kapitala na razini EU-a koje ima dovoljnu veličinu, likvidnost, dubinu i transparentnost kako bi privuklo ulagače sa sjedištem u EU-u i međunarodne ulagače, uz jamčenje zaštite potrošača i osiguravanje financijske stabilnosti; podsjeća da su izgledi za veći povrat ulaganja ključni poticaj za sudjelovanje malih ulagača na tržištima kapitala; u tom pogledu ističe da unija tržišta kapitala neće biti moguća bez dovršetka bankovne unije;</w:t>
      </w:r>
    </w:p>
    <w:p w14:paraId="272207B6" w14:textId="77777777" w:rsidR="00A76C30" w:rsidRPr="00AF0255" w:rsidRDefault="00A76C30" w:rsidP="00A76C30">
      <w:pPr>
        <w:pStyle w:val="NormalHanging12a"/>
      </w:pPr>
      <w:r w:rsidRPr="00AF0255">
        <w:t>20.</w:t>
      </w:r>
      <w:r w:rsidRPr="00AF0255">
        <w:tab/>
        <w:t>napominje da su europska tržišta kapitala trenutačno vrlo rascjepkana, pri čemu su europski investicijski fondovi i dalje gotovo sedam puta manji u usporedbi s američkim fondovima</w:t>
      </w:r>
      <w:r w:rsidRPr="00AF0255">
        <w:rPr>
          <w:rStyle w:val="FootnoteReference"/>
        </w:rPr>
        <w:footnoteReference w:id="18"/>
      </w:r>
      <w:r w:rsidRPr="00AF0255">
        <w:t>; smatra da to šteti konkurentnosti sektora investicijskih fondova EU-a u odnosu na globalne konkurente jer je veličina fonda ključan čimbenik koji utječe na troškove koji se naplaćuju krajnjim ulagateljima; smatra da bi integriranije prekogranično tržište fondova u EU-u moglo s vremenom dovesti do povećanja veličine fondova i porasta učinkovitosti, što bi, ako se prenese na male ulagače, moglo pomoći u smanjenju troškova i ostvarivanju veće vrijednosti za novac za krajnje ulagatelje;</w:t>
      </w:r>
    </w:p>
    <w:p w14:paraId="5F8E915E" w14:textId="77777777" w:rsidR="00A76C30" w:rsidRPr="00AF0255" w:rsidRDefault="00A76C30" w:rsidP="00A76C30">
      <w:pPr>
        <w:pStyle w:val="NormalHanging12a"/>
      </w:pPr>
      <w:r w:rsidRPr="00AF0255">
        <w:t>21.</w:t>
      </w:r>
      <w:r w:rsidRPr="00AF0255">
        <w:tab/>
        <w:t xml:space="preserve">vjeruje da će unija tržišta kapitala koristiti potrošačima i MSP-ovima pružanjem mogućnosti ulaganja s visokim prinosom u realno gospodarstvo te da će u konačnici potaknuti tržište poduzetničkog kapitala poboljšanjem pristupa različitim izvorima financiranja; vjeruje da bi financiranje europskih </w:t>
      </w:r>
      <w:proofErr w:type="spellStart"/>
      <w:r w:rsidRPr="00AF0255">
        <w:t>scale-up</w:t>
      </w:r>
      <w:proofErr w:type="spellEnd"/>
      <w:r w:rsidRPr="00AF0255">
        <w:t xml:space="preserve"> poduzeća europskim kapitalom trebalo biti prioritet, kao što je vidljivo iz Inicijative za europske tehnološke predvodnike, pokrenute u veljači 2023. radi financiranja perspektivnih europskih tehnoloških poduzeća; </w:t>
      </w:r>
    </w:p>
    <w:p w14:paraId="7B6BA6D6" w14:textId="77777777" w:rsidR="00A76C30" w:rsidRPr="00AF0255" w:rsidRDefault="00A76C30" w:rsidP="00A76C30">
      <w:pPr>
        <w:pStyle w:val="NormalHanging12a"/>
      </w:pPr>
      <w:r w:rsidRPr="00AF0255">
        <w:t>22.</w:t>
      </w:r>
      <w:r w:rsidRPr="00AF0255">
        <w:tab/>
        <w:t>smatra da bi poduzetnički kapital trebao postati dostupniji trgovačkim društvima kao alternativa tradicionalnom bankovnom kreditiranju kako bi se diversificirali izvori financiranja; poziva Komisiju da predloži mjere za poboljšanje te vrste financiranja za trgovačka društva iz EU-a;</w:t>
      </w:r>
    </w:p>
    <w:p w14:paraId="6BEC669C" w14:textId="77777777" w:rsidR="00A76C30" w:rsidRPr="00AF0255" w:rsidRDefault="00A76C30" w:rsidP="00A76C30">
      <w:pPr>
        <w:pStyle w:val="NormalHanging12a"/>
      </w:pPr>
      <w:r w:rsidRPr="00AF0255">
        <w:t>23.</w:t>
      </w:r>
      <w:r w:rsidRPr="00AF0255">
        <w:tab/>
        <w:t>ističe da se veličina, dubina i likvidnost tržišta kapitala znatno razlikuju među državama članicama, pri čemu su neke države članice bile znatno uspješnije u pružanju privlačnih primarnih i sekundarnih tržišta za poduzeća i poticanju građana da ulažu u ta tržišta; poziva Komisiju da utvrdi najbolje prakse i uključi ih u rad na uniji za štednju i ulaganja;</w:t>
      </w:r>
    </w:p>
    <w:p w14:paraId="67296D13" w14:textId="77777777" w:rsidR="00A76C30" w:rsidRPr="00AF0255" w:rsidRDefault="00A76C30" w:rsidP="00A76C30">
      <w:pPr>
        <w:pStyle w:val="NormalHanging12a"/>
      </w:pPr>
      <w:r w:rsidRPr="00AF0255">
        <w:t>24.</w:t>
      </w:r>
      <w:r w:rsidRPr="00AF0255">
        <w:tab/>
        <w:t xml:space="preserve">smatra da će privatni kapital biti ključan kako bi se na najučinkovitiji način premostio investicijski jaz koji je identificiran u </w:t>
      </w:r>
      <w:proofErr w:type="spellStart"/>
      <w:r w:rsidRPr="00AF0255">
        <w:t>Draghijevom</w:t>
      </w:r>
      <w:proofErr w:type="spellEnd"/>
      <w:r w:rsidRPr="00AF0255">
        <w:t xml:space="preserve"> izvješću;</w:t>
      </w:r>
    </w:p>
    <w:p w14:paraId="3B4A5C3A" w14:textId="77777777" w:rsidR="00A76C30" w:rsidRPr="00AF0255" w:rsidRDefault="00A76C30" w:rsidP="00A76C30">
      <w:pPr>
        <w:spacing w:after="240"/>
        <w:ind w:left="567" w:hanging="567"/>
        <w:rPr>
          <w:rFonts w:eastAsia="Aptos"/>
          <w:bCs/>
          <w:iCs/>
        </w:rPr>
      </w:pPr>
      <w:r w:rsidRPr="00AF0255">
        <w:t>25.</w:t>
      </w:r>
      <w:r w:rsidRPr="00AF0255">
        <w:tab/>
        <w:t xml:space="preserve">podržava integraciju institucionalnih okvira i tržišnih struktura; ponavlja svoj zahtjev za poticanje procesa konvergencije nadzora pod vodstvom ESMA-e, među ostalim dodjelom izravnih nadzornih ovlasti ESMA-i kada to donosi europsku dodanu vrijednost, na primjer nad paneuropskim tržišnim infrastrukturama, kako bi se povećala konkurentnost europskih burzi i poboljšala učinkovitost nadzornog okruženja i suradnja s nacionalnim nadležnim tijelima; podsjeća da ESMA već ima izravne nadzorne ovlasti nad nekoliko financijskih subjekata, kao što su agencije za kreditni rejting, trgovinski </w:t>
      </w:r>
      <w:r w:rsidRPr="00AF0255">
        <w:lastRenderedPageBreak/>
        <w:t>repozitoriji ili središnje druge ugovorne strane kategorije 2 koje se nalaze izvan EU-a;</w:t>
      </w:r>
    </w:p>
    <w:p w14:paraId="2EC0ED3F" w14:textId="77777777" w:rsidR="00A76C30" w:rsidRPr="00AF0255" w:rsidRDefault="00A76C30" w:rsidP="00A76C30">
      <w:pPr>
        <w:pStyle w:val="NormalHanging12a"/>
      </w:pPr>
      <w:r w:rsidRPr="00AF0255">
        <w:t>26.</w:t>
      </w:r>
      <w:r w:rsidRPr="00AF0255">
        <w:tab/>
        <w:t>također uviđa da usklađeni nadzor ne zahtijeva uvijek samo jedno nadzorno tijelo, već se može postići i konvergencijom nacionalnih nadzornih praksi, gdje je to primjerenije; stoga podržava namjeru Komisije da predloži mjere za jačanje alata za konvergenciju nadzora i povećanje njihove učinkovitosti te za postizanje ujednačenijeg izravnog nadzora tržišta kapitala prenošenjem određenih zadataka na razinu EU-a;</w:t>
      </w:r>
    </w:p>
    <w:p w14:paraId="3A5A4B00" w14:textId="77777777" w:rsidR="00A76C30" w:rsidRPr="00AF0255" w:rsidRDefault="00A76C30" w:rsidP="00A76C30">
      <w:pPr>
        <w:pStyle w:val="NormalHanging12a"/>
      </w:pPr>
      <w:r w:rsidRPr="00AF0255">
        <w:t>27.</w:t>
      </w:r>
      <w:r w:rsidRPr="00AF0255">
        <w:tab/>
        <w:t xml:space="preserve">ističe da bi svako povećanje ovlasti europskih nadzornih tijela trebalo ići ruku pod ruku s razmjernim povećanjem razine odgovornosti europskih nadzornih tijela; smatra da bi upravljanje ESMA-om trebalo revidirati kako bi se zajamčila učinkovitost i neovisnost njezinih odluka; podržava prijedlog iz </w:t>
      </w:r>
      <w:proofErr w:type="spellStart"/>
      <w:r w:rsidRPr="00AF0255">
        <w:t>Draghijeva</w:t>
      </w:r>
      <w:proofErr w:type="spellEnd"/>
      <w:r w:rsidRPr="00AF0255">
        <w:t xml:space="preserve"> izvješća da se ESMA-i dodijeli veća europska upravljačka struktura i da se uspostavi snažna suradnja s nacionalnim nadzornim tijelima, oslanjajući se na model jedinstvenog nadzornog mehanizma ili Tijela za sprečavanje pranja novca i borbu protiv financiranja terorizma (AMLA);</w:t>
      </w:r>
    </w:p>
    <w:p w14:paraId="34FC12EC" w14:textId="77777777" w:rsidR="00A76C30" w:rsidRPr="00AF0255" w:rsidRDefault="00A76C30" w:rsidP="00A76C30">
      <w:pPr>
        <w:pStyle w:val="NormalHanging12a"/>
      </w:pPr>
      <w:r w:rsidRPr="00AF0255">
        <w:t>28.</w:t>
      </w:r>
      <w:r w:rsidRPr="00AF0255">
        <w:tab/>
        <w:t>smatra da bi europska nadzorna tijela trebala biti prikladno financirana kako bi mogla izvršavati svoje dužnosti, među ostalim uključivanjem financijskih institucija i sudionika na financijskom tržištu iz nadziranih poduzeća;</w:t>
      </w:r>
    </w:p>
    <w:p w14:paraId="456EABFE" w14:textId="77777777" w:rsidR="00A76C30" w:rsidRPr="00AF0255" w:rsidRDefault="00A76C30" w:rsidP="00A76C30">
      <w:pPr>
        <w:pStyle w:val="NormalHanging12a"/>
      </w:pPr>
      <w:r w:rsidRPr="00AF0255">
        <w:t>29.</w:t>
      </w:r>
      <w:r w:rsidRPr="00AF0255">
        <w:tab/>
        <w:t>naglašava važnost snažne uloge Europske središnje banke (ESB) u nadzoru sistemski važnih tržišnih infrastruktura, u skladu s njezinim odgovornostima na temelju Ugovora o funkcioniranju Europske unije (UFEU) i Uredbe o SIPS-u</w:t>
      </w:r>
      <w:r w:rsidRPr="00AF0255">
        <w:rPr>
          <w:rStyle w:val="FootnoteReference"/>
        </w:rPr>
        <w:footnoteReference w:id="19"/>
      </w:r>
      <w:r w:rsidRPr="00AF0255">
        <w:t xml:space="preserve">; smatra da bi ESB trebao aktivno doprinositi jačanju interoperabilnosti, otpornosti i integracije sustava trgovanja i </w:t>
      </w:r>
      <w:proofErr w:type="spellStart"/>
      <w:r w:rsidRPr="00AF0255">
        <w:t>poslijetrgovinskih</w:t>
      </w:r>
      <w:proofErr w:type="spellEnd"/>
      <w:r w:rsidRPr="00AF0255">
        <w:t xml:space="preserve"> sustava na razini EU-a, posebno kroz nadzor platformi kao što je sustav TARGET2-Securities;</w:t>
      </w:r>
    </w:p>
    <w:p w14:paraId="41C91B52" w14:textId="77777777" w:rsidR="00A76C30" w:rsidRPr="00AF0255" w:rsidRDefault="00A76C30" w:rsidP="00A76C30">
      <w:pPr>
        <w:pStyle w:val="NormalHanging12a"/>
      </w:pPr>
      <w:r w:rsidRPr="00AF0255">
        <w:t>30.</w:t>
      </w:r>
      <w:r w:rsidRPr="00AF0255">
        <w:tab/>
        <w:t xml:space="preserve">naglašava da bi se administrativno opterećenje i troškovi usklađivanja koji nastaju u prekograničnom kontekstu već mogli riješiti boljom koordinacijom i suradnjom nacionalnih nadzornih tijela, npr. u području razmjene podataka; poziva Komisiju i europska nadzorna tijela da prijeđu na sustav „jednokratnog izvješćivanja”; smatra da je jedinstvena europska pristupna točka važna inicijativa u tom pogledu i poziva na njezino pravodobno uvođenje; predlaže da bi ESMA također mogla postati središnje podatkovno središte u kojem bi se centraliziralo izvješćivanje subjekata koji podliježu zahtjevima za izvješćivanje u skladu s uredbama </w:t>
      </w:r>
      <w:proofErr w:type="spellStart"/>
      <w:r w:rsidRPr="00AF0255">
        <w:t>MiFiR</w:t>
      </w:r>
      <w:proofErr w:type="spellEnd"/>
      <w:r w:rsidRPr="00AF0255">
        <w:rPr>
          <w:rStyle w:val="FootnoteReference"/>
        </w:rPr>
        <w:footnoteReference w:id="20"/>
      </w:r>
      <w:r w:rsidRPr="00AF0255">
        <w:t xml:space="preserve"> i EMIR</w:t>
      </w:r>
      <w:r w:rsidRPr="00AF0255">
        <w:rPr>
          <w:rStyle w:val="FootnoteReference"/>
        </w:rPr>
        <w:footnoteReference w:id="21"/>
      </w:r>
      <w:r w:rsidRPr="00AF0255">
        <w:t>;</w:t>
      </w:r>
      <w:r w:rsidRPr="00AF0255">
        <w:rPr>
          <w:rStyle w:val="BoldItalic"/>
        </w:rPr>
        <w:t xml:space="preserve"> </w:t>
      </w:r>
    </w:p>
    <w:p w14:paraId="5B29EFC8" w14:textId="77777777" w:rsidR="00A76C30" w:rsidRPr="00AF0255" w:rsidRDefault="00A76C30" w:rsidP="00A76C30">
      <w:pPr>
        <w:pStyle w:val="NormalHanging12a"/>
        <w:rPr>
          <w:snapToGrid/>
        </w:rPr>
      </w:pPr>
      <w:r w:rsidRPr="00AF0255">
        <w:t>31.</w:t>
      </w:r>
      <w:r w:rsidRPr="00AF0255">
        <w:tab/>
        <w:t xml:space="preserve">potiče Komisiju da izradi prijedloge za potporu premještanju aktivnosti poravnanja u EU; žali zbog trenutačne situacije u kojoj se većina poslova poravnanja za EU obavlja izvan EU-a; sa zanimanjem iščekuje ambiciozan delegirani akt o aktivnim računima u skladu s Uredbom EMIR 3.0; poziva Europsku komisiju da kontinuirano ocjenjuje </w:t>
      </w:r>
      <w:r w:rsidRPr="00AF0255">
        <w:lastRenderedPageBreak/>
        <w:t>razvoj aktivnosti poravnanja i učinak uredbe te da iznese daljnje zakonodavne prijedloge za jačanje ekosustava poravnanja u EU-u;</w:t>
      </w:r>
    </w:p>
    <w:p w14:paraId="72E0A112" w14:textId="77777777" w:rsidR="00A76C30" w:rsidRPr="00AF0255" w:rsidRDefault="00A76C30" w:rsidP="00A76C30">
      <w:pPr>
        <w:pStyle w:val="NormalHanging12a"/>
      </w:pPr>
      <w:r w:rsidRPr="00AF0255">
        <w:t>32.</w:t>
      </w:r>
      <w:r w:rsidRPr="00AF0255">
        <w:tab/>
        <w:t xml:space="preserve">pozdravlja najavu Komisije o ambicioznom paketu zakonodavnih prijedloga za jačanje trgovinskog i </w:t>
      </w:r>
      <w:proofErr w:type="spellStart"/>
      <w:r w:rsidRPr="00AF0255">
        <w:t>poslijetrgovinskog</w:t>
      </w:r>
      <w:proofErr w:type="spellEnd"/>
      <w:r w:rsidRPr="00AF0255">
        <w:t xml:space="preserve"> ekosustava u Europskoj uniji, uklanjanje prepreka prekograničnim aktivnostima i prilagodbu okvira novim tehnologijama; očekuje da bi takav prijedlog mogao pomoći u rješavanju problema </w:t>
      </w:r>
      <w:proofErr w:type="spellStart"/>
      <w:r w:rsidRPr="00AF0255">
        <w:t>fragmentiranosti</w:t>
      </w:r>
      <w:proofErr w:type="spellEnd"/>
      <w:r w:rsidRPr="00AF0255">
        <w:t xml:space="preserve"> tržišta u EU-u; naglašava, međutim, da bi većina inicijativa za konsolidaciju tržišta trebala biti vođena tržištem;</w:t>
      </w:r>
    </w:p>
    <w:p w14:paraId="2E903271" w14:textId="77777777" w:rsidR="00A76C30" w:rsidRPr="00AF0255" w:rsidRDefault="00A76C30" w:rsidP="00A76C30">
      <w:pPr>
        <w:pStyle w:val="NormalHanging12a"/>
      </w:pPr>
      <w:r w:rsidRPr="00AF0255">
        <w:t>33.</w:t>
      </w:r>
      <w:r w:rsidRPr="00AF0255">
        <w:tab/>
        <w:t xml:space="preserve">prepoznaje potrebu za učinkovitim i likvidnim tržištima kapitala kako bi se potaknula ulaganja, uključujući konkurentnu </w:t>
      </w:r>
      <w:proofErr w:type="spellStart"/>
      <w:r w:rsidRPr="00AF0255">
        <w:t>poslijetrgovinsku</w:t>
      </w:r>
      <w:proofErr w:type="spellEnd"/>
      <w:r w:rsidRPr="00AF0255">
        <w:t xml:space="preserve"> infrastrukturu; pozdravlja zakonodavni prijedlog Komisije o uvođenju ciljane izmjene Uredbe o središnjim </w:t>
      </w:r>
      <w:proofErr w:type="spellStart"/>
      <w:r w:rsidRPr="00AF0255">
        <w:t>depozitorijima</w:t>
      </w:r>
      <w:proofErr w:type="spellEnd"/>
      <w:r w:rsidRPr="00AF0255">
        <w:t xml:space="preserve"> vrijednosnih papira</w:t>
      </w:r>
      <w:r w:rsidRPr="00AF0255">
        <w:rPr>
          <w:rStyle w:val="FootnoteReference"/>
        </w:rPr>
        <w:footnoteReference w:id="22"/>
      </w:r>
      <w:r w:rsidRPr="00AF0255">
        <w:t xml:space="preserve"> (CSDR) s ciljem skraćivanja ciklusa namire u EU-u s dva dana („T+2”) na jedan („T+1”) za transakcije prenosivim vrijednosnim papirima koje se izvršavaju na mjestima trgovanja; ističe da se tom inicijativom EU-u omogućuje da sustigne druge jurisdikcije koje su već dovršile prelazak na T+1 i da se time izbjegavaju neusklađenosti; očekuje da će se prijedlogom povećati učinkovitost i otpornost tržišta kapitala EU-a, među ostalim smanjenjem rizika od neuspjelih namira, bržom dostupnošću vrijednosnih papira i sredstava te smanjenjem zahtjeva za iznos nadoknade; sa zabrinutošću napominje da druge jurisdikcije, kao što su Sjedinjene Američke Države i Indija, razmatraju ili probno uvode cikluse namire T+0; poziva Komisiju da hitno pokrene tehničku i regulatornu procjenu izvedivosti prelaska na ciklus namire T+0, u bliskoj suradnji s tržišnim infrastrukturama, središnjim bankama i sudionicima na tržištu; ističe da bi se daljnjim skraćivanjem ciklusa namire smanjio sistemski rizik, povećala učinkovitost tržišta i ojačala privlačnost tržišta kapitala EU-a na globalnoj razini;</w:t>
      </w:r>
    </w:p>
    <w:p w14:paraId="6CEBD91D" w14:textId="77777777" w:rsidR="00A76C30" w:rsidRPr="00AF0255" w:rsidRDefault="00A76C30" w:rsidP="00A76C30">
      <w:pPr>
        <w:pStyle w:val="NormalHanging12a"/>
        <w:rPr>
          <w:rStyle w:val="BoldItalic"/>
          <w:b w:val="0"/>
          <w:i w:val="0"/>
        </w:rPr>
      </w:pPr>
      <w:r w:rsidRPr="00AF0255">
        <w:t>34.</w:t>
      </w:r>
      <w:r w:rsidRPr="00AF0255">
        <w:tab/>
        <w:t xml:space="preserve">napominje da se pojednostavnjenjem administrativnih postupaka može poboljšati privlačnost EU-a kao odredišta za ulaganja; smatra da bi usklađivanje zakonodavnih okvira država članica, uz istodobno očuvanje nacionalnih nadležnosti i minimalnih standarda, trebalo biti dio programa pojednostavnjenja kako bi se olakšale prekogranične aktivnosti; podsjeća da bi se oslanjanjem na uredbe umjesto na direktive smanjile razlike u provedbi zakonodavstva EU-a, uključujući prekomjernu regulaciju, čime bi se podržao trenutačni proces pojednostavnjenja; poziva Komisiju da primijeni načelo bolje regulative, jamčeći usklađivanje u slučajevima u kojima procjene učinka upućuju na jasnu dodanu vrijednost i rješavajući problem </w:t>
      </w:r>
      <w:proofErr w:type="spellStart"/>
      <w:r w:rsidRPr="00AF0255">
        <w:t>fragmentiranosti</w:t>
      </w:r>
      <w:proofErr w:type="spellEnd"/>
      <w:r w:rsidRPr="00AF0255">
        <w:t>;</w:t>
      </w:r>
      <w:r w:rsidRPr="00AF0255">
        <w:rPr>
          <w:rStyle w:val="BoldItalic"/>
        </w:rPr>
        <w:t xml:space="preserve"> </w:t>
      </w:r>
      <w:r w:rsidRPr="00AF0255">
        <w:t xml:space="preserve">naglašava moguće koristi od pojednostavnjenja okvira EU-a za održivo financiranje, kako je istaknuto u </w:t>
      </w:r>
      <w:proofErr w:type="spellStart"/>
      <w:r w:rsidRPr="00AF0255">
        <w:t>Draghijevu</w:t>
      </w:r>
      <w:proofErr w:type="spellEnd"/>
      <w:r w:rsidRPr="00AF0255">
        <w:t xml:space="preserve"> izvješću, posebno većom jasnoćom i dosljednošću te boljim smjernicama; u tom pogledu prima na znanje skupni paket mjera Komisije za održivost;</w:t>
      </w:r>
    </w:p>
    <w:p w14:paraId="2EF512FD" w14:textId="77777777" w:rsidR="00A76C30" w:rsidRPr="00AF0255" w:rsidRDefault="00A76C30" w:rsidP="00A76C30">
      <w:pPr>
        <w:pStyle w:val="NormalHanging12a"/>
      </w:pPr>
      <w:r w:rsidRPr="00AF0255">
        <w:t>35.</w:t>
      </w:r>
      <w:r w:rsidRPr="00AF0255">
        <w:tab/>
        <w:t xml:space="preserve">smatra da prvi korak prema pojednostavnjenju čini učinkovito zakonodavstvo; poziva Komisiju da osigura uključivanje europskih nadzornih tijela u postupak donošenja odluka o mandatima 2. i 3. razine kako bi se zajamčilo da su ti mandati utemeljeni na dokazima, razmjerni i prilagođeni potrebama financijskog sektora; poziva Komisiju i </w:t>
      </w:r>
      <w:r w:rsidRPr="00AF0255">
        <w:lastRenderedPageBreak/>
        <w:t>europska nadzorna tijela da isto tako ocijene kako smanjiti broj i složenost predstojećih delegiranih akata, provedbenih akata, pitanja i odgovora te smjernica; naglašava da bi se europska nadzorna tijela trebala strogo pridržavati mandata koji im je povjerio europski zakonodavac;</w:t>
      </w:r>
    </w:p>
    <w:p w14:paraId="0AE64BA8" w14:textId="77777777" w:rsidR="00A76C30" w:rsidRPr="00AF0255" w:rsidRDefault="00A76C30" w:rsidP="00A76C30">
      <w:pPr>
        <w:pStyle w:val="NormalHanging12a"/>
      </w:pPr>
      <w:r w:rsidRPr="00AF0255">
        <w:t>36.</w:t>
      </w:r>
      <w:r w:rsidRPr="00AF0255">
        <w:tab/>
        <w:t>pozdravlja nedavno donošenje Akta o uvrštenju, kojim će se poduzećima svih veličina, uključujući MSP-ove, olakšati uvrštavanje na europske burze; ističe da bi odredbe 2. razine iz Akta o uvrštenju trebale doprinijeti pristupačnijem i troškovno učinkovitijem okruženju za uvrštavanje na razini Unije;</w:t>
      </w:r>
    </w:p>
    <w:p w14:paraId="3FF1140B" w14:textId="77777777" w:rsidR="00A76C30" w:rsidRPr="00AF0255" w:rsidRDefault="00A76C30" w:rsidP="00A76C30">
      <w:pPr>
        <w:pStyle w:val="NormalHanging12a"/>
      </w:pPr>
      <w:r w:rsidRPr="00AF0255">
        <w:t>37.</w:t>
      </w:r>
      <w:r w:rsidRPr="00AF0255">
        <w:tab/>
        <w:t xml:space="preserve">poziva Komisiju da riješi problem </w:t>
      </w:r>
      <w:proofErr w:type="spellStart"/>
      <w:r w:rsidRPr="00AF0255">
        <w:t>fragmentiranosti</w:t>
      </w:r>
      <w:proofErr w:type="spellEnd"/>
      <w:r w:rsidRPr="00AF0255">
        <w:t xml:space="preserve"> nacionalnih okvira za nesolventnost i da uspostavi djelotvorne mehanizme za rješavanje prekograničnih sporova; naglašava da su veća pravna konvergencija i </w:t>
      </w:r>
      <w:proofErr w:type="spellStart"/>
      <w:r w:rsidRPr="00AF0255">
        <w:t>postupovna</w:t>
      </w:r>
      <w:proofErr w:type="spellEnd"/>
      <w:r w:rsidRPr="00AF0255">
        <w:t xml:space="preserve"> jasnoća ključne za smanjenje prepreka prekograničnim ulaganjima i za potporu dubljoj integraciji tržišta kapitala EU-a;</w:t>
      </w:r>
    </w:p>
    <w:p w14:paraId="1E9AC3B0" w14:textId="77777777" w:rsidR="00A76C30" w:rsidRPr="00AF0255" w:rsidRDefault="00A76C30" w:rsidP="00A76C30">
      <w:pPr>
        <w:pStyle w:val="NormalHanging12a"/>
        <w:rPr>
          <w:snapToGrid/>
        </w:rPr>
      </w:pPr>
      <w:r w:rsidRPr="00AF0255">
        <w:t>38.</w:t>
      </w:r>
      <w:r w:rsidRPr="00AF0255">
        <w:tab/>
        <w:t>i dalje je predan kako postizanju općih ciljeva okvira za održivo financiranje tako i mobiliziranju javnih i privatnih ulaganja tijekom tranzicija;</w:t>
      </w:r>
      <w:r w:rsidRPr="00AF0255">
        <w:rPr>
          <w:rStyle w:val="BoldItalic"/>
        </w:rPr>
        <w:t xml:space="preserve"> </w:t>
      </w:r>
      <w:r w:rsidRPr="00AF0255">
        <w:t>podsjeća da će prihodi od sustava trgovanja emisijama biti ključni za potporu ulaganjima u svrhe u vezi s klimom i energijom u okviru proračuna kako država članica tako i Unije; prima na znanje da je Komisija na početku sadašnjeg mandata potvrdila svoju ambiciju da ostane globalni predvodnik u održivom financiranju; napominje da Komisija trenutačno provodi kritičko ocjenjivanje svih elemenata okvira za održivo financiranje i da bi mogla iznijeti prijedloge za pojednostavnjenje;</w:t>
      </w:r>
    </w:p>
    <w:p w14:paraId="3251FAAD" w14:textId="77777777" w:rsidR="00A76C30" w:rsidRPr="00AF0255" w:rsidRDefault="00A76C30" w:rsidP="00A76C30">
      <w:pPr>
        <w:pStyle w:val="NormalHanging12a"/>
      </w:pPr>
      <w:r w:rsidRPr="00AF0255">
        <w:t>39.</w:t>
      </w:r>
      <w:r w:rsidRPr="00AF0255">
        <w:tab/>
        <w:t>poziva Komisiju da donese prijedlog za preispitivanje Uredbe o objavama povezanima s održivosti u sektoru financijskih usluga</w:t>
      </w:r>
      <w:r w:rsidRPr="00AF0255">
        <w:rPr>
          <w:rStyle w:val="FootnoteReference"/>
        </w:rPr>
        <w:footnoteReference w:id="23"/>
      </w:r>
      <w:r w:rsidRPr="00AF0255">
        <w:t>, uključujući rješavanje pitanja rizika povezanih s manipulativnim zelenim marketingom;</w:t>
      </w:r>
    </w:p>
    <w:p w14:paraId="0E0A7A1F" w14:textId="77777777" w:rsidR="00A76C30" w:rsidRPr="00AF0255" w:rsidRDefault="00A76C30" w:rsidP="00A76C30">
      <w:pPr>
        <w:pStyle w:val="NormalHanging12a"/>
      </w:pPr>
      <w:r w:rsidRPr="00AF0255">
        <w:t>40.</w:t>
      </w:r>
      <w:r w:rsidRPr="00AF0255">
        <w:tab/>
        <w:t xml:space="preserve">naglašava da visoke cijene energije negativno utječu na konkurentnost EU-a; u tom pogledu pozdravlja prijedlog iz </w:t>
      </w:r>
      <w:proofErr w:type="spellStart"/>
      <w:r w:rsidRPr="00AF0255">
        <w:t>Draghijeva</w:t>
      </w:r>
      <w:proofErr w:type="spellEnd"/>
      <w:r w:rsidRPr="00AF0255">
        <w:t xml:space="preserve"> izvješća; poziva na primjenu načela „ista aktivnost, isto pravilo” i na preispitivanje izuzeća za pomoćne aktivnosti kojim se nefinancijskim poduzećima omogućuje trgovanje na tržištima energetskih izvedenica, a da pritom ne podliježu istoj kontroli kao i financijski subjekti;</w:t>
      </w:r>
    </w:p>
    <w:p w14:paraId="42FB9E60" w14:textId="77777777" w:rsidR="00A76C30" w:rsidRPr="00AF0255" w:rsidRDefault="00A76C30" w:rsidP="00A76C30">
      <w:pPr>
        <w:pStyle w:val="NormalHanging12a"/>
      </w:pPr>
      <w:r w:rsidRPr="00AF0255">
        <w:t>41.</w:t>
      </w:r>
      <w:r w:rsidRPr="00AF0255">
        <w:tab/>
        <w:t>ističe da poduzeća koja pristupaju tržištima kapitala bilježe znatan rast, jer im to omogućuje financiranje projekata za širenje, inovacije i razvoj; tvrdi da dobivanjem sredstava iz šire baze ulagača ta poduzeća mogu diversificirati svoje izvore financiranja; smatra da je poticanje inicijalnih javnih ponuda ključno za rast europskih poduzeća i daljnju integraciju tržišta kapitala EU-a; traži provedbu mjera kojima se smanjuju regulatorne prepreke i poboljšava pristup kapitalu, osiguravajući da MSP-ovi mogu lako pristupiti tržištima kapitala bez prekomjernih troškova ili složenosti;</w:t>
      </w:r>
    </w:p>
    <w:p w14:paraId="49F79BAC" w14:textId="77777777" w:rsidR="00A76C30" w:rsidRPr="00AF0255" w:rsidRDefault="00A76C30" w:rsidP="00A76C30">
      <w:pPr>
        <w:pStyle w:val="NormalHanging12a"/>
      </w:pPr>
      <w:r w:rsidRPr="00AF0255">
        <w:t>42.</w:t>
      </w:r>
      <w:r w:rsidRPr="00AF0255">
        <w:tab/>
        <w:t>izražava bojazan da će bez jasne i koordinirane strategije broj inicijalnih javnih ponuda u EU-u ostati ograničen, što će ometati potencijal europskih poduzeća za rast i smanjiti privlačnost tržišta EU-a za globalne ulagače;</w:t>
      </w:r>
    </w:p>
    <w:p w14:paraId="3B1BE44F" w14:textId="77777777" w:rsidR="00A76C30" w:rsidRPr="00AF0255" w:rsidRDefault="00A76C30" w:rsidP="00A76C30">
      <w:pPr>
        <w:pStyle w:val="NormalHanging12a"/>
      </w:pPr>
      <w:r w:rsidRPr="00AF0255">
        <w:lastRenderedPageBreak/>
        <w:t>43.</w:t>
      </w:r>
      <w:r w:rsidRPr="00AF0255">
        <w:tab/>
        <w:t xml:space="preserve">podsjeća da se uredbama EU-a, kao što su Uredba o prospektu i </w:t>
      </w:r>
      <w:proofErr w:type="spellStart"/>
      <w:r w:rsidRPr="00AF0255">
        <w:t>MiFID</w:t>
      </w:r>
      <w:proofErr w:type="spellEnd"/>
      <w:r w:rsidRPr="00AF0255">
        <w:t> II, poboljšala transparentnost i učinkovitost tržišta, iako se može učiniti više kako bi se pojednostavnili postupci za poduzeća koja žele izaći na burzu; ističe potrebu za daljnjim usklađivanjem tržišnih praksi u državama članicama kako bi se stvorilo istinski jedinstveno tržište kapitala; brani primjenu najboljih praksi na razini EU-a;</w:t>
      </w:r>
    </w:p>
    <w:p w14:paraId="381287D6" w14:textId="77777777" w:rsidR="00A76C30" w:rsidRPr="00AF0255" w:rsidRDefault="00A76C30" w:rsidP="00A76C30">
      <w:pPr>
        <w:pStyle w:val="NormalHanging12a"/>
        <w:rPr>
          <w:snapToGrid/>
        </w:rPr>
      </w:pPr>
      <w:r w:rsidRPr="00AF0255">
        <w:t>44.</w:t>
      </w:r>
      <w:r w:rsidRPr="00AF0255">
        <w:tab/>
        <w:t>napominje da postojeći porezni okvir Unije, koji se sastoji od 27 različitih sustava poreza na dobit, može stvarati prepreke za poduzeća i prekogranična ulaganja na unutarnjem tržištu</w:t>
      </w:r>
      <w:r w:rsidRPr="00AF0255">
        <w:rPr>
          <w:rStyle w:val="FootnoteReference"/>
        </w:rPr>
        <w:footnoteReference w:id="24"/>
      </w:r>
      <w:r w:rsidRPr="00AF0255">
        <w:t>; smatra da bi inovativna poduzeća mogla, u relevantnim slučajevima, imati koristi od jedinstvenog skupa pravila na razini EU-a i zajedničkih praksi; u tom smislu prima na znanje prijedlog naslovljen „Poslovanje u Europi: Okvir za oporezivanje dobiti”, kojim se uspostavlja jedinstveni skup pravila za izračun osnovice poreza koju poduzeća plaćaju na dobit; podsjeća da je nekoliko zakonodavnih inicijativa u području oporezivanja i dalje na čekanju te da je važno zajamčiti sigurnost, predvidljivost i stabilnost; prima na znanje Komisijina pojašnjenja o tome koje inicijative u području oporezivanja treba povući;</w:t>
      </w:r>
    </w:p>
    <w:p w14:paraId="39F1EE1D" w14:textId="77777777" w:rsidR="00A76C30" w:rsidRPr="00AF0255" w:rsidRDefault="00A76C30" w:rsidP="00A76C30">
      <w:pPr>
        <w:pStyle w:val="NormalHanging12a"/>
      </w:pPr>
      <w:r w:rsidRPr="00AF0255">
        <w:t>45.</w:t>
      </w:r>
      <w:r w:rsidRPr="00AF0255">
        <w:tab/>
        <w:t xml:space="preserve">podsjeća da je većina poreznih pitanja u nacionalnoj nadležnosti država članica; naglašava međutim da bi </w:t>
      </w:r>
      <w:proofErr w:type="spellStart"/>
      <w:r w:rsidRPr="00AF0255">
        <w:t>koordiniraniji</w:t>
      </w:r>
      <w:proofErr w:type="spellEnd"/>
      <w:r w:rsidRPr="00AF0255">
        <w:t xml:space="preserve"> okvir za oporezivanje dobiti mogao ne samo pomoći u smanjenju troškova usklađivanja i administrativnog opterećenja, već i stvoriti jednake uvjete za poduzeća koja posluju na unutarnjem tržištu, potaknuti širenje, povećati pravnu sigurnost te potaknuti ulaganja i rast u Uniji; apelira na države članice da posebno ubrzaju pregovore o pravilima amortizacije; poziva Komisiju da istraži i procijeni koristi i nedostatke 28. režima;</w:t>
      </w:r>
    </w:p>
    <w:p w14:paraId="1148B26B" w14:textId="77777777" w:rsidR="00A76C30" w:rsidRPr="00AF0255" w:rsidRDefault="00A76C30" w:rsidP="00A76C30">
      <w:pPr>
        <w:pStyle w:val="NormalHanging12a"/>
      </w:pPr>
      <w:r w:rsidRPr="00AF0255">
        <w:t>46.</w:t>
      </w:r>
      <w:r w:rsidRPr="00AF0255">
        <w:tab/>
        <w:t>poziva Komisiju da provede mjere kojima se i domaće i vanjske ulagače potiče na sudjelovanje na europskim tržištima kapitala; poziva Komisiju da pruži tehničku potporu državama članicama u osmišljavanju i provedbi poreznih politika kojima se potiču ulaganja;</w:t>
      </w:r>
    </w:p>
    <w:p w14:paraId="2CF16B38" w14:textId="77777777" w:rsidR="00A76C30" w:rsidRPr="00AF0255" w:rsidRDefault="00A76C30" w:rsidP="00A76C30">
      <w:pPr>
        <w:pStyle w:val="NormalHanging12a"/>
      </w:pPr>
      <w:r w:rsidRPr="00AF0255">
        <w:t>47.</w:t>
      </w:r>
      <w:r w:rsidRPr="00AF0255">
        <w:tab/>
        <w:t xml:space="preserve">prima na znanje preporuku iz </w:t>
      </w:r>
      <w:proofErr w:type="spellStart"/>
      <w:r w:rsidRPr="00AF0255">
        <w:t>Draghijeva</w:t>
      </w:r>
      <w:proofErr w:type="spellEnd"/>
      <w:r w:rsidRPr="00AF0255">
        <w:t xml:space="preserve"> izvješća o pružanju poreznih poticaja za potporu razvoju strateških sektora; smatra da bi se poreznim poticajima povezanima s investicijskim proizvodima trebala dati prednost ulaganjima u Europi kako bi se poticala europska konkurentnost;</w:t>
      </w:r>
    </w:p>
    <w:p w14:paraId="44AB0D99" w14:textId="77777777" w:rsidR="00A76C30" w:rsidRPr="00AF0255" w:rsidRDefault="00A76C30" w:rsidP="00A76C30">
      <w:pPr>
        <w:pStyle w:val="NormalHanging12a"/>
      </w:pPr>
      <w:r w:rsidRPr="00AF0255">
        <w:t>48.</w:t>
      </w:r>
      <w:r w:rsidRPr="00AF0255">
        <w:tab/>
        <w:t xml:space="preserve">pozdravlja smjernice Komisije o oblikovanju poreznih poticaja, kao prvi korak za smanjenje složenosti i </w:t>
      </w:r>
      <w:proofErr w:type="spellStart"/>
      <w:r w:rsidRPr="00AF0255">
        <w:t>fragmentiranosti</w:t>
      </w:r>
      <w:proofErr w:type="spellEnd"/>
      <w:r w:rsidRPr="00AF0255">
        <w:t xml:space="preserve"> unutarnjeg tržišta, uz poštovanje nacionalnih nadležnosti država članica;</w:t>
      </w:r>
    </w:p>
    <w:p w14:paraId="713580A5" w14:textId="77777777" w:rsidR="00A76C30" w:rsidRPr="00AF0255" w:rsidRDefault="00A76C30" w:rsidP="00A76C30">
      <w:pPr>
        <w:pStyle w:val="NormalHanging12a"/>
      </w:pPr>
      <w:r w:rsidRPr="00AF0255">
        <w:t>49.</w:t>
      </w:r>
      <w:r w:rsidRPr="00AF0255">
        <w:tab/>
        <w:t>poziva Komisiju da ukloni postojeće prepreke za prekogranična ulaganja malih ulagača, kao što su pretjerano složeni postupci povrata poreza po odbitku i nedostatak minimalnih standarda na razini EU-a za glavne skupštine dioničara;</w:t>
      </w:r>
    </w:p>
    <w:p w14:paraId="2C952085" w14:textId="77777777" w:rsidR="00A76C30" w:rsidRPr="00AF0255" w:rsidRDefault="00A76C30" w:rsidP="00A76C30">
      <w:pPr>
        <w:pStyle w:val="Normal12a24b"/>
        <w:spacing w:before="0"/>
        <w:ind w:left="567" w:hanging="567"/>
      </w:pPr>
      <w:r w:rsidRPr="00AF0255">
        <w:t>50.</w:t>
      </w:r>
      <w:r w:rsidRPr="00AF0255">
        <w:tab/>
        <w:t xml:space="preserve">naglašava da je integracija tržišta kapitala nužan stup </w:t>
      </w:r>
      <w:proofErr w:type="spellStart"/>
      <w:r w:rsidRPr="00AF0255">
        <w:t>Unijine</w:t>
      </w:r>
      <w:proofErr w:type="spellEnd"/>
      <w:r w:rsidRPr="00AF0255">
        <w:t xml:space="preserve"> strategije ulaganja, koja se, ako je to učinkovito, može dopuniti pažljivo osmišljenim poticajima za dugoročne proizvode kako bi se postigao što veći učinak;</w:t>
      </w:r>
    </w:p>
    <w:p w14:paraId="700D5B6A" w14:textId="77777777" w:rsidR="00A76C30" w:rsidRPr="00AF0255" w:rsidRDefault="00A76C30" w:rsidP="00A76C30">
      <w:pPr>
        <w:pStyle w:val="NormalHanging12a"/>
        <w:rPr>
          <w:snapToGrid/>
        </w:rPr>
      </w:pPr>
      <w:r w:rsidRPr="00AF0255">
        <w:lastRenderedPageBreak/>
        <w:t>51.</w:t>
      </w:r>
      <w:r w:rsidRPr="00AF0255">
        <w:tab/>
        <w:t>poziva Komisiju da izradi prijedloge usmjerene na olakšavanje usmjeravanja štednje na produktivna ulaganja putem dugoročnih štednih proizvoda, oslanjajući se na nacionalna iskustva raširene upotrebe među malim ulagačima; traži od Komisije da istraži rješenja i radne ideje, kao što je stvaranje investicijskog štednog računa EU-a koji bi bio dostupan svim građanima EU-a, ili oznake na razini EU-a za investicijske proizvode prikladne za male ulagače na temelju zajedničkih kriterija ili karakteristika kao što su jednostavni proizvodi, razmjerni troškovi, usmjerenost na dugoročna ulaganja, raspodjela imovine i tehnike ublažavanja rizika; potiče Komisiju da uvede pojednostavnjen i racionaliziran segment savjetovanja ili segment isključivo vođenog izvršenja za proizvode koji su označeni kao osnovni i jednostavni; posebno traži od Komisije da procijeni dodanu vrijednost i djelotvornost oznake za ulaganja kojima se nude prilike za nagrađivanje ulagača na globalnoj razini ili koja su održiva i uglavnom se nalaze u EU-u (oznaka „</w:t>
      </w:r>
      <w:proofErr w:type="spellStart"/>
      <w:r w:rsidRPr="00AF0255">
        <w:t>Invest</w:t>
      </w:r>
      <w:proofErr w:type="spellEnd"/>
      <w:r w:rsidRPr="00AF0255">
        <w:t>” ili „</w:t>
      </w:r>
      <w:proofErr w:type="spellStart"/>
      <w:r w:rsidRPr="00AF0255">
        <w:t>Made</w:t>
      </w:r>
      <w:proofErr w:type="spellEnd"/>
      <w:r w:rsidRPr="00AF0255">
        <w:t xml:space="preserve"> In Europe”) te interes poduzeća i građana za takvu oznaku; naglašava da bi cilj takve inicijative trebao biti ostvarivanje dodatnih ušteda uz istodobnu zaštitu i, ako je moguće, poboljšanje raznolikosti proizvoda, distributera i tržišnih struktura diljem Unije; napominje da neke države članice sudjeluju u inicijativi „Europa voljnih”; potiče Komisiju i države članice da budu što ambicioznije i da nastupaju kao jedna cjelina;</w:t>
      </w:r>
    </w:p>
    <w:p w14:paraId="4B78EE30" w14:textId="77777777" w:rsidR="00A76C30" w:rsidRPr="00AF0255" w:rsidRDefault="00A76C30" w:rsidP="00A76C30">
      <w:pPr>
        <w:pStyle w:val="NormalHanging12a"/>
      </w:pPr>
      <w:r w:rsidRPr="00AF0255">
        <w:t>52.</w:t>
      </w:r>
      <w:r w:rsidRPr="00AF0255">
        <w:tab/>
        <w:t>prima na znanje da je sedam država članica u suradnji sa svojim nacionalnim financijskim sektorima pokrenulo europsku oznaku dugoročne štednje „</w:t>
      </w:r>
      <w:proofErr w:type="spellStart"/>
      <w:r w:rsidRPr="00AF0255">
        <w:t>Finance</w:t>
      </w:r>
      <w:proofErr w:type="spellEnd"/>
      <w:r w:rsidRPr="00AF0255">
        <w:t xml:space="preserve"> Europe”</w:t>
      </w:r>
      <w:r w:rsidRPr="00AF0255">
        <w:rPr>
          <w:rStyle w:val="FootnoteReference"/>
        </w:rPr>
        <w:footnoteReference w:id="25"/>
      </w:r>
      <w:r w:rsidRPr="00AF0255">
        <w:t>; napominje da kriteriji za takvu oznaku uključuju dodjelu portfelja u kojima se najmanje 70 % imovine ulaže u europska poduzeća, minimalno trajanje ulaganja je pet godina, sa znatnim dijelom ulaganja u vlasnički kapital i mogućim poreznim poticajima osmišljenima na nacionalnoj razini;</w:t>
      </w:r>
    </w:p>
    <w:p w14:paraId="79568ADD" w14:textId="77777777" w:rsidR="00A76C30" w:rsidRPr="00AF0255" w:rsidRDefault="00A76C30" w:rsidP="00A76C30">
      <w:pPr>
        <w:pStyle w:val="NormalHanging12a"/>
      </w:pPr>
      <w:r w:rsidRPr="00AF0255">
        <w:t>53.</w:t>
      </w:r>
      <w:r w:rsidRPr="00AF0255">
        <w:tab/>
        <w:t>podsjeća da postojeći paneuropski proizvodi, kao što su europski fondovi za dugoročna ulaganja (ELTIF) i paneuropski osobni mirovinski proizvodi (PEPP), dosad nisu naišli na znatno zanimanje među malim ulagačima; prima na znanje trenutačne reforme usmjerene na jačanje njihove privlačnosti, ali naglašava da iskustvo pokazuje da je regulatorni dizajn sam po sebi nedovoljan da potakne upotrebu;</w:t>
      </w:r>
    </w:p>
    <w:p w14:paraId="081A41EA" w14:textId="77777777" w:rsidR="00A76C30" w:rsidRPr="00AF0255" w:rsidRDefault="00A76C30" w:rsidP="00A76C30">
      <w:pPr>
        <w:pStyle w:val="NormalHanging12a"/>
      </w:pPr>
      <w:r w:rsidRPr="00AF0255">
        <w:t>54.</w:t>
      </w:r>
      <w:r w:rsidRPr="00AF0255">
        <w:tab/>
        <w:t>naglašava da je snažna zaštita potrošača presudna za poticanje povjerenja i sudjelovanja u europskim investicijskim proizvodima; ističe potrebu za jasnim objavljivanjem informacija, transparentnim strukturama s malim naknadama, pristupom osnovnim financijskim uslugama radi promicanja financijske uključenosti, čvrstom regulacijom digitalnih alata kao što je umjetna inteligencija koje financijske institucije upotrebljavaju pri prodaji europskih financijskih proizvoda i pružanju savjeta o njima te za čvrstom regulativom i normizacijom financijskih proizvoda, uz ciljane inicijative za financijsko obrazovanje;</w:t>
      </w:r>
    </w:p>
    <w:p w14:paraId="725F6AC6" w14:textId="77777777" w:rsidR="00A76C30" w:rsidRPr="00AF0255" w:rsidRDefault="00A76C30" w:rsidP="00A76C30">
      <w:pPr>
        <w:pStyle w:val="NormalHanging12a"/>
      </w:pPr>
      <w:r w:rsidRPr="00AF0255">
        <w:lastRenderedPageBreak/>
        <w:t>55.</w:t>
      </w:r>
      <w:r w:rsidRPr="00AF0255">
        <w:tab/>
        <w:t>potiče Komisiju da podrži razvoj europske skupine indeksa u uniji tržišta kapitala</w:t>
      </w:r>
      <w:r w:rsidRPr="00AF0255">
        <w:rPr>
          <w:rStyle w:val="FootnoteReference"/>
        </w:rPr>
        <w:footnoteReference w:id="26"/>
      </w:r>
      <w:r w:rsidRPr="00AF0255">
        <w:t xml:space="preserve"> koja će se temeljiti na podacima koji će biti dostupni u okviru buduće konsolidirane baze podataka na razini EU-a, čime bi se osigurala veća vidljivost manjim i manje likvidnim nacionalnim tržištima u EU-u te bi se europskim građanima omogućilo da jednostavno ulažu u vlasničke instrumente srednje i male kapitalizacije u svim državama članicama EU-a; smatra da bi ta skupina indeksa trebala obuhvaćati sve dionice koje kotiraju na burzi u EU-u i omogućiti </w:t>
      </w:r>
      <w:proofErr w:type="spellStart"/>
      <w:r w:rsidRPr="00AF0255">
        <w:t>podindekse</w:t>
      </w:r>
      <w:proofErr w:type="spellEnd"/>
      <w:r w:rsidRPr="00AF0255">
        <w:t xml:space="preserve"> za pojedinačne zemlje, regije i sektore kako bi se zadovoljile različite potrebe ulagača, izdavatelja i njihovih razmjena; napominje da bi izrada indeksa i upravljanje njima, kao i njihovo korištenje od strane sudionika na tržištu, trebali biti troškovno učinkoviti kako bi se opterećenje sudionika na tržištu svelo na najmanju moguću mjeru, a u najvećoj mogućoj mjeri povećali pozitivni sekundarni učinci, kao što je povećano uvrštavanje na burzu i novi financijski proizvodi;</w:t>
      </w:r>
    </w:p>
    <w:p w14:paraId="519013AE" w14:textId="77777777" w:rsidR="00A76C30" w:rsidRPr="00AF0255" w:rsidRDefault="00A76C30" w:rsidP="00A76C30">
      <w:pPr>
        <w:pStyle w:val="NormalHanging12a"/>
      </w:pPr>
      <w:r w:rsidRPr="00AF0255">
        <w:t>56.</w:t>
      </w:r>
      <w:r w:rsidRPr="00AF0255">
        <w:tab/>
        <w:t>ističe važnost boljeg pristupa ažuriranim cijenama i informacijama o proizvodima za male ulagače, kao i mogućnostima za prilagođene ponude; poziva na donošenje mjera kako bi te informacije bile dostupnije;</w:t>
      </w:r>
    </w:p>
    <w:p w14:paraId="1F4FEDD4" w14:textId="77777777" w:rsidR="00A76C30" w:rsidRPr="00AF0255" w:rsidRDefault="00A76C30" w:rsidP="00A76C30">
      <w:pPr>
        <w:pStyle w:val="NormalHanging12a"/>
      </w:pPr>
      <w:r w:rsidRPr="00AF0255">
        <w:t>57.</w:t>
      </w:r>
      <w:r w:rsidRPr="00AF0255">
        <w:tab/>
        <w:t>podsjeća na to da mirovinski sustavi i njihovi modeli financiranja uvelike ovise o nacionalnim posebnostima; naglašava da mirovine pomažu u zaštiti umirovljenika, gradnji tržišta kapitala i mobiliziranju sustava ulaganja, te da se prednost mora dati stabilnosti, solidarnosti i osiguravanju primjerenih i predvidljivih prihoda nakon umirovljenja; ističe da bi se pri razvoju mirovinskih proizvoda iz drugog i trećeg stupa trebale uzimati u obzir snažne zaštitne mjere za male štediše;</w:t>
      </w:r>
    </w:p>
    <w:p w14:paraId="58639BE8" w14:textId="77777777" w:rsidR="00A76C30" w:rsidRPr="00AF0255" w:rsidRDefault="00A76C30" w:rsidP="00A76C30">
      <w:pPr>
        <w:pStyle w:val="NormalHanging12a"/>
      </w:pPr>
      <w:r w:rsidRPr="00AF0255">
        <w:t>58.</w:t>
      </w:r>
      <w:r w:rsidRPr="00AF0255">
        <w:tab/>
        <w:t>smatra da sustavi za praćenje mirovina mogu europskim građanima pružiti jasniji pregled mirovinskih prava koja mogu očekivati u mirovini; potiče Komisiju da osigura da sve države članice uvedu jednostavne i transparentne sustave za praćenje mirovina, uz lak i slobodan pristup za građane;</w:t>
      </w:r>
    </w:p>
    <w:p w14:paraId="0060EE79" w14:textId="77777777" w:rsidR="00A76C30" w:rsidRPr="00AF0255" w:rsidRDefault="00A76C30" w:rsidP="00A76C30">
      <w:pPr>
        <w:pStyle w:val="NormalHanging12a"/>
      </w:pPr>
      <w:r w:rsidRPr="00AF0255">
        <w:t>59.</w:t>
      </w:r>
      <w:r w:rsidRPr="00AF0255">
        <w:tab/>
        <w:t xml:space="preserve">naglašava da posrednici kao što su mirovinski fondovi i osiguravajuća društva imaju ključnu ulogu u usmjeravanju privatne štednje u produktivna ulaganja; očekuje da će Komisija donijeti ambiciozan delegirani akt o dugoročnim jamstvima i dugoročnim vlasničkim instrumentima u okviru direktive Solventnost II koji u potpunosti odražava dogovor koji je </w:t>
      </w:r>
      <w:proofErr w:type="spellStart"/>
      <w:r w:rsidRPr="00AF0255">
        <w:t>suzakonodavac</w:t>
      </w:r>
      <w:proofErr w:type="spellEnd"/>
      <w:r w:rsidRPr="00AF0255">
        <w:t xml:space="preserve"> postigao o izmjeni direktive Solventnost II i u kojem se uzimaju u obzir relevantne preporuke EIOPA-e;</w:t>
      </w:r>
    </w:p>
    <w:p w14:paraId="21A94D9C" w14:textId="77777777" w:rsidR="00A76C30" w:rsidRPr="00AF0255" w:rsidRDefault="00A76C30" w:rsidP="00A76C30">
      <w:pPr>
        <w:pStyle w:val="NormalHanging12a"/>
        <w:rPr>
          <w:snapToGrid/>
        </w:rPr>
      </w:pPr>
      <w:r w:rsidRPr="00AF0255">
        <w:t>60.</w:t>
      </w:r>
      <w:r w:rsidRPr="00AF0255">
        <w:tab/>
        <w:t>očekuje od Komisije da razvije rješenja koja omogućuju poduzećima, uključujući rastuća start-</w:t>
      </w:r>
      <w:proofErr w:type="spellStart"/>
      <w:r w:rsidRPr="00AF0255">
        <w:t>up</w:t>
      </w:r>
      <w:proofErr w:type="spellEnd"/>
      <w:r w:rsidRPr="00AF0255">
        <w:t xml:space="preserve"> poduzeća, </w:t>
      </w:r>
      <w:proofErr w:type="spellStart"/>
      <w:r w:rsidRPr="00AF0255">
        <w:t>mikropoduzeća</w:t>
      </w:r>
      <w:proofErr w:type="spellEnd"/>
      <w:r w:rsidRPr="00AF0255">
        <w:t xml:space="preserve"> i MSP-ove, da se razvijaju i uvrste na burzu Unije; stoga traži da se u buduću strategiju EU-a za start-</w:t>
      </w:r>
      <w:proofErr w:type="spellStart"/>
      <w:r w:rsidRPr="00AF0255">
        <w:t>up</w:t>
      </w:r>
      <w:proofErr w:type="spellEnd"/>
      <w:r w:rsidRPr="00AF0255">
        <w:t xml:space="preserve"> i </w:t>
      </w:r>
      <w:proofErr w:type="spellStart"/>
      <w:r w:rsidRPr="00AF0255">
        <w:t>scale-up</w:t>
      </w:r>
      <w:proofErr w:type="spellEnd"/>
      <w:r w:rsidRPr="00AF0255">
        <w:t xml:space="preserve"> poduzeća uključi poglavlje o financiranju, posebno o poduzetničkom kapitalu, u kojem se navode odgovarajući poticaji za europska start-</w:t>
      </w:r>
      <w:proofErr w:type="spellStart"/>
      <w:r w:rsidRPr="00AF0255">
        <w:t>up</w:t>
      </w:r>
      <w:proofErr w:type="spellEnd"/>
      <w:r w:rsidRPr="00AF0255">
        <w:t xml:space="preserve"> i </w:t>
      </w:r>
      <w:proofErr w:type="spellStart"/>
      <w:r w:rsidRPr="00AF0255">
        <w:t>scale-up</w:t>
      </w:r>
      <w:proofErr w:type="spellEnd"/>
      <w:r w:rsidRPr="00AF0255">
        <w:t xml:space="preserve"> poduzeća kako bi ih se odvratilo od premještanja u zemlje izvan EU-a i čiji je cilj stvaranje privlačnog i otvorenog ulagačkog okruženja koje pozdravlja i ulagače iz EU-a i globalne ulagače koji žele ulagati u Uniji; ističe važnost privlačenja talenata u EU kako bi se osigurali dugoročan gospodarski rast, inovacije i globalna konkurentnost; ističe potrebu za produbljivanjem integracije primarnih tržišta EU-a unapređenjem regulatorne konvergencije i </w:t>
      </w:r>
      <w:r w:rsidRPr="00AF0255">
        <w:lastRenderedPageBreak/>
        <w:t>olakšavanjem prekograničnog uvrštavanja na burzu; uviđa da su rastuća tržišta MSP-ova ključna točka za ulaz takvih poduzeća na tržišta kapitala te da bi ih trebalo učiniti dostupnijima pojednostavnjenjem zahtjeva;</w:t>
      </w:r>
    </w:p>
    <w:p w14:paraId="77130F3E" w14:textId="77777777" w:rsidR="00A76C30" w:rsidRPr="00AF0255" w:rsidRDefault="00A76C30" w:rsidP="00A76C30">
      <w:pPr>
        <w:pStyle w:val="NormalHanging12a"/>
      </w:pPr>
      <w:r w:rsidRPr="00AF0255">
        <w:t>61.</w:t>
      </w:r>
      <w:r w:rsidRPr="00AF0255">
        <w:tab/>
        <w:t>poziva na ciljanu potporu na razini EU-a kako bi se osiguralo da rezultati istraživanja učinkovitije dođu do tržišta, posebno u državama članicama sa slabijim inovacijskim ekosustavima; ističe važnost povezivanja istraživačkih institucija sa start-</w:t>
      </w:r>
      <w:proofErr w:type="spellStart"/>
      <w:r w:rsidRPr="00AF0255">
        <w:t>up</w:t>
      </w:r>
      <w:proofErr w:type="spellEnd"/>
      <w:r w:rsidRPr="00AF0255">
        <w:t xml:space="preserve"> poduzećima i industrijom;</w:t>
      </w:r>
    </w:p>
    <w:p w14:paraId="313CC73E" w14:textId="77777777" w:rsidR="00A76C30" w:rsidRPr="00AF0255" w:rsidRDefault="00A76C30" w:rsidP="00A76C30">
      <w:pPr>
        <w:pStyle w:val="NormalHanging12a"/>
      </w:pPr>
      <w:r w:rsidRPr="00AF0255">
        <w:t>62.</w:t>
      </w:r>
      <w:r w:rsidRPr="00AF0255">
        <w:tab/>
        <w:t>podržava izlazak ulagača iz privatnih poduzeća promicanjem mehanizama kao što je multilateralno povremeno trgovanje privatnim dionicama, čime se poboljšava likvidnost i transparentnost te se ulagačima u ranoj fazi omogućuje da ostvare povrat; smatra da bi takvi mehanizmi trebali biti posebno osmišljeni kako bi se olakšalo prekogranično trgovanje u svim državama članicama EU-a, uz istodobno očuvanje prava dioničara, posebno manjinskih dioničara;</w:t>
      </w:r>
    </w:p>
    <w:p w14:paraId="03B469F9" w14:textId="77777777" w:rsidR="00A76C30" w:rsidRPr="00AF0255" w:rsidRDefault="00A76C30" w:rsidP="00A76C30">
      <w:pPr>
        <w:pStyle w:val="NormalHanging12a"/>
      </w:pPr>
      <w:r w:rsidRPr="00AF0255">
        <w:t>63.</w:t>
      </w:r>
      <w:r w:rsidRPr="00AF0255">
        <w:tab/>
        <w:t>poziva Komisiju da prednost da ambicioznom programu unije za štednju i ulaganja kojim se potiču privatna ulaganja, zadržava financijska stabilnost i zaštita potrošača, daje prednost pristupu poduzetničkom kapitalu i vlasničkim ulaganjima kako bi se MSP-ovima omogućila veća integracija na tržište, osigurava pristup tržištima za male ulagače, potiče financijska pismenost i smanjuje prekomjerno oslanjanje na bankovno kreditiranje, uz istodobno pružanje poticaja za održive aktivnosti;</w:t>
      </w:r>
    </w:p>
    <w:p w14:paraId="3B521DC5" w14:textId="77777777" w:rsidR="00A76C30" w:rsidRPr="00AF0255" w:rsidRDefault="00A76C30" w:rsidP="00A76C30">
      <w:pPr>
        <w:pStyle w:val="NormalHanging12a"/>
      </w:pPr>
      <w:r w:rsidRPr="00AF0255">
        <w:t>64.</w:t>
      </w:r>
      <w:r w:rsidRPr="00AF0255">
        <w:tab/>
        <w:t xml:space="preserve">smatra da je povećanje financijske osviještenosti i povjerenja ključno za stvaranje uspješne unije tržišta kapitala i mobilizaciju privatnih ulaganja; sa zabrinutošću primjećuje da je financijska pismenost i dalje mala diljem Unije, pri čemu samo 18 % građana EU-a pokazuje visoku razinu financijske pismenosti; ističe da se razine znanja znatno razlikuju među državama članicama i demografskim skupinama; poziva na stavljanje jasnijeg naglaska na financijsku pismenost jer je potrebno poboljšati razumijevanje investicijskih proizvoda među građanima EU-a; </w:t>
      </w:r>
    </w:p>
    <w:p w14:paraId="584CDDC4" w14:textId="77777777" w:rsidR="00A76C30" w:rsidRPr="00AF0255" w:rsidRDefault="00A76C30" w:rsidP="00A76C30">
      <w:pPr>
        <w:pStyle w:val="NormalHanging12a"/>
      </w:pPr>
      <w:r w:rsidRPr="00AF0255">
        <w:t>65.</w:t>
      </w:r>
      <w:r w:rsidRPr="00AF0255">
        <w:tab/>
        <w:t>smatra da bi trebalo poticati inicijative za povećano financijsko obrazovanje unutar EU-a kako bi građani bolje razumjeli prednosti sudjelovanja na tržištima kapitala i kako bi se pomoglo pojedinačnim ulagačima da donose dobro informirane odluke o ulaganju; pozdravlja prijedlog Komisije za novu strategiju i poziva na to da ona bude dovoljno ambiciozna kako bi se znatno poboljšala razina obrazovanja diljem Europe i osigurale trajne promjene; ističe potrebu za hitnim donošenjem mjera za promicanje pristupačnijeg i pravednijeg financijskog obrazovanja diljem EU-a, uz poštovanje nacionalnih nadležnosti; smatra da bi Komisija i države članice trebale financirati inicijative organizacija potrošača, udruženja pojedinačnih ulagača i organizacija dioničara kojima se promiče razumijevanje i potiče sudjelovanje malih ulagača na tržištima kapitala; potiče Komisiju da podrži razvoj neovisnih digitalnih alata prilagođenih korisnicima koji bi građanima mogli omogućiti da lako usporede različite značajke i svojstva investicijskih proizvoda dostupnih na tržištu;</w:t>
      </w:r>
    </w:p>
    <w:p w14:paraId="17E481D2" w14:textId="77777777" w:rsidR="00A76C30" w:rsidRPr="00AF0255" w:rsidRDefault="00A76C30" w:rsidP="00A76C30">
      <w:pPr>
        <w:pStyle w:val="NormalHanging12a"/>
      </w:pPr>
      <w:r w:rsidRPr="00AF0255">
        <w:t>66.</w:t>
      </w:r>
      <w:r w:rsidRPr="00AF0255">
        <w:tab/>
        <w:t xml:space="preserve">naglašava da inicijative za financijsko obrazovanje ne mogu zamijeniti snažan okvir za zaštitu ulagača; ističe da bi učinak inicijativa za financijsku pismenost mogao biti ograničen s obzirom na neizbježna ograničenja u pogledu ponašanja i kognitivne pristranosti koje utječu na pojedinačne ulagače te brzinu inovacija i veliku složenost financijskih tržišta; smatra da bi inicijative na razini EU-a i država članica za potporu </w:t>
      </w:r>
      <w:r w:rsidRPr="00AF0255">
        <w:lastRenderedPageBreak/>
        <w:t>standardizaciji i pojednostavnjenju financijskih proizvoda mogle pomoći građanima EU-a da bolje razumiju investicijske proizvode i poboljšati njihovu usporedivost;</w:t>
      </w:r>
    </w:p>
    <w:p w14:paraId="3455120F" w14:textId="77777777" w:rsidR="00A76C30" w:rsidRPr="00AF0255" w:rsidRDefault="00A76C30" w:rsidP="00A76C30">
      <w:pPr>
        <w:pStyle w:val="NormalHanging12a"/>
      </w:pPr>
      <w:r w:rsidRPr="00AF0255">
        <w:t>67.</w:t>
      </w:r>
      <w:r w:rsidRPr="00AF0255">
        <w:tab/>
        <w:t>poziva Komisiju i države članice da se više usredotoče na digitalizaciju u sektoru financijskih usluga kako bi se iskoristile nove mogućnosti koje nude umjetna inteligencija, razmjena podataka i nove tehnologije te kako bi ostale konkurentne na međunarodnoj razini;</w:t>
      </w:r>
    </w:p>
    <w:p w14:paraId="3EA288D7" w14:textId="77777777" w:rsidR="00A76C30" w:rsidRPr="00AF0255" w:rsidRDefault="00A76C30" w:rsidP="00A76C30">
      <w:pPr>
        <w:pStyle w:val="NormalHanging12a"/>
      </w:pPr>
      <w:r w:rsidRPr="00AF0255">
        <w:t>68.</w:t>
      </w:r>
      <w:r w:rsidRPr="00AF0255">
        <w:tab/>
        <w:t>poziva Komisiju da olakša dugoročna vlasnička ulaganja institucijskih ulagača, uključujući banke, osiguravatelje, mirovinske fondove i investicijske fondove;</w:t>
      </w:r>
    </w:p>
    <w:p w14:paraId="7C686D34" w14:textId="77777777" w:rsidR="00A76C30" w:rsidRPr="00AF0255" w:rsidRDefault="00A76C30" w:rsidP="00A76C30">
      <w:pPr>
        <w:pStyle w:val="NormalHanging12a"/>
      </w:pPr>
      <w:r w:rsidRPr="00AF0255">
        <w:t>69.</w:t>
      </w:r>
      <w:r w:rsidRPr="00AF0255">
        <w:tab/>
        <w:t>podržava uspostavu punopravnog europskog sustava osiguranja depozita; potvrđuje da su podjela rizika i smanjenje rizika međusobno povezani;</w:t>
      </w:r>
    </w:p>
    <w:p w14:paraId="4D326092" w14:textId="46DB2005" w:rsidR="00A76C30" w:rsidRPr="00AF0255" w:rsidRDefault="00A76C30" w:rsidP="00A76C30">
      <w:pPr>
        <w:pStyle w:val="NormalHanging12a"/>
      </w:pPr>
      <w:r w:rsidRPr="00AF0255">
        <w:t>70.</w:t>
      </w:r>
      <w:r w:rsidRPr="00AF0255">
        <w:tab/>
      </w:r>
      <w:r w:rsidR="000C179E" w:rsidRPr="000C179E">
        <w:t xml:space="preserve">prima na znanje pregled </w:t>
      </w:r>
      <w:proofErr w:type="spellStart"/>
      <w:r w:rsidR="000C179E" w:rsidRPr="000C179E">
        <w:t>sekuritizacijskog</w:t>
      </w:r>
      <w:proofErr w:type="spellEnd"/>
      <w:r w:rsidR="000C179E" w:rsidRPr="000C179E">
        <w:t xml:space="preserve"> okvira koji je Komisija predstavila 17. lipnja 2025. i koji bi mogao</w:t>
      </w:r>
      <w:r w:rsidR="000C179E">
        <w:t xml:space="preserve"> </w:t>
      </w:r>
      <w:r w:rsidRPr="00AF0255">
        <w:t xml:space="preserve">doprinijeti financijskoj integraciji povezivanjem bankovnog kreditiranja i tržišta kapitala; smatra da bi se mjere usmjerene na revitalizaciju </w:t>
      </w:r>
      <w:proofErr w:type="spellStart"/>
      <w:r w:rsidRPr="00AF0255">
        <w:t>sekuritizacije</w:t>
      </w:r>
      <w:proofErr w:type="spellEnd"/>
      <w:r w:rsidRPr="00AF0255">
        <w:t xml:space="preserve"> trebale usredotočiti na pojednostavnjenje regulatornih zahtjeva za objavljivanje i na jednostavne, transparentne i standardizirane kriterije </w:t>
      </w:r>
      <w:r w:rsidR="000C179E" w:rsidRPr="000C179E">
        <w:t xml:space="preserve">bez ugrožavanja </w:t>
      </w:r>
      <w:r w:rsidRPr="00AF0255">
        <w:t>financijske stabilnosti;</w:t>
      </w:r>
    </w:p>
    <w:p w14:paraId="20AFA479" w14:textId="77777777" w:rsidR="00A76C30" w:rsidRPr="00AF0255" w:rsidRDefault="00A76C30" w:rsidP="00A76C30">
      <w:pPr>
        <w:pStyle w:val="Normal12a24b"/>
      </w:pPr>
      <w:r w:rsidRPr="00AF0255">
        <w:rPr>
          <w:rStyle w:val="BoldItalic"/>
        </w:rPr>
        <w:t>Optimalno iskorištavanje javnih resursa za smanjenje jaza u produktivnosti</w:t>
      </w:r>
    </w:p>
    <w:p w14:paraId="0D456ADC" w14:textId="77777777" w:rsidR="00A76C30" w:rsidRPr="00AF0255" w:rsidRDefault="00A76C30" w:rsidP="00A76C30">
      <w:pPr>
        <w:spacing w:after="240"/>
        <w:ind w:left="567" w:hanging="567"/>
      </w:pPr>
      <w:r w:rsidRPr="00AF0255">
        <w:t>71.</w:t>
      </w:r>
      <w:r w:rsidRPr="00AF0255">
        <w:tab/>
        <w:t>podsjeća na važnost fiskalnih rezervi za potporu javnim ulaganjima; posebno prima na znanje da bi prema okviru za fiskalna pravila države članice tijekom trajanja svojih nacionalnih srednjoročnih strukturnih planova trebale zadržati barem razinu javnih ulaganja koje financira država, u odnosu na srednjoročnu razinu prije početka plana;</w:t>
      </w:r>
    </w:p>
    <w:p w14:paraId="3B21368A" w14:textId="77777777" w:rsidR="00A76C30" w:rsidRPr="00AF0255" w:rsidRDefault="00A76C30" w:rsidP="00A76C30">
      <w:pPr>
        <w:pStyle w:val="NormalHanging12a"/>
      </w:pPr>
      <w:r w:rsidRPr="00AF0255">
        <w:t>72.</w:t>
      </w:r>
      <w:r w:rsidRPr="00AF0255">
        <w:tab/>
        <w:t xml:space="preserve">napominje da privatni sektor vjerojatno neće moći financirati najveći dio ulaganja potrebnih za digitalizaciju i </w:t>
      </w:r>
      <w:proofErr w:type="spellStart"/>
      <w:r w:rsidRPr="00AF0255">
        <w:t>dekarbonizaciju</w:t>
      </w:r>
      <w:proofErr w:type="spellEnd"/>
      <w:r w:rsidRPr="00AF0255">
        <w:t xml:space="preserve"> gospodarstva bez potpore javnog sektora; smatra da će zbog hitnosti mjera za konkurentnost, obranu, energiju i </w:t>
      </w:r>
      <w:proofErr w:type="spellStart"/>
      <w:r w:rsidRPr="00AF0255">
        <w:t>dekarbonizaciju</w:t>
      </w:r>
      <w:proofErr w:type="spellEnd"/>
      <w:r w:rsidRPr="00AF0255">
        <w:t xml:space="preserve"> biti potrebna mobilizacija privatnih i javnih ulaganja, uključujući, prema potrebi, javno-privatna partnerstva;</w:t>
      </w:r>
    </w:p>
    <w:p w14:paraId="043623F4" w14:textId="77777777" w:rsidR="00A76C30" w:rsidRPr="00AF0255" w:rsidRDefault="00A76C30" w:rsidP="00A76C30">
      <w:pPr>
        <w:spacing w:after="240"/>
        <w:ind w:left="567" w:hanging="567"/>
      </w:pPr>
      <w:r w:rsidRPr="00AF0255">
        <w:t>73.</w:t>
      </w:r>
      <w:r w:rsidRPr="00AF0255">
        <w:tab/>
        <w:t>ističe, međutim, da su razine javnog duga u cijelom EU-u visoke i da je fiskalni prostor ograničen; stoga naglašava da sve mjere javne potpore usmjerene na mobilizaciju privatnih ulaganja moraju biti dobro ciljane; ističe da su se inicijative za smanjenje rizika, npr. pomoću javnih jamstava, pokazale uspješnima u postizanju tog cilja;</w:t>
      </w:r>
    </w:p>
    <w:p w14:paraId="2C0DF69F" w14:textId="77777777" w:rsidR="00A76C30" w:rsidRPr="00AF0255" w:rsidRDefault="00A76C30" w:rsidP="00A76C30">
      <w:pPr>
        <w:spacing w:after="240"/>
        <w:ind w:left="567" w:hanging="567"/>
      </w:pPr>
      <w:r w:rsidRPr="00AF0255">
        <w:t>74.</w:t>
      </w:r>
      <w:r w:rsidRPr="00AF0255">
        <w:tab/>
        <w:t>ističe da bi izraženije posljedice i učestalost prirodnih katastrofa uzrokovale goleme javne troškove; napominje da se ti budući troškovi trenutačno ne uzimaju u obzir u analizi održivosti duga;</w:t>
      </w:r>
    </w:p>
    <w:p w14:paraId="2EBB0755" w14:textId="77777777" w:rsidR="00A76C30" w:rsidRPr="00AF0255" w:rsidRDefault="00A76C30" w:rsidP="00A76C30">
      <w:pPr>
        <w:spacing w:after="240"/>
        <w:ind w:left="567" w:hanging="567"/>
      </w:pPr>
      <w:r w:rsidRPr="00AF0255">
        <w:t>75.</w:t>
      </w:r>
      <w:r w:rsidRPr="00AF0255">
        <w:tab/>
        <w:t xml:space="preserve">očekuje od Komisije i država članica da poduzmu ambiciozne i konkretne korake kako bi se izbjegao pad javnih ulaganja nakon 2026., kada će, uz mogućnost velikog trgovinskog rata koji bi mogao utjecati na dodjelu ulaganja, isteći i Mehanizam za oporavak i otpornost (RRF) i program </w:t>
      </w:r>
      <w:proofErr w:type="spellStart"/>
      <w:r w:rsidRPr="00AF0255">
        <w:t>InvestEU</w:t>
      </w:r>
      <w:proofErr w:type="spellEnd"/>
      <w:r w:rsidRPr="00AF0255">
        <w:t xml:space="preserve">; prima na znanje temeljne nedostatke Mehanizma za oporavak i otpornost, kao što je neuključivanje regionalnih i lokalnih vlasti u proces od osmišljavanja do provedbe kroz lokalizirani i višerazinski pristup upravljanju; ističe potrebu za održavanjem javnih ulaganja na nacionalnoj i europskoj razini kako bi se potaknula privatna ulaganja i financirale visokokvalitetne javne usluge </w:t>
      </w:r>
      <w:r w:rsidRPr="00AF0255">
        <w:lastRenderedPageBreak/>
        <w:t xml:space="preserve">i infrastruktura; smatra da bi taj okvir, prema potrebi, trebalo ojačati investicijskim instrumentima i alatima na razini EU-a osmišljenima kako bi se troškovi za porezne obveznike EU-a sveli na najmanju moguću mjeru i kako bi se maksimalno povećala učinkovitost u pružanju europskih javnih dobara, što bi također moglo predstavljati korak prema zajedničkoj sigurnoj imovini; stoga pozdravlja prijedlog o skupnom paketu za </w:t>
      </w:r>
      <w:proofErr w:type="spellStart"/>
      <w:r w:rsidRPr="00AF0255">
        <w:t>InvestEU</w:t>
      </w:r>
      <w:proofErr w:type="spellEnd"/>
      <w:r w:rsidRPr="00AF0255">
        <w:t>, kojim će se mobilizirati znatan iznos dodatnih ulaganja do kraja višegodišnjeg financijskog okvira;</w:t>
      </w:r>
    </w:p>
    <w:p w14:paraId="58150BFD" w14:textId="77777777" w:rsidR="00A76C30" w:rsidRPr="00AF0255" w:rsidRDefault="00A76C30" w:rsidP="00A76C30">
      <w:pPr>
        <w:spacing w:after="240"/>
        <w:ind w:left="567" w:hanging="567"/>
      </w:pPr>
      <w:r w:rsidRPr="00AF0255">
        <w:t>76.</w:t>
      </w:r>
      <w:r w:rsidRPr="00AF0255">
        <w:tab/>
        <w:t>ističe da postoji potreba za učinkovitom koordinacijom nacionalnih fiskalnih politika kako bi se održala dostatna razina javnih ulaganja za EU;</w:t>
      </w:r>
    </w:p>
    <w:p w14:paraId="3A79C705" w14:textId="77777777" w:rsidR="00A76C30" w:rsidRPr="00AF0255" w:rsidRDefault="00A76C30" w:rsidP="00A76C30">
      <w:pPr>
        <w:spacing w:after="240"/>
        <w:ind w:left="567" w:hanging="567"/>
      </w:pPr>
      <w:r w:rsidRPr="00AF0255">
        <w:t>77.</w:t>
      </w:r>
      <w:r w:rsidRPr="00AF0255">
        <w:tab/>
        <w:t>napominje da se od vlada EU-a očekuje da će 2025. slijediti restriktivan smjer fiskalne politike kako bi se uskladile s fiskalnim okvirom EU-a, što bi moglo biti u suprotnosti s investicijskim potrebama EU-a; naglašava da su, s obzirom na to da se vlade EU-a bore sa svojim fiskalnim opterećenjima, potrebni investicijski instrumenti na razini EU-a kako bi se premostio investicijski jaz;</w:t>
      </w:r>
    </w:p>
    <w:p w14:paraId="6CD4EA0C" w14:textId="77777777" w:rsidR="00A76C30" w:rsidRPr="00AF0255" w:rsidRDefault="00A76C30" w:rsidP="00A76C30">
      <w:pPr>
        <w:spacing w:after="240"/>
        <w:ind w:left="567" w:hanging="567"/>
      </w:pPr>
      <w:r w:rsidRPr="00AF0255">
        <w:t>78.</w:t>
      </w:r>
      <w:r w:rsidRPr="00AF0255">
        <w:tab/>
        <w:t xml:space="preserve">podsjeća da je fond za oporavak </w:t>
      </w:r>
      <w:proofErr w:type="spellStart"/>
      <w:r w:rsidRPr="00AF0255">
        <w:t>NextGenerationEU</w:t>
      </w:r>
      <w:proofErr w:type="spellEnd"/>
      <w:r w:rsidRPr="00AF0255">
        <w:t xml:space="preserve"> najveći paket poticaja ikad financiran sredstvima EU-a za potporu gospodarskom oporavku te zelenoj i digitalnoj tranziciji; ističe da su središnja pitanja povezana s refinanciranjem instrumenta </w:t>
      </w:r>
      <w:proofErr w:type="spellStart"/>
      <w:r w:rsidRPr="00AF0255">
        <w:t>NextGenerationEU</w:t>
      </w:r>
      <w:proofErr w:type="spellEnd"/>
      <w:r w:rsidRPr="00AF0255">
        <w:t xml:space="preserve"> i dalje neriješena; poziva Vijeće da hitno donese nova vlastita sredstva kako bi se omogućila održiva otplata zaduživanja u okviru instrumenta </w:t>
      </w:r>
      <w:proofErr w:type="spellStart"/>
      <w:r w:rsidRPr="00AF0255">
        <w:t>NextGenerationEU</w:t>
      </w:r>
      <w:proofErr w:type="spellEnd"/>
      <w:r w:rsidRPr="00AF0255">
        <w:t>; smatra da bi trebalo istražiti sve instrumente i alate kako bi se Uniji osigurali potrebni resursi;</w:t>
      </w:r>
    </w:p>
    <w:p w14:paraId="3F23C964" w14:textId="77777777" w:rsidR="00A76C30" w:rsidRPr="00AF0255" w:rsidRDefault="00A76C30" w:rsidP="00A76C30">
      <w:pPr>
        <w:spacing w:after="240"/>
        <w:ind w:left="567" w:hanging="567"/>
      </w:pPr>
      <w:r w:rsidRPr="00AF0255">
        <w:t>79.</w:t>
      </w:r>
      <w:r w:rsidRPr="00AF0255">
        <w:tab/>
        <w:t xml:space="preserve">napominje da bi izdavanje zajedničke sigurne imovine moglo postaviti referentno mjerilo kojim bi se olakšalo postizanje unije tržišta kapitala, poboljšao prijenos monetarne politike u cijelom </w:t>
      </w:r>
      <w:proofErr w:type="spellStart"/>
      <w:r w:rsidRPr="00AF0255">
        <w:t>europodručju</w:t>
      </w:r>
      <w:proofErr w:type="spellEnd"/>
      <w:r w:rsidRPr="00AF0255">
        <w:t xml:space="preserve">, ojačala međunarodna uloga eura i odgovorilo na neke od investicijskih potreba utvrđenih u </w:t>
      </w:r>
      <w:proofErr w:type="spellStart"/>
      <w:r w:rsidRPr="00AF0255">
        <w:t>Draghijevu</w:t>
      </w:r>
      <w:proofErr w:type="spellEnd"/>
      <w:r w:rsidRPr="00AF0255">
        <w:t xml:space="preserve"> izvješću; u tom pogledu ističe da zajedničko zaduživanje izdavanjem obveznica EU-a predstavlja održivu opciju kako bi se osiguralo da Unija ima dostatna sredstva za odgovor na akutne krize na razini Unije, kao što je tekuća kriza u području sigurnosti i obrane; poziva Komisiju da nastavi s raspravama o rješavanju problema znatnog investicijskog jaza u EU-u utvrđenog u </w:t>
      </w:r>
      <w:proofErr w:type="spellStart"/>
      <w:r w:rsidRPr="00AF0255">
        <w:t>Draghijevom</w:t>
      </w:r>
      <w:proofErr w:type="spellEnd"/>
      <w:r w:rsidRPr="00AF0255">
        <w:t xml:space="preserve"> izvješću te da predstavi konkretne prijedloge za financijska rješenja;</w:t>
      </w:r>
    </w:p>
    <w:p w14:paraId="5AF1E50E" w14:textId="77777777" w:rsidR="00A76C30" w:rsidRPr="00AF0255" w:rsidRDefault="00A76C30" w:rsidP="00A76C30">
      <w:pPr>
        <w:spacing w:after="240"/>
        <w:ind w:left="567" w:hanging="567"/>
      </w:pPr>
      <w:r w:rsidRPr="00AF0255">
        <w:t>80.</w:t>
      </w:r>
      <w:r w:rsidRPr="00AF0255">
        <w:tab/>
        <w:t>pozdravlja namjeru Komisije da poveća sudjelovanje malih ulagača u europskim financijskim proizvodima u suradnji s Grupom Europske investicijske banke (EIB-a), Europskim stabilizacijskim mehanizmom i nacionalnim razvojnim bankama; preporučuje da se uvede mogućnost da se sigurna imovina izdana na razini EU-a uvrsti među štedne proizvode za radnike;</w:t>
      </w:r>
    </w:p>
    <w:p w14:paraId="32418818" w14:textId="77777777" w:rsidR="00FC4251" w:rsidRDefault="00A76C30" w:rsidP="00A76C30">
      <w:pPr>
        <w:spacing w:after="240"/>
        <w:ind w:left="567" w:hanging="567"/>
      </w:pPr>
      <w:r w:rsidRPr="00AF0255">
        <w:t>81.</w:t>
      </w:r>
      <w:r w:rsidRPr="00AF0255">
        <w:tab/>
        <w:t>smatra da je zbog povećanih obrambenih potreba koje su rezultat geopolitičkih napetosti potrebna hitna mobilizacija financijske potpore, ne dovodeći u pitanje poseban karakter sigurnosne i obrambene politike određenih država članica, posebno onih koje zadržavaju neutralan status; pozdravlja predstojeći prijedlog Komisije o novom financijskom instrumentu SAFE u iznosu do 150 milijardi EUR za jačanje obrambenih sposobnosti EU-a u okviru plana „</w:t>
      </w:r>
      <w:proofErr w:type="spellStart"/>
      <w:r w:rsidRPr="00AF0255">
        <w:t>ReArm</w:t>
      </w:r>
      <w:proofErr w:type="spellEnd"/>
      <w:r w:rsidRPr="00AF0255">
        <w:t xml:space="preserve"> Europe”; međutim žali zbog toga što je Komisija odlučila temeljiti svoj zakonodavni prijedlog na članku 122. UFEU-a, čime je isključeno savjetovanje s Parlamentom; podsjeća da se učinkovit razvoj obrambenih kapaciteta oslanja na zajednička ulaganja na razini EU-a, čime se osigurava </w:t>
      </w:r>
      <w:r w:rsidRPr="00AF0255">
        <w:lastRenderedPageBreak/>
        <w:t>interoperabilnost i povećava učinkovitost, umjesto da u prvom redu ovisi o rascjepkanim nacionalnim rashodima putem koordinirane aktivacije nacionalnih klauzula o odstupanju kako bi se omogućila ulaganja povezana s obranom;</w:t>
      </w:r>
      <w:r w:rsidRPr="00AF0255">
        <w:tab/>
      </w:r>
    </w:p>
    <w:p w14:paraId="0CED413A" w14:textId="21DCEF70" w:rsidR="00A76C30" w:rsidRPr="00AF0255" w:rsidRDefault="00FC4251" w:rsidP="00A76C30">
      <w:pPr>
        <w:spacing w:after="240"/>
        <w:ind w:left="567" w:hanging="567"/>
      </w:pPr>
      <w:r>
        <w:t>82.</w:t>
      </w:r>
      <w:r>
        <w:tab/>
      </w:r>
      <w:r w:rsidR="00A76C30" w:rsidRPr="00AF0255">
        <w:t>pozdravlja zajedničku inicijativu Komisije i Grupe EIB-a da uspostave fond fondova pod nazivom „instrument vlasničkog kapitala u području obrane”, s proračunom od 175 milijuna eura za razdoblje 2024. – 2027., radi pružanja potpore privatnim ulaganjima u europske MSP-ove koji razvijaju inovativne obrambene tehnologije dvojne namjene;</w:t>
      </w:r>
    </w:p>
    <w:p w14:paraId="04EBFA35" w14:textId="77777777" w:rsidR="00A76C30" w:rsidRPr="00AF0255" w:rsidRDefault="00A76C30" w:rsidP="00A76C30">
      <w:pPr>
        <w:spacing w:after="240"/>
        <w:ind w:left="567" w:hanging="567"/>
        <w:rPr>
          <w:bCs/>
          <w:iCs/>
        </w:rPr>
      </w:pPr>
      <w:r w:rsidRPr="00AF0255">
        <w:t>83.</w:t>
      </w:r>
      <w:r w:rsidRPr="00AF0255">
        <w:tab/>
        <w:t>pozdravlja što se Grupa EIB-a, kako je navela u svojem Strateškom planu za razdoblje 2024. – 2027., obvezala pomoći u unapređenju unije tržišta kapitala mobilizacijom privatnog kapitala za produktivna ulaganja i podupiranjem dobitaka u ključnim područjima politika EU-a, inovacija tijekom životnog ciklusa poduzeća, financiranja poduzetničkim kapitalom i financiranja vlasničkim kapitalom višeg rizika za start-</w:t>
      </w:r>
      <w:proofErr w:type="spellStart"/>
      <w:r w:rsidRPr="00AF0255">
        <w:t>up</w:t>
      </w:r>
      <w:proofErr w:type="spellEnd"/>
      <w:r w:rsidRPr="00AF0255">
        <w:t xml:space="preserve"> i </w:t>
      </w:r>
      <w:proofErr w:type="spellStart"/>
      <w:r w:rsidRPr="00AF0255">
        <w:t>scale-up</w:t>
      </w:r>
      <w:proofErr w:type="spellEnd"/>
      <w:r w:rsidRPr="00AF0255">
        <w:t xml:space="preserve"> poduzeća; podsjeća na dužnost javne banke EU-a da podrži dugoročne tranzicijske projekte koji teško nalaze sredstva iz privatnog sektora;</w:t>
      </w:r>
    </w:p>
    <w:p w14:paraId="6BEA7634" w14:textId="77777777" w:rsidR="00A76C30" w:rsidRPr="00AF0255" w:rsidRDefault="00A76C30" w:rsidP="00A76C30">
      <w:pPr>
        <w:spacing w:after="240"/>
        <w:ind w:left="567" w:hanging="567"/>
        <w:rPr>
          <w:bCs/>
          <w:iCs/>
        </w:rPr>
      </w:pPr>
      <w:r w:rsidRPr="00AF0255">
        <w:t>84.</w:t>
      </w:r>
      <w:r w:rsidRPr="00AF0255">
        <w:tab/>
        <w:t>naglašava da je potrebno pojednostavniti, racionalizirati, optimizirati i konsolidirati procese i mandate EIB-a kako bi se povećale sinergije, djelotvornost i učinkovitost te smanjilo administrativno opterećenje, troškovi izvješćivanja i složenost za poduzeća i projekte, koji bi u suprotnom mogli biti obeshrabreni kad je riječ o traženju financiranja zbog složenih postupaka, visokih troškova usklađivanja i regulatorne nesigurnosti;</w:t>
      </w:r>
    </w:p>
    <w:p w14:paraId="1CC59683" w14:textId="77777777" w:rsidR="00A76C30" w:rsidRPr="00AF0255" w:rsidRDefault="00A76C30" w:rsidP="00A76C30">
      <w:pPr>
        <w:spacing w:after="240"/>
        <w:ind w:left="567" w:hanging="567"/>
        <w:rPr>
          <w:bCs/>
          <w:iCs/>
        </w:rPr>
      </w:pPr>
      <w:r w:rsidRPr="00AF0255">
        <w:t>85.</w:t>
      </w:r>
      <w:r w:rsidRPr="00AF0255">
        <w:tab/>
        <w:t xml:space="preserve">podržava povećanu upotrebu instrumenata višeg rizika kao što je izravno i neizravno financiranje vlasničkim i </w:t>
      </w:r>
      <w:proofErr w:type="spellStart"/>
      <w:r w:rsidRPr="00AF0255">
        <w:t>kvazivlasničkim</w:t>
      </w:r>
      <w:proofErr w:type="spellEnd"/>
      <w:r w:rsidRPr="00AF0255">
        <w:t xml:space="preserve"> kapitalom od strane EIB-a, među ostalim putem Europskog investicijskog fonda, radi poticanja ulaganja u poduzeća i fondove, posebno putem poduzetničkog kapitala i poduzetničkog duga, ističući </w:t>
      </w:r>
      <w:r w:rsidRPr="00AF0255">
        <w:rPr>
          <w:rStyle w:val="normaltextrun"/>
          <w:color w:val="000000"/>
        </w:rPr>
        <w:t>da se instrumenti višeg rizika moraju upotrebljavati uz jasne okvire rizika i mjerljive pokazatelje uspješnosti</w:t>
      </w:r>
      <w:r w:rsidRPr="00AF0255">
        <w:t>;</w:t>
      </w:r>
    </w:p>
    <w:p w14:paraId="632BEF89" w14:textId="77777777" w:rsidR="00A76C30" w:rsidRPr="00AF0255" w:rsidRDefault="00A76C30" w:rsidP="00A76C30">
      <w:pPr>
        <w:spacing w:after="240"/>
        <w:ind w:left="567" w:hanging="567"/>
      </w:pPr>
      <w:r w:rsidRPr="00AF0255">
        <w:t>86.</w:t>
      </w:r>
      <w:r w:rsidRPr="00AF0255">
        <w:tab/>
        <w:t>smatra da javna potpora ulaganjima nadilazi pristup financiranju i da bi trebala obuhvaćati i tehničku pomoć, upravljanje projektima, izgradnju kapaciteta, komercijalizaciju istraživanja, potporu za pristup privatnom financiranju te poticanje suradnje između sveučilišta i poduzetničkog kapitala kako bi se potaknule inovacije i konkurentnost;</w:t>
      </w:r>
    </w:p>
    <w:p w14:paraId="279153B5" w14:textId="77777777" w:rsidR="00A76C30" w:rsidRPr="00AF0255" w:rsidRDefault="00A76C30" w:rsidP="00A76C30">
      <w:pPr>
        <w:pStyle w:val="NormalHanging12a"/>
      </w:pPr>
      <w:r w:rsidRPr="00AF0255">
        <w:t>87.</w:t>
      </w:r>
      <w:r w:rsidRPr="00AF0255">
        <w:tab/>
        <w:t>poziva Komisiju da predloži alat za koordinaciju konkurentnosti kojim se bi se također podupiralo utvrđivanje europskih industrijskih potreba, nestašica i tržišnih prilika te da izradi relevantne preporuke; naglašava da bi taj alat trebao biti povezan s predstojećim Fondom za konkurentnost kako bi se osigurala djelotvorna rješenja za industrijske izazove diljem Unije;</w:t>
      </w:r>
    </w:p>
    <w:p w14:paraId="0D4500AD" w14:textId="77777777" w:rsidR="00A76C30" w:rsidRPr="00AF0255" w:rsidRDefault="00A76C30" w:rsidP="00A76C30">
      <w:pPr>
        <w:spacing w:after="240"/>
        <w:ind w:left="567" w:hanging="567"/>
      </w:pPr>
      <w:r w:rsidRPr="00AF0255">
        <w:t>88.</w:t>
      </w:r>
      <w:r w:rsidRPr="00AF0255">
        <w:tab/>
        <w:t>poziva Komisiju da u okviru europskog semestra stavi veći naglasak na prioritete unije štednje i ulaganja, osiguravajući da se strukturne reforme i mjere za produbljivanje i integraciju tržišta kapitala EU-a dosljedno potiču, prate i ocjenjuju;</w:t>
      </w:r>
    </w:p>
    <w:p w14:paraId="2B37AFFC" w14:textId="77777777" w:rsidR="00A76C30" w:rsidRPr="00AF0255" w:rsidRDefault="00A76C30" w:rsidP="00A76C30">
      <w:pPr>
        <w:spacing w:after="240"/>
        <w:ind w:left="567" w:hanging="567"/>
      </w:pPr>
      <w:r w:rsidRPr="00AF0255">
        <w:t>89.</w:t>
      </w:r>
      <w:r w:rsidRPr="00AF0255">
        <w:tab/>
        <w:t xml:space="preserve">traži od Komisije da u budući fond za konkurentnost, program </w:t>
      </w:r>
      <w:proofErr w:type="spellStart"/>
      <w:r w:rsidRPr="00AF0255">
        <w:t>TechEU</w:t>
      </w:r>
      <w:proofErr w:type="spellEnd"/>
      <w:r w:rsidRPr="00AF0255">
        <w:t xml:space="preserve"> i sve slične inicijative uvrsti posebne mjere za promicanje poduzetničkog kapitala;</w:t>
      </w:r>
    </w:p>
    <w:p w14:paraId="126726CC" w14:textId="77777777" w:rsidR="00A76C30" w:rsidRPr="00AF0255" w:rsidRDefault="00A76C30" w:rsidP="00A76C30">
      <w:pPr>
        <w:spacing w:after="240"/>
        <w:ind w:left="567" w:hanging="567"/>
      </w:pPr>
      <w:r w:rsidRPr="00AF0255">
        <w:t>90.</w:t>
      </w:r>
      <w:r w:rsidRPr="00AF0255">
        <w:tab/>
        <w:t xml:space="preserve">prepoznaje ulogu politike tržišnog natjecanja i državnih potpora u podupiranju razvoja europske industrije; međutim, smatra da državne potpore mogu dovesti do daljnje </w:t>
      </w:r>
      <w:r w:rsidRPr="00AF0255">
        <w:lastRenderedPageBreak/>
        <w:t>fragmentacije jedinstvenog tržišta;</w:t>
      </w:r>
    </w:p>
    <w:p w14:paraId="1A482831" w14:textId="77777777" w:rsidR="00A76C30" w:rsidRPr="00AF0255" w:rsidRDefault="00A76C30" w:rsidP="00A76C30">
      <w:pPr>
        <w:spacing w:after="240"/>
        <w:ind w:left="567" w:hanging="567"/>
      </w:pPr>
      <w:r w:rsidRPr="00AF0255">
        <w:t>91.</w:t>
      </w:r>
      <w:r w:rsidRPr="00AF0255">
        <w:tab/>
        <w:t>napominje da će Komisija do drugog tromjesečja 2027. objaviti preispitivanje unije štednje i ulaganja u sredini programskog razdoblja;</w:t>
      </w:r>
    </w:p>
    <w:p w14:paraId="5D3AAF99" w14:textId="77777777" w:rsidR="00A76C30" w:rsidRPr="00AF0255" w:rsidRDefault="00A76C30" w:rsidP="00A76C30">
      <w:pPr>
        <w:spacing w:after="240"/>
        <w:ind w:left="567" w:hanging="567"/>
      </w:pPr>
      <w:r w:rsidRPr="00AF0255">
        <w:t>92.</w:t>
      </w:r>
      <w:r w:rsidRPr="00AF0255">
        <w:tab/>
        <w:t>naglašava da bi Parlament trebao biti na odgovarajući način uključen u provedbu unije štednje i ulaganja; poziva Komisiju da se uključi u rane rasprave u području unije tržišta kapitala i financijskih usluga prije podnošenja novih prijedloga te bilo kakvih prilagodbi postojećih prijedloga;</w:t>
      </w:r>
    </w:p>
    <w:p w14:paraId="32517EEE" w14:textId="2DDE5B46" w:rsidR="009530B9" w:rsidRDefault="009530B9" w:rsidP="009530B9">
      <w:pPr>
        <w:pStyle w:val="NormalCenter12a"/>
        <w:widowControl/>
      </w:pPr>
      <w:r>
        <w:t>°</w:t>
      </w:r>
    </w:p>
    <w:p w14:paraId="4968E3F9" w14:textId="57FEB500" w:rsidR="009530B9" w:rsidRDefault="009530B9" w:rsidP="009530B9">
      <w:pPr>
        <w:pStyle w:val="NormalCenter12a"/>
        <w:widowControl/>
      </w:pPr>
      <w:r>
        <w:t>°     °</w:t>
      </w:r>
    </w:p>
    <w:p w14:paraId="6ADA3229" w14:textId="181DF7BF" w:rsidR="00E365E1" w:rsidRPr="00AF0255" w:rsidRDefault="00A76C30" w:rsidP="00D05CD1">
      <w:pPr>
        <w:pStyle w:val="NormalHanging12a"/>
      </w:pPr>
      <w:r w:rsidRPr="00AF0255">
        <w:t>93.</w:t>
      </w:r>
      <w:r w:rsidRPr="00AF0255">
        <w:tab/>
        <w:t>nalaže svojoj predsjednici da ovu Rezoluciju proslijedi Vijeću i Komisiji.</w:t>
      </w:r>
    </w:p>
    <w:sectPr w:rsidR="00E365E1" w:rsidRPr="00AF0255" w:rsidSect="00AF02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E0F0F" w14:textId="77777777" w:rsidR="003518DD" w:rsidRPr="00AF0255" w:rsidRDefault="003518DD">
      <w:r w:rsidRPr="00AF0255">
        <w:separator/>
      </w:r>
    </w:p>
  </w:endnote>
  <w:endnote w:type="continuationSeparator" w:id="0">
    <w:p w14:paraId="410FB95D" w14:textId="77777777" w:rsidR="003518DD" w:rsidRPr="00AF0255" w:rsidRDefault="003518DD">
      <w:r w:rsidRPr="00AF02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266E0" w14:textId="77777777" w:rsidR="00064002" w:rsidRPr="00AF025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3672A" w14:textId="77777777" w:rsidR="00064002" w:rsidRPr="00AF025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BC7FF" w14:textId="77777777" w:rsidR="00064002" w:rsidRPr="00AF025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365BD" w14:textId="77777777" w:rsidR="003518DD" w:rsidRPr="00AF0255" w:rsidRDefault="003518DD">
      <w:r w:rsidRPr="00AF0255">
        <w:separator/>
      </w:r>
    </w:p>
  </w:footnote>
  <w:footnote w:type="continuationSeparator" w:id="0">
    <w:p w14:paraId="07B21D9C" w14:textId="77777777" w:rsidR="003518DD" w:rsidRPr="00AF0255" w:rsidRDefault="003518DD">
      <w:r w:rsidRPr="00AF0255">
        <w:continuationSeparator/>
      </w:r>
    </w:p>
  </w:footnote>
  <w:footnote w:id="1">
    <w:p w14:paraId="38FF3C5F" w14:textId="380A0603" w:rsidR="00A76C30" w:rsidRPr="00AF0255" w:rsidRDefault="00A76C30" w:rsidP="00AF0255">
      <w:pPr>
        <w:pStyle w:val="FootnoteText"/>
        <w:ind w:left="567" w:hanging="567"/>
        <w:rPr>
          <w:sz w:val="24"/>
          <w:lang w:val="hr-HR"/>
        </w:rPr>
      </w:pPr>
      <w:r w:rsidRPr="00AF0255">
        <w:rPr>
          <w:rStyle w:val="FootnoteReference"/>
          <w:sz w:val="24"/>
          <w:lang w:val="hr-HR"/>
        </w:rPr>
        <w:footnoteRef/>
      </w:r>
      <w:r w:rsidR="00AF0255" w:rsidRPr="00AF0255">
        <w:rPr>
          <w:sz w:val="24"/>
          <w:lang w:val="hr-HR"/>
        </w:rPr>
        <w:t xml:space="preserve"> </w:t>
      </w:r>
      <w:r w:rsidR="00AF0255" w:rsidRPr="00AF0255">
        <w:rPr>
          <w:sz w:val="24"/>
          <w:lang w:val="hr-HR"/>
        </w:rPr>
        <w:tab/>
      </w:r>
      <w:r w:rsidRPr="00AF0255">
        <w:rPr>
          <w:sz w:val="24"/>
          <w:lang w:val="hr-HR"/>
        </w:rPr>
        <w:t>SL C 395, 29.9.2021., str. 89.</w:t>
      </w:r>
    </w:p>
  </w:footnote>
  <w:footnote w:id="2">
    <w:p w14:paraId="32BBE007" w14:textId="49DE9F85" w:rsidR="00A76C30" w:rsidRPr="00AF0255" w:rsidRDefault="00A76C30" w:rsidP="00AF0255">
      <w:pPr>
        <w:pStyle w:val="FootnoteText"/>
        <w:ind w:left="567" w:hanging="567"/>
        <w:rPr>
          <w:sz w:val="24"/>
          <w:lang w:val="hr-HR"/>
        </w:rPr>
      </w:pPr>
      <w:r w:rsidRPr="00AF0255">
        <w:rPr>
          <w:rStyle w:val="FootnoteReference"/>
          <w:sz w:val="24"/>
          <w:lang w:val="hr-HR"/>
        </w:rPr>
        <w:footnoteRef/>
      </w:r>
      <w:r w:rsidR="00AF0255" w:rsidRPr="00AF0255">
        <w:rPr>
          <w:sz w:val="24"/>
          <w:lang w:val="hr-HR"/>
        </w:rPr>
        <w:t xml:space="preserve"> </w:t>
      </w:r>
      <w:r w:rsidR="00AF0255" w:rsidRPr="00AF0255">
        <w:rPr>
          <w:sz w:val="24"/>
          <w:lang w:val="hr-HR"/>
        </w:rPr>
        <w:tab/>
      </w:r>
      <w:r w:rsidRPr="00AF0255">
        <w:rPr>
          <w:sz w:val="24"/>
          <w:lang w:val="hr-HR"/>
        </w:rPr>
        <w:t>SL C 265, 11.8.2017., str. 76.</w:t>
      </w:r>
    </w:p>
  </w:footnote>
  <w:footnote w:id="3">
    <w:p w14:paraId="6C8E4C60" w14:textId="4EFED908" w:rsidR="00A76C30" w:rsidRPr="00AF0255" w:rsidRDefault="00A76C30" w:rsidP="00AF0255">
      <w:pPr>
        <w:pStyle w:val="FootnoteText"/>
        <w:ind w:left="567" w:hanging="567"/>
        <w:rPr>
          <w:sz w:val="24"/>
          <w:lang w:val="hr-HR"/>
        </w:rPr>
      </w:pPr>
      <w:r w:rsidRPr="00AF0255">
        <w:rPr>
          <w:rStyle w:val="FootnoteReference"/>
          <w:sz w:val="24"/>
          <w:lang w:val="hr-HR"/>
        </w:rPr>
        <w:footnoteRef/>
      </w:r>
      <w:r w:rsidR="00AF0255" w:rsidRPr="00AF0255">
        <w:rPr>
          <w:sz w:val="24"/>
          <w:lang w:val="hr-HR"/>
        </w:rPr>
        <w:t xml:space="preserve"> </w:t>
      </w:r>
      <w:r w:rsidR="00AF0255" w:rsidRPr="00AF0255">
        <w:rPr>
          <w:sz w:val="24"/>
          <w:lang w:val="hr-HR"/>
        </w:rPr>
        <w:tab/>
      </w:r>
      <w:proofErr w:type="spellStart"/>
      <w:r w:rsidRPr="00AF0255">
        <w:rPr>
          <w:sz w:val="24"/>
          <w:lang w:val="hr-HR"/>
        </w:rPr>
        <w:t>Draghijevo</w:t>
      </w:r>
      <w:proofErr w:type="spellEnd"/>
      <w:r w:rsidRPr="00AF0255">
        <w:rPr>
          <w:sz w:val="24"/>
          <w:lang w:val="hr-HR"/>
        </w:rPr>
        <w:t xml:space="preserve"> izvješće:</w:t>
      </w:r>
    </w:p>
  </w:footnote>
  <w:footnote w:id="4">
    <w:p w14:paraId="2A14E4EE" w14:textId="193F23B7" w:rsidR="00A76C30" w:rsidRPr="00AF0255" w:rsidRDefault="00A76C30" w:rsidP="00AF0255">
      <w:pPr>
        <w:pStyle w:val="FootnoteText"/>
        <w:ind w:left="567" w:hanging="567"/>
        <w:rPr>
          <w:sz w:val="24"/>
          <w:lang w:val="hr-HR"/>
        </w:rPr>
      </w:pPr>
      <w:r w:rsidRPr="00AF0255">
        <w:rPr>
          <w:rStyle w:val="FootnoteReference"/>
          <w:sz w:val="24"/>
          <w:lang w:val="hr-HR"/>
        </w:rPr>
        <w:footnoteRef/>
      </w:r>
      <w:r w:rsidR="00AF0255" w:rsidRPr="00AF0255">
        <w:rPr>
          <w:sz w:val="24"/>
          <w:lang w:val="hr-HR"/>
        </w:rPr>
        <w:t xml:space="preserve"> </w:t>
      </w:r>
      <w:r w:rsidR="00AF0255" w:rsidRPr="00AF0255">
        <w:rPr>
          <w:sz w:val="24"/>
          <w:lang w:val="hr-HR"/>
        </w:rPr>
        <w:tab/>
      </w:r>
      <w:proofErr w:type="spellStart"/>
      <w:r w:rsidRPr="00AF0255">
        <w:rPr>
          <w:sz w:val="24"/>
          <w:lang w:val="hr-HR"/>
        </w:rPr>
        <w:t>Draghijevo</w:t>
      </w:r>
      <w:proofErr w:type="spellEnd"/>
      <w:r w:rsidRPr="00AF0255">
        <w:rPr>
          <w:sz w:val="24"/>
          <w:lang w:val="hr-HR"/>
        </w:rPr>
        <w:t xml:space="preserve"> izvješće:</w:t>
      </w:r>
    </w:p>
  </w:footnote>
  <w:footnote w:id="5">
    <w:p w14:paraId="7E9F4138" w14:textId="7C0CEC8C" w:rsidR="00A76C30" w:rsidRPr="00AF0255" w:rsidRDefault="00A76C30" w:rsidP="00AF0255">
      <w:pPr>
        <w:pStyle w:val="FootnoteText"/>
        <w:ind w:left="567" w:hanging="567"/>
        <w:rPr>
          <w:sz w:val="24"/>
          <w:lang w:val="hr-HR"/>
        </w:rPr>
      </w:pPr>
      <w:r w:rsidRPr="00AF0255">
        <w:rPr>
          <w:rStyle w:val="FootnoteReference"/>
          <w:sz w:val="24"/>
          <w:lang w:val="hr-HR"/>
        </w:rPr>
        <w:footnoteRef/>
      </w:r>
      <w:r w:rsidR="00AF0255" w:rsidRPr="00AF0255">
        <w:rPr>
          <w:sz w:val="24"/>
          <w:lang w:val="hr-HR"/>
        </w:rPr>
        <w:t xml:space="preserve"> </w:t>
      </w:r>
      <w:r w:rsidR="00AF0255" w:rsidRPr="00AF0255">
        <w:rPr>
          <w:sz w:val="24"/>
          <w:lang w:val="hr-HR"/>
        </w:rPr>
        <w:tab/>
      </w:r>
      <w:proofErr w:type="spellStart"/>
      <w:r w:rsidRPr="00AF0255">
        <w:rPr>
          <w:sz w:val="24"/>
          <w:lang w:val="hr-HR"/>
        </w:rPr>
        <w:t>Draghijevo</w:t>
      </w:r>
      <w:proofErr w:type="spellEnd"/>
      <w:r w:rsidRPr="00AF0255">
        <w:rPr>
          <w:sz w:val="24"/>
          <w:lang w:val="hr-HR"/>
        </w:rPr>
        <w:t xml:space="preserve"> izvješće:</w:t>
      </w:r>
    </w:p>
  </w:footnote>
  <w:footnote w:id="6">
    <w:p w14:paraId="3E95FB7A" w14:textId="07B41F6C" w:rsidR="00A76C30" w:rsidRPr="00AF0255" w:rsidRDefault="00A76C30" w:rsidP="00AF0255">
      <w:pPr>
        <w:pStyle w:val="FootnoteText"/>
        <w:ind w:left="567" w:hanging="567"/>
        <w:rPr>
          <w:sz w:val="24"/>
          <w:lang w:val="hr-HR"/>
        </w:rPr>
      </w:pPr>
      <w:r w:rsidRPr="00AF0255">
        <w:rPr>
          <w:rStyle w:val="FootnoteReference"/>
          <w:sz w:val="24"/>
          <w:lang w:val="hr-HR"/>
        </w:rPr>
        <w:footnoteRef/>
      </w:r>
      <w:r w:rsidR="00AF0255" w:rsidRPr="00AF0255">
        <w:rPr>
          <w:sz w:val="24"/>
          <w:lang w:val="hr-HR"/>
        </w:rPr>
        <w:t xml:space="preserve"> </w:t>
      </w:r>
      <w:r w:rsidR="00AF0255" w:rsidRPr="00AF0255">
        <w:rPr>
          <w:sz w:val="24"/>
          <w:lang w:val="hr-HR"/>
        </w:rPr>
        <w:tab/>
      </w:r>
      <w:r w:rsidRPr="00AF0255">
        <w:rPr>
          <w:sz w:val="24"/>
          <w:lang w:val="hr-HR"/>
        </w:rPr>
        <w:t xml:space="preserve">Ured SAD-a za ekonomsku analizu, </w:t>
      </w:r>
      <w:r w:rsidRPr="00AF0255">
        <w:rPr>
          <w:i/>
          <w:sz w:val="24"/>
          <w:lang w:val="hr-HR"/>
        </w:rPr>
        <w:t>„Osobni dohodak i njegova mjesečna raspodjela”,</w:t>
      </w:r>
      <w:r w:rsidRPr="00AF0255">
        <w:rPr>
          <w:sz w:val="24"/>
          <w:lang w:val="hr-HR"/>
        </w:rPr>
        <w:t xml:space="preserve"> 2025.</w:t>
      </w:r>
    </w:p>
  </w:footnote>
  <w:footnote w:id="7">
    <w:p w14:paraId="1ADD5429" w14:textId="7AEA56E0" w:rsidR="00A76C30" w:rsidRPr="00131282" w:rsidRDefault="00A76C30" w:rsidP="00AF0255">
      <w:pPr>
        <w:pStyle w:val="FootnoteText"/>
        <w:ind w:left="567" w:hanging="567"/>
        <w:rPr>
          <w:sz w:val="24"/>
          <w:lang w:val="en-GB"/>
        </w:rPr>
      </w:pPr>
      <w:r w:rsidRPr="00AF0255">
        <w:rPr>
          <w:rStyle w:val="FootnoteReference"/>
          <w:sz w:val="24"/>
          <w:lang w:val="hr-HR"/>
        </w:rPr>
        <w:footnoteRef/>
      </w:r>
      <w:r w:rsidR="00AF0255" w:rsidRPr="00AF0255">
        <w:rPr>
          <w:sz w:val="24"/>
          <w:lang w:val="hr-HR"/>
        </w:rPr>
        <w:t xml:space="preserve"> </w:t>
      </w:r>
      <w:r w:rsidR="00AF0255" w:rsidRPr="00AF0255">
        <w:rPr>
          <w:sz w:val="24"/>
          <w:lang w:val="hr-HR"/>
        </w:rPr>
        <w:tab/>
      </w:r>
      <w:r w:rsidR="009530B9" w:rsidRPr="00131282">
        <w:rPr>
          <w:lang w:val="en-GB"/>
        </w:rPr>
        <w:t>Eurostat, Financial flows and stocks, 2023</w:t>
      </w:r>
      <w:r w:rsidR="009530B9">
        <w:rPr>
          <w:sz w:val="24"/>
          <w:u w:color="0000FF"/>
          <w:lang w:val="en-GB"/>
        </w:rPr>
        <w:t>,</w:t>
      </w:r>
      <w:r w:rsidR="009530B9" w:rsidRPr="00131282">
        <w:rPr>
          <w:lang w:val="en-GB"/>
        </w:rPr>
        <w:t xml:space="preserve"> </w:t>
      </w:r>
      <w:hyperlink r:id="rId1" w:history="1">
        <w:r w:rsidR="009530B9" w:rsidRPr="0043057E">
          <w:rPr>
            <w:rStyle w:val="Hyperlink"/>
            <w:sz w:val="24"/>
            <w:lang w:val="en-GB"/>
          </w:rPr>
          <w:t>https://ec.europa.eu/eurostat/databrowser/view/NASA_10_F_BS__custom_13650774/default/table?lang=en</w:t>
        </w:r>
      </w:hyperlink>
      <w:r w:rsidR="009530B9" w:rsidRPr="00131282">
        <w:rPr>
          <w:lang w:val="en-GB"/>
        </w:rPr>
        <w:t>.</w:t>
      </w:r>
    </w:p>
  </w:footnote>
  <w:footnote w:id="8">
    <w:p w14:paraId="37F25E65" w14:textId="3FD3B457" w:rsidR="00A76C30" w:rsidRPr="00AF0255" w:rsidRDefault="00A76C30" w:rsidP="00AF0255">
      <w:pPr>
        <w:pStyle w:val="FootnoteText"/>
        <w:ind w:left="567" w:hanging="567"/>
        <w:rPr>
          <w:sz w:val="24"/>
          <w:lang w:val="hr-HR"/>
        </w:rPr>
      </w:pPr>
      <w:r w:rsidRPr="00AF0255">
        <w:rPr>
          <w:rStyle w:val="FootnoteReference"/>
          <w:sz w:val="24"/>
          <w:lang w:val="hr-HR"/>
        </w:rPr>
        <w:footnoteRef/>
      </w:r>
      <w:r w:rsidR="00AF0255" w:rsidRPr="00AF0255">
        <w:rPr>
          <w:sz w:val="24"/>
          <w:lang w:val="hr-HR"/>
        </w:rPr>
        <w:t xml:space="preserve"> </w:t>
      </w:r>
      <w:r w:rsidR="00AF0255" w:rsidRPr="00AF0255">
        <w:rPr>
          <w:sz w:val="24"/>
          <w:lang w:val="hr-HR"/>
        </w:rPr>
        <w:tab/>
      </w:r>
      <w:r w:rsidRPr="00AF0255">
        <w:rPr>
          <w:sz w:val="24"/>
          <w:lang w:val="hr-HR"/>
        </w:rPr>
        <w:t>Europska središnja banka, „</w:t>
      </w:r>
      <w:proofErr w:type="spellStart"/>
      <w:r w:rsidRPr="00AF0255">
        <w:rPr>
          <w:i/>
          <w:sz w:val="24"/>
          <w:lang w:val="hr-HR"/>
        </w:rPr>
        <w:t>Follow</w:t>
      </w:r>
      <w:proofErr w:type="spellEnd"/>
      <w:r w:rsidRPr="00AF0255">
        <w:rPr>
          <w:i/>
          <w:sz w:val="24"/>
          <w:lang w:val="hr-HR"/>
        </w:rPr>
        <w:t xml:space="preserve"> </w:t>
      </w:r>
      <w:proofErr w:type="spellStart"/>
      <w:r w:rsidRPr="00AF0255">
        <w:rPr>
          <w:i/>
          <w:sz w:val="24"/>
          <w:lang w:val="hr-HR"/>
        </w:rPr>
        <w:t>the</w:t>
      </w:r>
      <w:proofErr w:type="spellEnd"/>
      <w:r w:rsidRPr="00AF0255">
        <w:rPr>
          <w:i/>
          <w:sz w:val="24"/>
          <w:lang w:val="hr-HR"/>
        </w:rPr>
        <w:t xml:space="preserve"> </w:t>
      </w:r>
      <w:proofErr w:type="spellStart"/>
      <w:r w:rsidRPr="00AF0255">
        <w:rPr>
          <w:i/>
          <w:sz w:val="24"/>
          <w:lang w:val="hr-HR"/>
        </w:rPr>
        <w:t>money</w:t>
      </w:r>
      <w:proofErr w:type="spellEnd"/>
      <w:r w:rsidRPr="00AF0255">
        <w:rPr>
          <w:sz w:val="24"/>
          <w:lang w:val="hr-HR"/>
        </w:rPr>
        <w:t>:</w:t>
      </w:r>
      <w:r w:rsidRPr="00AF0255">
        <w:rPr>
          <w:i/>
          <w:sz w:val="24"/>
          <w:lang w:val="hr-HR"/>
        </w:rPr>
        <w:t xml:space="preserve"> </w:t>
      </w:r>
      <w:proofErr w:type="spellStart"/>
      <w:r w:rsidRPr="00AF0255">
        <w:rPr>
          <w:i/>
          <w:sz w:val="24"/>
          <w:lang w:val="hr-HR"/>
        </w:rPr>
        <w:t>channelling</w:t>
      </w:r>
      <w:proofErr w:type="spellEnd"/>
      <w:r w:rsidRPr="00AF0255">
        <w:rPr>
          <w:i/>
          <w:sz w:val="24"/>
          <w:lang w:val="hr-HR"/>
        </w:rPr>
        <w:t xml:space="preserve"> </w:t>
      </w:r>
      <w:proofErr w:type="spellStart"/>
      <w:r w:rsidRPr="00AF0255">
        <w:rPr>
          <w:i/>
          <w:sz w:val="24"/>
          <w:lang w:val="hr-HR"/>
        </w:rPr>
        <w:t>savings</w:t>
      </w:r>
      <w:proofErr w:type="spellEnd"/>
      <w:r w:rsidRPr="00AF0255">
        <w:rPr>
          <w:i/>
          <w:sz w:val="24"/>
          <w:lang w:val="hr-HR"/>
        </w:rPr>
        <w:t xml:space="preserve"> </w:t>
      </w:r>
      <w:proofErr w:type="spellStart"/>
      <w:r w:rsidRPr="00AF0255">
        <w:rPr>
          <w:i/>
          <w:sz w:val="24"/>
          <w:lang w:val="hr-HR"/>
        </w:rPr>
        <w:t>into</w:t>
      </w:r>
      <w:proofErr w:type="spellEnd"/>
      <w:r w:rsidRPr="00AF0255">
        <w:rPr>
          <w:i/>
          <w:sz w:val="24"/>
          <w:lang w:val="hr-HR"/>
        </w:rPr>
        <w:t xml:space="preserve"> </w:t>
      </w:r>
      <w:proofErr w:type="spellStart"/>
      <w:r w:rsidRPr="00AF0255">
        <w:rPr>
          <w:i/>
          <w:sz w:val="24"/>
          <w:lang w:val="hr-HR"/>
        </w:rPr>
        <w:t>investment</w:t>
      </w:r>
      <w:proofErr w:type="spellEnd"/>
      <w:r w:rsidRPr="00AF0255">
        <w:rPr>
          <w:i/>
          <w:sz w:val="24"/>
          <w:lang w:val="hr-HR"/>
        </w:rPr>
        <w:t xml:space="preserve"> </w:t>
      </w:r>
      <w:proofErr w:type="spellStart"/>
      <w:r w:rsidRPr="00AF0255">
        <w:rPr>
          <w:i/>
          <w:sz w:val="24"/>
          <w:lang w:val="hr-HR"/>
        </w:rPr>
        <w:t>and</w:t>
      </w:r>
      <w:proofErr w:type="spellEnd"/>
      <w:r w:rsidRPr="00AF0255">
        <w:rPr>
          <w:i/>
          <w:sz w:val="24"/>
          <w:lang w:val="hr-HR"/>
        </w:rPr>
        <w:t xml:space="preserve"> </w:t>
      </w:r>
      <w:proofErr w:type="spellStart"/>
      <w:r w:rsidRPr="00AF0255">
        <w:rPr>
          <w:i/>
          <w:sz w:val="24"/>
          <w:lang w:val="hr-HR"/>
        </w:rPr>
        <w:t>innovation</w:t>
      </w:r>
      <w:proofErr w:type="spellEnd"/>
      <w:r w:rsidRPr="00AF0255">
        <w:rPr>
          <w:i/>
          <w:sz w:val="24"/>
          <w:lang w:val="hr-HR"/>
        </w:rPr>
        <w:t xml:space="preserve"> </w:t>
      </w:r>
      <w:proofErr w:type="spellStart"/>
      <w:r w:rsidRPr="00AF0255">
        <w:rPr>
          <w:i/>
          <w:sz w:val="24"/>
          <w:lang w:val="hr-HR"/>
        </w:rPr>
        <w:t>in</w:t>
      </w:r>
      <w:proofErr w:type="spellEnd"/>
      <w:r w:rsidRPr="00AF0255">
        <w:rPr>
          <w:i/>
          <w:sz w:val="24"/>
          <w:lang w:val="hr-HR"/>
        </w:rPr>
        <w:t xml:space="preserve"> Europe</w:t>
      </w:r>
      <w:r w:rsidRPr="00AF0255">
        <w:rPr>
          <w:sz w:val="24"/>
          <w:lang w:val="hr-HR"/>
        </w:rPr>
        <w:t xml:space="preserve"> (Slijediti trag novca: usmjeravanje štednje u ulaganja i inovacije u Europi), govor Christine </w:t>
      </w:r>
      <w:proofErr w:type="spellStart"/>
      <w:r w:rsidRPr="00AF0255">
        <w:rPr>
          <w:sz w:val="24"/>
          <w:lang w:val="hr-HR"/>
        </w:rPr>
        <w:t>Lagarde</w:t>
      </w:r>
      <w:proofErr w:type="spellEnd"/>
      <w:r w:rsidRPr="00AF0255">
        <w:rPr>
          <w:sz w:val="24"/>
          <w:lang w:val="hr-HR"/>
        </w:rPr>
        <w:t>, predsjednice Europske središnje banke, od 22. studenoga 2024.</w:t>
      </w:r>
    </w:p>
  </w:footnote>
  <w:footnote w:id="9">
    <w:p w14:paraId="681C16B1" w14:textId="7F9BBA5C" w:rsidR="00A76C30" w:rsidRPr="00AF0255" w:rsidRDefault="00A76C30" w:rsidP="00AF0255">
      <w:pPr>
        <w:pStyle w:val="FootnoteText"/>
        <w:ind w:left="567" w:hanging="567"/>
        <w:rPr>
          <w:sz w:val="24"/>
          <w:lang w:val="hr-HR"/>
        </w:rPr>
      </w:pPr>
      <w:r w:rsidRPr="00AF0255">
        <w:rPr>
          <w:rStyle w:val="FootnoteReference"/>
          <w:sz w:val="24"/>
          <w:lang w:val="hr-HR"/>
        </w:rPr>
        <w:footnoteRef/>
      </w:r>
      <w:r w:rsidR="00AF0255" w:rsidRPr="00AF0255">
        <w:rPr>
          <w:sz w:val="24"/>
          <w:lang w:val="hr-HR"/>
        </w:rPr>
        <w:t xml:space="preserve"> </w:t>
      </w:r>
      <w:r w:rsidR="00AF0255" w:rsidRPr="00AF0255">
        <w:rPr>
          <w:sz w:val="24"/>
          <w:lang w:val="hr-HR"/>
        </w:rPr>
        <w:tab/>
      </w:r>
      <w:proofErr w:type="spellStart"/>
      <w:r w:rsidRPr="00AF0255">
        <w:rPr>
          <w:sz w:val="24"/>
          <w:lang w:val="hr-HR"/>
        </w:rPr>
        <w:t>Lettino</w:t>
      </w:r>
      <w:proofErr w:type="spellEnd"/>
      <w:r w:rsidRPr="00AF0255">
        <w:rPr>
          <w:sz w:val="24"/>
          <w:lang w:val="hr-HR"/>
        </w:rPr>
        <w:t xml:space="preserve"> izvješće.</w:t>
      </w:r>
    </w:p>
  </w:footnote>
  <w:footnote w:id="10">
    <w:p w14:paraId="189F6184" w14:textId="4C902CD2" w:rsidR="00A76C30" w:rsidRPr="00AF0255" w:rsidRDefault="00A76C30" w:rsidP="00AF0255">
      <w:pPr>
        <w:pStyle w:val="FootnoteText"/>
        <w:ind w:left="567" w:hanging="567"/>
        <w:rPr>
          <w:sz w:val="24"/>
          <w:lang w:val="hr-HR"/>
        </w:rPr>
      </w:pPr>
      <w:r w:rsidRPr="00AF0255">
        <w:rPr>
          <w:rStyle w:val="FootnoteReference"/>
          <w:sz w:val="24"/>
          <w:lang w:val="hr-HR"/>
        </w:rPr>
        <w:footnoteRef/>
      </w:r>
      <w:r w:rsidR="00AF0255" w:rsidRPr="00AF0255">
        <w:rPr>
          <w:sz w:val="24"/>
          <w:lang w:val="hr-HR"/>
        </w:rPr>
        <w:t xml:space="preserve"> </w:t>
      </w:r>
      <w:r w:rsidR="00AF0255" w:rsidRPr="00AF0255">
        <w:rPr>
          <w:sz w:val="24"/>
          <w:lang w:val="hr-HR"/>
        </w:rPr>
        <w:tab/>
      </w:r>
      <w:r w:rsidRPr="00AF0255">
        <w:rPr>
          <w:sz w:val="24"/>
          <w:lang w:val="hr-HR"/>
        </w:rPr>
        <w:t>Međunarodni monetarni fond, „</w:t>
      </w:r>
      <w:proofErr w:type="spellStart"/>
      <w:r w:rsidRPr="00AF0255">
        <w:rPr>
          <w:sz w:val="24"/>
          <w:lang w:val="hr-HR"/>
        </w:rPr>
        <w:t>Europe’s</w:t>
      </w:r>
      <w:proofErr w:type="spellEnd"/>
      <w:r w:rsidRPr="00AF0255">
        <w:rPr>
          <w:sz w:val="24"/>
          <w:lang w:val="hr-HR"/>
        </w:rPr>
        <w:t xml:space="preserve"> </w:t>
      </w:r>
      <w:proofErr w:type="spellStart"/>
      <w:r w:rsidRPr="00AF0255">
        <w:rPr>
          <w:sz w:val="24"/>
          <w:lang w:val="hr-HR"/>
        </w:rPr>
        <w:t>Declining</w:t>
      </w:r>
      <w:proofErr w:type="spellEnd"/>
      <w:r w:rsidRPr="00AF0255">
        <w:rPr>
          <w:sz w:val="24"/>
          <w:lang w:val="hr-HR"/>
        </w:rPr>
        <w:t xml:space="preserve"> </w:t>
      </w:r>
      <w:proofErr w:type="spellStart"/>
      <w:r w:rsidRPr="00AF0255">
        <w:rPr>
          <w:sz w:val="24"/>
          <w:lang w:val="hr-HR"/>
        </w:rPr>
        <w:t>Productivity</w:t>
      </w:r>
      <w:proofErr w:type="spellEnd"/>
      <w:r w:rsidRPr="00AF0255">
        <w:rPr>
          <w:sz w:val="24"/>
          <w:lang w:val="hr-HR"/>
        </w:rPr>
        <w:t xml:space="preserve"> </w:t>
      </w:r>
      <w:proofErr w:type="spellStart"/>
      <w:r w:rsidRPr="00AF0255">
        <w:rPr>
          <w:sz w:val="24"/>
          <w:lang w:val="hr-HR"/>
        </w:rPr>
        <w:t>Growth</w:t>
      </w:r>
      <w:proofErr w:type="spellEnd"/>
      <w:r w:rsidRPr="00AF0255">
        <w:rPr>
          <w:sz w:val="24"/>
          <w:lang w:val="hr-HR"/>
        </w:rPr>
        <w:t xml:space="preserve">: </w:t>
      </w:r>
      <w:proofErr w:type="spellStart"/>
      <w:r w:rsidRPr="00AF0255">
        <w:rPr>
          <w:sz w:val="24"/>
          <w:lang w:val="hr-HR"/>
        </w:rPr>
        <w:t>Diagnoses</w:t>
      </w:r>
      <w:proofErr w:type="spellEnd"/>
      <w:r w:rsidRPr="00AF0255">
        <w:rPr>
          <w:sz w:val="24"/>
          <w:lang w:val="hr-HR"/>
        </w:rPr>
        <w:t xml:space="preserve"> </w:t>
      </w:r>
      <w:proofErr w:type="spellStart"/>
      <w:r w:rsidRPr="00AF0255">
        <w:rPr>
          <w:sz w:val="24"/>
          <w:lang w:val="hr-HR"/>
        </w:rPr>
        <w:t>and</w:t>
      </w:r>
      <w:proofErr w:type="spellEnd"/>
      <w:r w:rsidRPr="00AF0255">
        <w:rPr>
          <w:sz w:val="24"/>
          <w:lang w:val="hr-HR"/>
        </w:rPr>
        <w:t xml:space="preserve"> </w:t>
      </w:r>
      <w:proofErr w:type="spellStart"/>
      <w:r w:rsidRPr="00AF0255">
        <w:rPr>
          <w:sz w:val="24"/>
          <w:lang w:val="hr-HR"/>
        </w:rPr>
        <w:t>Remedies</w:t>
      </w:r>
      <w:proofErr w:type="spellEnd"/>
      <w:r w:rsidRPr="00AF0255">
        <w:rPr>
          <w:sz w:val="24"/>
          <w:lang w:val="hr-HR"/>
        </w:rPr>
        <w:t xml:space="preserve"> (Pad rasta produktivnosti u Europi: dijagnoza i rješenja),, </w:t>
      </w:r>
      <w:r w:rsidRPr="00AF0255">
        <w:rPr>
          <w:i/>
          <w:sz w:val="24"/>
          <w:lang w:val="hr-HR"/>
        </w:rPr>
        <w:t xml:space="preserve">Regional </w:t>
      </w:r>
      <w:proofErr w:type="spellStart"/>
      <w:r w:rsidRPr="00AF0255">
        <w:rPr>
          <w:i/>
          <w:sz w:val="24"/>
          <w:lang w:val="hr-HR"/>
        </w:rPr>
        <w:t>Economic</w:t>
      </w:r>
      <w:proofErr w:type="spellEnd"/>
      <w:r w:rsidRPr="00AF0255">
        <w:rPr>
          <w:i/>
          <w:sz w:val="24"/>
          <w:lang w:val="hr-HR"/>
        </w:rPr>
        <w:t xml:space="preserve"> Outlook Notes – Europe</w:t>
      </w:r>
      <w:r w:rsidRPr="00AF0255">
        <w:rPr>
          <w:sz w:val="24"/>
          <w:lang w:val="hr-HR"/>
        </w:rPr>
        <w:t xml:space="preserve">, studeni 2024., </w:t>
      </w:r>
      <w:hyperlink r:id="rId2" w:history="1">
        <w:r w:rsidR="009530B9" w:rsidRPr="009530B9">
          <w:rPr>
            <w:rStyle w:val="Hyperlink"/>
            <w:sz w:val="24"/>
            <w:lang w:val="hr-HR"/>
          </w:rPr>
          <w:t>h</w:t>
        </w:r>
        <w:r w:rsidRPr="009530B9">
          <w:rPr>
            <w:rStyle w:val="Hyperlink"/>
            <w:sz w:val="24"/>
            <w:lang w:val="hr-HR"/>
          </w:rPr>
          <w:t>ttps://www.elibrary.imf.org/supplemental/book/9798400287312/9798400287312.xml/REOEUREA2024002-S001_SOURCE_PDF.pdf</w:t>
        </w:r>
      </w:hyperlink>
      <w:r w:rsidRPr="00AF0255">
        <w:rPr>
          <w:sz w:val="24"/>
          <w:lang w:val="hr-HR"/>
        </w:rPr>
        <w:t>.</w:t>
      </w:r>
    </w:p>
  </w:footnote>
  <w:footnote w:id="11">
    <w:p w14:paraId="356CB6EE" w14:textId="1779816D" w:rsidR="00A76C30" w:rsidRPr="00AF0255" w:rsidRDefault="00A76C30" w:rsidP="00AF0255">
      <w:pPr>
        <w:pStyle w:val="FootnoteText"/>
        <w:ind w:left="567" w:hanging="567"/>
        <w:rPr>
          <w:sz w:val="24"/>
          <w:lang w:val="hr-HR"/>
        </w:rPr>
      </w:pPr>
      <w:r w:rsidRPr="00AF0255">
        <w:rPr>
          <w:rStyle w:val="FootnoteReference"/>
          <w:sz w:val="24"/>
          <w:lang w:val="hr-HR"/>
        </w:rPr>
        <w:footnoteRef/>
      </w:r>
      <w:r w:rsidR="00AF0255" w:rsidRPr="00AF0255">
        <w:rPr>
          <w:sz w:val="24"/>
          <w:lang w:val="hr-HR"/>
        </w:rPr>
        <w:t xml:space="preserve"> </w:t>
      </w:r>
      <w:r w:rsidR="00AF0255" w:rsidRPr="00AF0255">
        <w:rPr>
          <w:sz w:val="24"/>
          <w:lang w:val="hr-HR"/>
        </w:rPr>
        <w:tab/>
      </w:r>
      <w:r w:rsidRPr="00AF0255">
        <w:rPr>
          <w:sz w:val="24"/>
          <w:lang w:val="hr-HR"/>
        </w:rPr>
        <w:t>Komunikacija Komisije od 29. siječnja 2025. naslovljena „Godišnje izvješće o jedinstvenom tržištu i konkurentnosti za 2025.” (COM(2025)0026),</w:t>
      </w:r>
    </w:p>
  </w:footnote>
  <w:footnote w:id="12">
    <w:p w14:paraId="26B2A839" w14:textId="25F9D40D" w:rsidR="00A76C30" w:rsidRPr="00AF0255" w:rsidRDefault="00A76C30" w:rsidP="00AF0255">
      <w:pPr>
        <w:pStyle w:val="FootnoteText"/>
        <w:ind w:left="567" w:hanging="567"/>
        <w:rPr>
          <w:sz w:val="24"/>
          <w:lang w:val="hr-HR"/>
        </w:rPr>
      </w:pPr>
      <w:r w:rsidRPr="00AF0255">
        <w:rPr>
          <w:rStyle w:val="FootnoteReference"/>
          <w:sz w:val="24"/>
          <w:lang w:val="hr-HR"/>
        </w:rPr>
        <w:footnoteRef/>
      </w:r>
      <w:r w:rsidR="00AF0255" w:rsidRPr="00AF0255">
        <w:rPr>
          <w:sz w:val="24"/>
          <w:lang w:val="hr-HR"/>
        </w:rPr>
        <w:t xml:space="preserve"> </w:t>
      </w:r>
      <w:r w:rsidR="00AF0255" w:rsidRPr="00AF0255">
        <w:rPr>
          <w:sz w:val="24"/>
          <w:lang w:val="hr-HR"/>
        </w:rPr>
        <w:tab/>
      </w:r>
      <w:r w:rsidRPr="00AF0255">
        <w:rPr>
          <w:sz w:val="24"/>
          <w:lang w:val="hr-HR"/>
        </w:rPr>
        <w:t>ESB, Serija povremenih publikacija, br. 369.</w:t>
      </w:r>
    </w:p>
  </w:footnote>
  <w:footnote w:id="13">
    <w:p w14:paraId="2EEC4B6E" w14:textId="0C068912" w:rsidR="00A76C30" w:rsidRPr="00AF0255" w:rsidRDefault="00A76C30" w:rsidP="00AF0255">
      <w:pPr>
        <w:pStyle w:val="FootnoteText"/>
        <w:ind w:left="567" w:hanging="567"/>
        <w:rPr>
          <w:sz w:val="24"/>
          <w:lang w:val="hr-HR"/>
        </w:rPr>
      </w:pPr>
      <w:r w:rsidRPr="00AF0255">
        <w:rPr>
          <w:rStyle w:val="FootnoteReference"/>
          <w:sz w:val="24"/>
          <w:lang w:val="hr-HR"/>
        </w:rPr>
        <w:footnoteRef/>
      </w:r>
      <w:r w:rsidR="00AF0255" w:rsidRPr="00AF0255">
        <w:rPr>
          <w:sz w:val="24"/>
          <w:lang w:val="hr-HR"/>
        </w:rPr>
        <w:t xml:space="preserve"> </w:t>
      </w:r>
      <w:r w:rsidR="00AF0255" w:rsidRPr="00AF0255">
        <w:rPr>
          <w:sz w:val="24"/>
          <w:lang w:val="hr-HR"/>
        </w:rPr>
        <w:tab/>
      </w:r>
      <w:proofErr w:type="spellStart"/>
      <w:r w:rsidRPr="00AF0255">
        <w:rPr>
          <w:sz w:val="24"/>
          <w:lang w:val="hr-HR"/>
        </w:rPr>
        <w:t>Lettino</w:t>
      </w:r>
      <w:proofErr w:type="spellEnd"/>
      <w:r w:rsidRPr="00AF0255">
        <w:rPr>
          <w:sz w:val="24"/>
          <w:lang w:val="hr-HR"/>
        </w:rPr>
        <w:t xml:space="preserve"> izvješće, str. 91. i 111.</w:t>
      </w:r>
    </w:p>
  </w:footnote>
  <w:footnote w:id="14">
    <w:p w14:paraId="3A1681B2" w14:textId="367CEE31" w:rsidR="00A76C30" w:rsidRPr="00AF0255" w:rsidRDefault="00A76C30" w:rsidP="00AF0255">
      <w:pPr>
        <w:pStyle w:val="FootnoteText"/>
        <w:ind w:left="567" w:hanging="567"/>
        <w:rPr>
          <w:sz w:val="24"/>
          <w:lang w:val="hr-HR"/>
        </w:rPr>
      </w:pPr>
      <w:r w:rsidRPr="00AF0255">
        <w:rPr>
          <w:rStyle w:val="FootnoteReference"/>
          <w:sz w:val="24"/>
          <w:lang w:val="hr-HR"/>
        </w:rPr>
        <w:footnoteRef/>
      </w:r>
      <w:r w:rsidR="00AF0255" w:rsidRPr="00AF0255">
        <w:rPr>
          <w:sz w:val="24"/>
          <w:lang w:val="hr-HR"/>
        </w:rPr>
        <w:t xml:space="preserve"> </w:t>
      </w:r>
      <w:r w:rsidR="00AF0255" w:rsidRPr="00AF0255">
        <w:rPr>
          <w:sz w:val="24"/>
          <w:lang w:val="hr-HR"/>
        </w:rPr>
        <w:tab/>
      </w:r>
      <w:r w:rsidRPr="00AF0255">
        <w:rPr>
          <w:sz w:val="24"/>
          <w:lang w:val="hr-HR"/>
        </w:rPr>
        <w:t>Udio financiranja kreditima banaka u financiranju nefinancijskih društava iznosio je 50,43 % (izračuni ESTAT-a, ESB-a i glavne uprave FISMA za 2023.), . vidjeti Komisijin poziv na očitovanje s obzirom na Komunikaciju o europskoj uniji za štednju i ulaganja.</w:t>
      </w:r>
    </w:p>
  </w:footnote>
  <w:footnote w:id="15">
    <w:p w14:paraId="0C7A4F20" w14:textId="34A5F60F" w:rsidR="00A76C30" w:rsidRPr="00AF0255" w:rsidRDefault="00A76C30" w:rsidP="00AF0255">
      <w:pPr>
        <w:pStyle w:val="FootnoteText"/>
        <w:ind w:left="567" w:hanging="567"/>
        <w:rPr>
          <w:sz w:val="24"/>
          <w:lang w:val="hr-HR"/>
        </w:rPr>
      </w:pPr>
      <w:r w:rsidRPr="00AF0255">
        <w:rPr>
          <w:rStyle w:val="FootnoteReference"/>
          <w:sz w:val="24"/>
          <w:lang w:val="hr-HR"/>
        </w:rPr>
        <w:footnoteRef/>
      </w:r>
      <w:r w:rsidR="00AF0255" w:rsidRPr="00AF0255">
        <w:rPr>
          <w:sz w:val="24"/>
          <w:lang w:val="hr-HR"/>
        </w:rPr>
        <w:t xml:space="preserve"> </w:t>
      </w:r>
      <w:r w:rsidR="00AF0255" w:rsidRPr="00AF0255">
        <w:rPr>
          <w:sz w:val="24"/>
          <w:lang w:val="hr-HR"/>
        </w:rPr>
        <w:tab/>
      </w:r>
      <w:r w:rsidRPr="00AF0255">
        <w:rPr>
          <w:sz w:val="24"/>
          <w:lang w:val="hr-HR"/>
        </w:rPr>
        <w:t>Glavni financijski direktor Europskog stabilizacijskog mehanizma, „</w:t>
      </w:r>
      <w:proofErr w:type="spellStart"/>
      <w:r w:rsidRPr="00AF0255">
        <w:rPr>
          <w:sz w:val="24"/>
          <w:lang w:val="hr-HR"/>
        </w:rPr>
        <w:t>Developing</w:t>
      </w:r>
      <w:proofErr w:type="spellEnd"/>
      <w:r w:rsidRPr="00AF0255">
        <w:rPr>
          <w:sz w:val="24"/>
          <w:lang w:val="hr-HR"/>
        </w:rPr>
        <w:t xml:space="preserve"> European </w:t>
      </w:r>
      <w:proofErr w:type="spellStart"/>
      <w:r w:rsidRPr="00AF0255">
        <w:rPr>
          <w:sz w:val="24"/>
          <w:lang w:val="hr-HR"/>
        </w:rPr>
        <w:t>safe</w:t>
      </w:r>
      <w:proofErr w:type="spellEnd"/>
      <w:r w:rsidRPr="00AF0255">
        <w:rPr>
          <w:sz w:val="24"/>
          <w:lang w:val="hr-HR"/>
        </w:rPr>
        <w:t xml:space="preserve"> </w:t>
      </w:r>
      <w:proofErr w:type="spellStart"/>
      <w:r w:rsidRPr="00AF0255">
        <w:rPr>
          <w:sz w:val="24"/>
          <w:lang w:val="hr-HR"/>
        </w:rPr>
        <w:t>assets</w:t>
      </w:r>
      <w:proofErr w:type="spellEnd"/>
      <w:r w:rsidRPr="00AF0255">
        <w:rPr>
          <w:sz w:val="24"/>
          <w:lang w:val="hr-HR"/>
        </w:rPr>
        <w:t xml:space="preserve">” (Razvoj europske sigurne imovine), </w:t>
      </w:r>
      <w:proofErr w:type="spellStart"/>
      <w:r w:rsidRPr="00AF0255">
        <w:rPr>
          <w:rStyle w:val="Italic"/>
          <w:sz w:val="24"/>
          <w:lang w:val="hr-HR"/>
        </w:rPr>
        <w:t>Intereconomics</w:t>
      </w:r>
      <w:proofErr w:type="spellEnd"/>
      <w:r w:rsidRPr="00AF0255">
        <w:rPr>
          <w:sz w:val="24"/>
          <w:lang w:val="hr-HR"/>
        </w:rPr>
        <w:t xml:space="preserve">, prosinac 2023., </w:t>
      </w:r>
      <w:hyperlink r:id="rId3" w:history="1">
        <w:r w:rsidRPr="009530B9">
          <w:rPr>
            <w:rStyle w:val="Hyperlink"/>
            <w:sz w:val="24"/>
            <w:lang w:val="hr-HR"/>
          </w:rPr>
          <w:t>https://www.esm.europa.eu/articles-and-op-eds/developing-european-safe-assets-article-intereconomics</w:t>
        </w:r>
      </w:hyperlink>
      <w:r w:rsidRPr="00AF0255">
        <w:rPr>
          <w:sz w:val="24"/>
          <w:lang w:val="hr-HR"/>
        </w:rPr>
        <w:t>.</w:t>
      </w:r>
    </w:p>
  </w:footnote>
  <w:footnote w:id="16">
    <w:p w14:paraId="4B3A40B6" w14:textId="0D5D949A" w:rsidR="00A76C30" w:rsidRPr="00AF0255" w:rsidRDefault="00A76C30" w:rsidP="00AF0255">
      <w:pPr>
        <w:pStyle w:val="FootnoteText"/>
        <w:ind w:left="567" w:hanging="567"/>
        <w:rPr>
          <w:sz w:val="24"/>
          <w:lang w:val="hr-HR"/>
        </w:rPr>
      </w:pPr>
      <w:r w:rsidRPr="00AF0255">
        <w:rPr>
          <w:rStyle w:val="FootnoteReference"/>
          <w:sz w:val="24"/>
          <w:lang w:val="hr-HR"/>
        </w:rPr>
        <w:footnoteRef/>
      </w:r>
      <w:r w:rsidR="00AF0255" w:rsidRPr="00AF0255">
        <w:rPr>
          <w:sz w:val="24"/>
          <w:lang w:val="hr-HR"/>
        </w:rPr>
        <w:t xml:space="preserve"> </w:t>
      </w:r>
      <w:r w:rsidR="00AF0255" w:rsidRPr="00AF0255">
        <w:rPr>
          <w:sz w:val="24"/>
          <w:lang w:val="hr-HR"/>
        </w:rPr>
        <w:tab/>
      </w:r>
      <w:r w:rsidRPr="00AF0255">
        <w:rPr>
          <w:sz w:val="24"/>
          <w:lang w:val="hr-HR"/>
        </w:rPr>
        <w:t>MMF,</w:t>
      </w:r>
      <w:r w:rsidRPr="00AF0255">
        <w:rPr>
          <w:i/>
          <w:sz w:val="24"/>
          <w:lang w:val="hr-HR"/>
        </w:rPr>
        <w:t xml:space="preserve"> Svjetski gospodarski izgledi</w:t>
      </w:r>
      <w:r w:rsidRPr="00AF0255">
        <w:rPr>
          <w:sz w:val="24"/>
          <w:lang w:val="hr-HR"/>
        </w:rPr>
        <w:t>, travanj 2025.</w:t>
      </w:r>
    </w:p>
  </w:footnote>
  <w:footnote w:id="17">
    <w:p w14:paraId="14D167E7" w14:textId="476C1F85" w:rsidR="00A76C30" w:rsidRPr="00AF0255" w:rsidRDefault="00A76C30" w:rsidP="00AF0255">
      <w:pPr>
        <w:pStyle w:val="FootnoteText"/>
        <w:ind w:left="567" w:hanging="567"/>
        <w:rPr>
          <w:sz w:val="24"/>
          <w:lang w:val="hr-HR"/>
        </w:rPr>
      </w:pPr>
      <w:r w:rsidRPr="00AF0255">
        <w:rPr>
          <w:rStyle w:val="FootnoteReference"/>
          <w:sz w:val="24"/>
          <w:lang w:val="hr-HR"/>
        </w:rPr>
        <w:footnoteRef/>
      </w:r>
      <w:r w:rsidR="00AF0255" w:rsidRPr="00AF0255">
        <w:rPr>
          <w:sz w:val="24"/>
          <w:lang w:val="hr-HR"/>
        </w:rPr>
        <w:t xml:space="preserve"> </w:t>
      </w:r>
      <w:r w:rsidR="00AF0255" w:rsidRPr="00AF0255">
        <w:rPr>
          <w:sz w:val="24"/>
          <w:lang w:val="hr-HR"/>
        </w:rPr>
        <w:tab/>
      </w:r>
      <w:r w:rsidRPr="00AF0255">
        <w:rPr>
          <w:sz w:val="24"/>
          <w:lang w:val="hr-HR"/>
        </w:rPr>
        <w:t>Centar za europske političke studije, „</w:t>
      </w:r>
      <w:proofErr w:type="spellStart"/>
      <w:r w:rsidRPr="00AF0255">
        <w:rPr>
          <w:i/>
          <w:sz w:val="24"/>
          <w:lang w:val="hr-HR"/>
        </w:rPr>
        <w:t>It’s</w:t>
      </w:r>
      <w:proofErr w:type="spellEnd"/>
      <w:r w:rsidRPr="00AF0255">
        <w:rPr>
          <w:i/>
          <w:sz w:val="24"/>
          <w:lang w:val="hr-HR"/>
        </w:rPr>
        <w:t xml:space="preserve"> </w:t>
      </w:r>
      <w:proofErr w:type="spellStart"/>
      <w:r w:rsidRPr="00AF0255">
        <w:rPr>
          <w:i/>
          <w:sz w:val="24"/>
          <w:lang w:val="hr-HR"/>
        </w:rPr>
        <w:t>finally</w:t>
      </w:r>
      <w:proofErr w:type="spellEnd"/>
      <w:r w:rsidRPr="00AF0255">
        <w:rPr>
          <w:i/>
          <w:sz w:val="24"/>
          <w:lang w:val="hr-HR"/>
        </w:rPr>
        <w:t xml:space="preserve"> time to </w:t>
      </w:r>
      <w:proofErr w:type="spellStart"/>
      <w:r w:rsidRPr="00AF0255">
        <w:rPr>
          <w:i/>
          <w:sz w:val="24"/>
          <w:lang w:val="hr-HR"/>
        </w:rPr>
        <w:t>leverage</w:t>
      </w:r>
      <w:proofErr w:type="spellEnd"/>
      <w:r w:rsidRPr="00AF0255">
        <w:rPr>
          <w:i/>
          <w:sz w:val="24"/>
          <w:lang w:val="hr-HR"/>
        </w:rPr>
        <w:t xml:space="preserve"> </w:t>
      </w:r>
      <w:proofErr w:type="spellStart"/>
      <w:r w:rsidRPr="00AF0255">
        <w:rPr>
          <w:i/>
          <w:sz w:val="24"/>
          <w:lang w:val="hr-HR"/>
        </w:rPr>
        <w:t>pension</w:t>
      </w:r>
      <w:proofErr w:type="spellEnd"/>
      <w:r w:rsidRPr="00AF0255">
        <w:rPr>
          <w:i/>
          <w:sz w:val="24"/>
          <w:lang w:val="hr-HR"/>
        </w:rPr>
        <w:t xml:space="preserve"> </w:t>
      </w:r>
      <w:proofErr w:type="spellStart"/>
      <w:r w:rsidRPr="00AF0255">
        <w:rPr>
          <w:i/>
          <w:sz w:val="24"/>
          <w:lang w:val="hr-HR"/>
        </w:rPr>
        <w:t>funds</w:t>
      </w:r>
      <w:proofErr w:type="spellEnd"/>
      <w:r w:rsidRPr="00AF0255">
        <w:rPr>
          <w:i/>
          <w:sz w:val="24"/>
          <w:lang w:val="hr-HR"/>
        </w:rPr>
        <w:t xml:space="preserve"> to </w:t>
      </w:r>
      <w:proofErr w:type="spellStart"/>
      <w:r w:rsidRPr="00AF0255">
        <w:rPr>
          <w:i/>
          <w:sz w:val="24"/>
          <w:lang w:val="hr-HR"/>
        </w:rPr>
        <w:t>foster</w:t>
      </w:r>
      <w:proofErr w:type="spellEnd"/>
      <w:r w:rsidRPr="00AF0255">
        <w:rPr>
          <w:i/>
          <w:sz w:val="24"/>
          <w:lang w:val="hr-HR"/>
        </w:rPr>
        <w:t xml:space="preserve"> EU </w:t>
      </w:r>
      <w:proofErr w:type="spellStart"/>
      <w:r w:rsidRPr="00AF0255">
        <w:rPr>
          <w:i/>
          <w:sz w:val="24"/>
          <w:lang w:val="hr-HR"/>
        </w:rPr>
        <w:t>productivity</w:t>
      </w:r>
      <w:proofErr w:type="spellEnd"/>
      <w:r w:rsidRPr="00AF0255">
        <w:rPr>
          <w:i/>
          <w:sz w:val="24"/>
          <w:lang w:val="hr-HR"/>
        </w:rPr>
        <w:t xml:space="preserve"> </w:t>
      </w:r>
      <w:proofErr w:type="spellStart"/>
      <w:r w:rsidRPr="00AF0255">
        <w:rPr>
          <w:i/>
          <w:sz w:val="24"/>
          <w:lang w:val="hr-HR"/>
        </w:rPr>
        <w:t>and</w:t>
      </w:r>
      <w:proofErr w:type="spellEnd"/>
      <w:r w:rsidRPr="00AF0255">
        <w:rPr>
          <w:i/>
          <w:sz w:val="24"/>
          <w:lang w:val="hr-HR"/>
        </w:rPr>
        <w:t xml:space="preserve"> benefit </w:t>
      </w:r>
      <w:proofErr w:type="spellStart"/>
      <w:r w:rsidRPr="00AF0255">
        <w:rPr>
          <w:i/>
          <w:sz w:val="24"/>
          <w:lang w:val="hr-HR"/>
        </w:rPr>
        <w:t>pensioners</w:t>
      </w:r>
      <w:proofErr w:type="spellEnd"/>
      <w:r w:rsidRPr="00AF0255">
        <w:rPr>
          <w:sz w:val="24"/>
          <w:lang w:val="hr-HR"/>
        </w:rPr>
        <w:t xml:space="preserve">” (Napokon je vrijeme da se mirovinski fondovi iskoriste za poticanje produktivnosti i naknada umirovljenicima u EU-u), 10. veljače 2025., </w:t>
      </w:r>
      <w:hyperlink r:id="rId4" w:history="1">
        <w:r w:rsidRPr="00AF0255">
          <w:rPr>
            <w:rStyle w:val="Hyperlink"/>
            <w:sz w:val="24"/>
            <w:lang w:val="hr-HR"/>
          </w:rPr>
          <w:t>https://www.ceps.eu/its-finally-time-to-leverage-pension-funds-to-foster-eu-productivity-and-benefit-pensioners/</w:t>
        </w:r>
      </w:hyperlink>
      <w:r w:rsidRPr="00AF0255">
        <w:rPr>
          <w:sz w:val="24"/>
          <w:lang w:val="hr-HR"/>
        </w:rPr>
        <w:t>.</w:t>
      </w:r>
    </w:p>
  </w:footnote>
  <w:footnote w:id="18">
    <w:p w14:paraId="408BBDF8" w14:textId="59874551" w:rsidR="00A76C30" w:rsidRPr="00AF0255" w:rsidRDefault="00A76C30" w:rsidP="00AF0255">
      <w:pPr>
        <w:pStyle w:val="FootnoteText"/>
        <w:ind w:left="567" w:hanging="567"/>
        <w:rPr>
          <w:sz w:val="24"/>
          <w:lang w:val="hr-HR"/>
        </w:rPr>
      </w:pPr>
      <w:r w:rsidRPr="00AF0255">
        <w:rPr>
          <w:rStyle w:val="FootnoteReference"/>
          <w:sz w:val="24"/>
          <w:lang w:val="hr-HR"/>
        </w:rPr>
        <w:footnoteRef/>
      </w:r>
      <w:r w:rsidR="00AF0255" w:rsidRPr="00AF0255">
        <w:rPr>
          <w:sz w:val="24"/>
          <w:lang w:val="hr-HR"/>
        </w:rPr>
        <w:t xml:space="preserve"> </w:t>
      </w:r>
      <w:r w:rsidR="00AF0255" w:rsidRPr="00AF0255">
        <w:rPr>
          <w:sz w:val="24"/>
          <w:lang w:val="hr-HR"/>
        </w:rPr>
        <w:tab/>
      </w:r>
      <w:proofErr w:type="spellStart"/>
      <w:r w:rsidRPr="00AF0255">
        <w:rPr>
          <w:sz w:val="24"/>
          <w:lang w:val="hr-HR"/>
        </w:rPr>
        <w:t>Noyerovo</w:t>
      </w:r>
      <w:proofErr w:type="spellEnd"/>
      <w:r w:rsidRPr="00AF0255">
        <w:rPr>
          <w:sz w:val="24"/>
          <w:lang w:val="hr-HR"/>
        </w:rPr>
        <w:t xml:space="preserve"> izvješće, str. 62.</w:t>
      </w:r>
    </w:p>
  </w:footnote>
  <w:footnote w:id="19">
    <w:p w14:paraId="4C039DA6" w14:textId="4EED20B5" w:rsidR="00A76C30" w:rsidRPr="00AF0255" w:rsidRDefault="00A76C30" w:rsidP="00AF0255">
      <w:pPr>
        <w:pStyle w:val="FootnoteText"/>
        <w:ind w:left="567" w:hanging="567"/>
        <w:rPr>
          <w:sz w:val="24"/>
          <w:lang w:val="hr-HR"/>
        </w:rPr>
      </w:pPr>
      <w:r w:rsidRPr="00AF0255">
        <w:rPr>
          <w:rStyle w:val="FootnoteReference"/>
          <w:sz w:val="24"/>
          <w:lang w:val="hr-HR"/>
        </w:rPr>
        <w:footnoteRef/>
      </w:r>
      <w:r w:rsidR="00AF0255" w:rsidRPr="00AF0255">
        <w:rPr>
          <w:sz w:val="24"/>
          <w:lang w:val="hr-HR"/>
        </w:rPr>
        <w:t xml:space="preserve"> </w:t>
      </w:r>
      <w:r w:rsidR="00AF0255" w:rsidRPr="00AF0255">
        <w:rPr>
          <w:sz w:val="24"/>
          <w:lang w:val="hr-HR"/>
        </w:rPr>
        <w:tab/>
      </w:r>
      <w:r w:rsidRPr="00AF0255">
        <w:rPr>
          <w:sz w:val="24"/>
          <w:lang w:val="hr-HR"/>
        </w:rPr>
        <w:t xml:space="preserve">Uredba Europske središnje banke (EU) br. 795/2014 od 3. srpnja 2014. o nadzornim zahtjevima za sistemski važne platne sustave (SL L 217, 23.7.2014., str. 16., ELI: http://data.europa.eu/eli/reg/2014/795/oj). </w:t>
      </w:r>
      <w:hyperlink r:id="rId5" w:tooltip="Dokument je dostupan na temelju identifikatora ELI URI." w:history="1">
        <w:r w:rsidRPr="009736AF">
          <w:rPr>
            <w:sz w:val="24"/>
            <w:lang w:val="hr-HR"/>
          </w:rPr>
          <w:t>http://data.europa.eu/eli/reg/2014/795/oj</w:t>
        </w:r>
      </w:hyperlink>
      <w:r w:rsidRPr="00AF0255">
        <w:rPr>
          <w:sz w:val="24"/>
          <w:lang w:val="hr-HR"/>
        </w:rPr>
        <w:t xml:space="preserve">). </w:t>
      </w:r>
    </w:p>
  </w:footnote>
  <w:footnote w:id="20">
    <w:p w14:paraId="41C3B8E1" w14:textId="5252F809" w:rsidR="00A76C30" w:rsidRPr="00AF0255" w:rsidRDefault="00A76C30" w:rsidP="00AF0255">
      <w:pPr>
        <w:pStyle w:val="title-bold"/>
        <w:shd w:val="clear" w:color="auto" w:fill="FFFFFF"/>
        <w:spacing w:before="0" w:beforeAutospacing="0" w:after="75" w:afterAutospacing="0"/>
        <w:ind w:left="567" w:hanging="567"/>
        <w:rPr>
          <w:lang w:val="hr-HR"/>
        </w:rPr>
      </w:pPr>
      <w:r w:rsidRPr="00AF0255">
        <w:rPr>
          <w:rStyle w:val="FootnoteReference"/>
          <w:lang w:val="hr-HR"/>
        </w:rPr>
        <w:footnoteRef/>
      </w:r>
      <w:r w:rsidR="00AF0255" w:rsidRPr="00AF0255">
        <w:rPr>
          <w:snapToGrid w:val="0"/>
          <w:lang w:val="hr-HR"/>
        </w:rPr>
        <w:t xml:space="preserve"> </w:t>
      </w:r>
      <w:r w:rsidR="00AF0255" w:rsidRPr="00AF0255">
        <w:rPr>
          <w:snapToGrid w:val="0"/>
          <w:lang w:val="hr-HR"/>
        </w:rPr>
        <w:tab/>
      </w:r>
      <w:r w:rsidRPr="00AF0255">
        <w:rPr>
          <w:snapToGrid w:val="0"/>
          <w:lang w:val="hr-HR"/>
        </w:rPr>
        <w:t>Uredba (EU) br. 600/2014 Europskog parlamenta i Vijeća od 15. svibnja 2014. o tržištima financijskih instrumenata i izmjeni Uredbe (EU) br. 648/2012 (SL L 173, 12.6.2014., str. 84.</w:t>
      </w:r>
      <w:r w:rsidRPr="00AF0255">
        <w:rPr>
          <w:lang w:val="hr-HR"/>
        </w:rPr>
        <w:t xml:space="preserve">, ELI: </w:t>
      </w:r>
      <w:hyperlink r:id="rId6" w:tooltip="Dokument je dostupan na temelju identifikatora ELI URI." w:history="1">
        <w:r w:rsidRPr="009736AF">
          <w:rPr>
            <w:lang w:val="hr-HR"/>
          </w:rPr>
          <w:t>http://data.europa.eu/eli/reg/2014/600/oj</w:t>
        </w:r>
      </w:hyperlink>
      <w:r w:rsidRPr="009736AF">
        <w:rPr>
          <w:lang w:val="hr-HR"/>
        </w:rPr>
        <w:t>)</w:t>
      </w:r>
      <w:r w:rsidRPr="00AF0255">
        <w:rPr>
          <w:i/>
          <w:snapToGrid w:val="0"/>
          <w:lang w:val="hr-HR"/>
        </w:rPr>
        <w:t>.</w:t>
      </w:r>
    </w:p>
  </w:footnote>
  <w:footnote w:id="21">
    <w:p w14:paraId="0C9865D6" w14:textId="7616CDB4" w:rsidR="00A76C30" w:rsidRPr="00AF0255" w:rsidRDefault="00A76C30" w:rsidP="00AF0255">
      <w:pPr>
        <w:pStyle w:val="title-bold"/>
        <w:shd w:val="clear" w:color="auto" w:fill="FFFFFF"/>
        <w:spacing w:before="0" w:beforeAutospacing="0" w:after="75" w:afterAutospacing="0"/>
        <w:ind w:left="567" w:hanging="567"/>
        <w:rPr>
          <w:lang w:val="hr-HR"/>
        </w:rPr>
      </w:pPr>
      <w:r w:rsidRPr="00AF0255">
        <w:rPr>
          <w:rStyle w:val="FootnoteReference"/>
          <w:lang w:val="hr-HR"/>
        </w:rPr>
        <w:footnoteRef/>
      </w:r>
      <w:r w:rsidR="00AF0255" w:rsidRPr="00AF0255">
        <w:rPr>
          <w:snapToGrid w:val="0"/>
          <w:lang w:val="hr-HR"/>
        </w:rPr>
        <w:t xml:space="preserve"> </w:t>
      </w:r>
      <w:r w:rsidR="00AF0255" w:rsidRPr="00AF0255">
        <w:rPr>
          <w:snapToGrid w:val="0"/>
          <w:lang w:val="hr-HR"/>
        </w:rPr>
        <w:tab/>
      </w:r>
      <w:r w:rsidRPr="00AF0255">
        <w:rPr>
          <w:snapToGrid w:val="0"/>
          <w:lang w:val="hr-HR"/>
        </w:rPr>
        <w:t>Uredba (EU) br. 648/2012 Europskog parlamenta i Vijeća od 4. srpnja 2012. o OTC izvedenicama, središnjoj drugoj ugovornoj strani i trgovinskom repozitoriju (SL L 201, 27.7.2012., str. 1., ELI</w:t>
      </w:r>
      <w:r w:rsidRPr="009736AF">
        <w:rPr>
          <w:snapToGrid w:val="0"/>
          <w:lang w:val="hr-HR"/>
        </w:rPr>
        <w:t xml:space="preserve">: </w:t>
      </w:r>
      <w:hyperlink r:id="rId7" w:tooltip="Dokument je dostupan na temelju identifikatora ELI URI." w:history="1">
        <w:r w:rsidRPr="009736AF">
          <w:rPr>
            <w:lang w:val="hr-HR"/>
          </w:rPr>
          <w:t>http://data.europa.eu/eli/reg/2012/648/oj</w:t>
        </w:r>
      </w:hyperlink>
      <w:r w:rsidRPr="00AF0255">
        <w:rPr>
          <w:snapToGrid w:val="0"/>
          <w:lang w:val="hr-HR"/>
        </w:rPr>
        <w:t>).</w:t>
      </w:r>
    </w:p>
  </w:footnote>
  <w:footnote w:id="22">
    <w:p w14:paraId="4D876AE7" w14:textId="67F04230" w:rsidR="00A76C30" w:rsidRPr="00AF0255" w:rsidRDefault="00A76C30" w:rsidP="00AF0255">
      <w:pPr>
        <w:pStyle w:val="FootnoteText"/>
        <w:ind w:left="567" w:hanging="567"/>
        <w:rPr>
          <w:i/>
          <w:sz w:val="24"/>
          <w:lang w:val="hr-HR"/>
        </w:rPr>
      </w:pPr>
      <w:r w:rsidRPr="00AF0255">
        <w:rPr>
          <w:rStyle w:val="FootnoteReference"/>
          <w:sz w:val="24"/>
          <w:lang w:val="hr-HR"/>
        </w:rPr>
        <w:footnoteRef/>
      </w:r>
      <w:r w:rsidR="00AF0255" w:rsidRPr="00AF0255">
        <w:rPr>
          <w:sz w:val="24"/>
          <w:lang w:val="hr-HR"/>
        </w:rPr>
        <w:t xml:space="preserve"> </w:t>
      </w:r>
      <w:r w:rsidR="00AF0255" w:rsidRPr="00AF0255">
        <w:rPr>
          <w:sz w:val="24"/>
          <w:lang w:val="hr-HR"/>
        </w:rPr>
        <w:tab/>
      </w:r>
      <w:r w:rsidRPr="00AF0255">
        <w:rPr>
          <w:sz w:val="24"/>
          <w:lang w:val="hr-HR"/>
        </w:rPr>
        <w:t xml:space="preserve">Uredba (EU) br. 909/2014 Europskog parlamenta i Vijeća od 23. srpnja 2014. o poboljšanju namire vrijednosnih papira u Europskoj uniji i o središnjim </w:t>
      </w:r>
      <w:proofErr w:type="spellStart"/>
      <w:r w:rsidRPr="00AF0255">
        <w:rPr>
          <w:sz w:val="24"/>
          <w:lang w:val="hr-HR"/>
        </w:rPr>
        <w:t>depozitorijima</w:t>
      </w:r>
      <w:proofErr w:type="spellEnd"/>
      <w:r w:rsidRPr="00AF0255">
        <w:rPr>
          <w:sz w:val="24"/>
          <w:lang w:val="hr-HR"/>
        </w:rPr>
        <w:t xml:space="preserve"> vrijednosnih papira te izmjeni direktiva 98/26/EZ i 2014/65/EU te Uredbe (EU) br. 236/2012 (SL L 257, 28.8.2014., str. 1., </w:t>
      </w:r>
      <w:r w:rsidRPr="00131282">
        <w:rPr>
          <w:sz w:val="24"/>
          <w:lang w:val="hr-HR"/>
        </w:rPr>
        <w:t>ELI: </w:t>
      </w:r>
      <w:hyperlink r:id="rId8" w:tooltip="Dokument je dostupan na temelju identifikatora ELI URI." w:history="1">
        <w:r w:rsidRPr="00131282">
          <w:rPr>
            <w:sz w:val="24"/>
            <w:lang w:val="hr-HR"/>
          </w:rPr>
          <w:t>http://data.europa.eu/eli/reg/2014/909/oj</w:t>
        </w:r>
      </w:hyperlink>
      <w:r w:rsidRPr="00AF0255">
        <w:rPr>
          <w:sz w:val="24"/>
          <w:lang w:val="hr-HR"/>
        </w:rPr>
        <w:t>).</w:t>
      </w:r>
    </w:p>
  </w:footnote>
  <w:footnote w:id="23">
    <w:p w14:paraId="5F1D078B" w14:textId="286483AE" w:rsidR="00A76C30" w:rsidRPr="00131282" w:rsidRDefault="00A76C30" w:rsidP="00AF0255">
      <w:pPr>
        <w:pStyle w:val="FootnoteText"/>
        <w:ind w:left="567" w:hanging="567"/>
        <w:rPr>
          <w:sz w:val="24"/>
          <w:lang w:val="hr-HR"/>
        </w:rPr>
      </w:pPr>
      <w:r w:rsidRPr="00AF0255">
        <w:rPr>
          <w:rStyle w:val="FootnoteReference"/>
          <w:sz w:val="24"/>
          <w:lang w:val="hr-HR"/>
        </w:rPr>
        <w:footnoteRef/>
      </w:r>
      <w:r w:rsidR="00AF0255" w:rsidRPr="00AF0255">
        <w:rPr>
          <w:sz w:val="24"/>
          <w:lang w:val="hr-HR"/>
        </w:rPr>
        <w:t xml:space="preserve"> </w:t>
      </w:r>
      <w:r w:rsidR="00AF0255" w:rsidRPr="00AF0255">
        <w:rPr>
          <w:sz w:val="24"/>
          <w:lang w:val="hr-HR"/>
        </w:rPr>
        <w:tab/>
      </w:r>
      <w:r w:rsidRPr="00AF0255">
        <w:rPr>
          <w:sz w:val="24"/>
          <w:lang w:val="hr-HR"/>
        </w:rPr>
        <w:t>Uredba (EU) 2019/2088 Europskog parlamenta i Vijeća od 27. studenoga 2019. o objavama povezanim s održivosti u sektoru financijskih usluga (SL L 317, 9.12.2019., str. 1., ELI: </w:t>
      </w:r>
      <w:hyperlink r:id="rId9" w:tooltip="Dokument je dostupan na temelju identifikatora ELI URI." w:history="1">
        <w:r w:rsidRPr="00131282">
          <w:rPr>
            <w:sz w:val="24"/>
            <w:lang w:val="hr-HR"/>
          </w:rPr>
          <w:t>http://data.europa.eu/eli/reg/2019/2088/oj</w:t>
        </w:r>
      </w:hyperlink>
      <w:r w:rsidRPr="00131282">
        <w:rPr>
          <w:sz w:val="24"/>
          <w:lang w:val="hr-HR"/>
        </w:rPr>
        <w:t>).</w:t>
      </w:r>
    </w:p>
  </w:footnote>
  <w:footnote w:id="24">
    <w:p w14:paraId="77B74159" w14:textId="62CA1487" w:rsidR="00A76C30" w:rsidRPr="00AF0255" w:rsidRDefault="00A76C30" w:rsidP="00AF0255">
      <w:pPr>
        <w:pStyle w:val="FootnoteText"/>
        <w:ind w:left="567" w:hanging="567"/>
        <w:rPr>
          <w:sz w:val="24"/>
          <w:lang w:val="hr-HR"/>
        </w:rPr>
      </w:pPr>
      <w:r w:rsidRPr="00AF0255">
        <w:rPr>
          <w:rStyle w:val="FootnoteReference"/>
          <w:sz w:val="24"/>
          <w:lang w:val="hr-HR"/>
        </w:rPr>
        <w:footnoteRef/>
      </w:r>
      <w:r w:rsidR="00AF0255" w:rsidRPr="00AF0255">
        <w:rPr>
          <w:sz w:val="24"/>
          <w:lang w:val="hr-HR"/>
        </w:rPr>
        <w:t xml:space="preserve"> </w:t>
      </w:r>
      <w:r w:rsidR="00AF0255" w:rsidRPr="00AF0255">
        <w:rPr>
          <w:sz w:val="24"/>
          <w:lang w:val="hr-HR"/>
        </w:rPr>
        <w:tab/>
      </w:r>
      <w:r w:rsidRPr="00AF0255">
        <w:rPr>
          <w:sz w:val="24"/>
          <w:lang w:val="hr-HR"/>
        </w:rPr>
        <w:t>Komisijin Prijedlog direktive Vijeća od 12. rujna 2023. o okviru „Poslovanje u Europi: Okvir za oporezivanje dobiti” (BEFIT) (COM(2023)0532), Obrazloženje, str. 8.</w:t>
      </w:r>
    </w:p>
  </w:footnote>
  <w:footnote w:id="25">
    <w:p w14:paraId="4C52FC13" w14:textId="11FF4992" w:rsidR="00A76C30" w:rsidRPr="00AF0255" w:rsidRDefault="00A76C30" w:rsidP="00AF0255">
      <w:pPr>
        <w:pStyle w:val="FootnoteText"/>
        <w:ind w:left="567" w:hanging="567"/>
        <w:rPr>
          <w:sz w:val="24"/>
          <w:lang w:val="hr-HR"/>
        </w:rPr>
      </w:pPr>
      <w:r w:rsidRPr="00AF0255">
        <w:rPr>
          <w:rStyle w:val="FootnoteReference"/>
          <w:sz w:val="24"/>
          <w:lang w:val="hr-HR"/>
        </w:rPr>
        <w:footnoteRef/>
      </w:r>
      <w:r w:rsidR="00AF0255" w:rsidRPr="00AF0255">
        <w:rPr>
          <w:sz w:val="24"/>
          <w:lang w:val="hr-HR"/>
        </w:rPr>
        <w:t xml:space="preserve"> </w:t>
      </w:r>
      <w:r w:rsidR="00AF0255" w:rsidRPr="00AF0255">
        <w:rPr>
          <w:sz w:val="24"/>
          <w:lang w:val="hr-HR"/>
        </w:rPr>
        <w:tab/>
      </w:r>
      <w:r w:rsidRPr="00AF0255">
        <w:rPr>
          <w:sz w:val="24"/>
          <w:lang w:val="hr-HR"/>
        </w:rPr>
        <w:t xml:space="preserve">Francusko Ministarstvo gospodarstva, financija te industrijske i digitalne suverenosti, </w:t>
      </w:r>
      <w:r w:rsidRPr="00AF0255">
        <w:rPr>
          <w:i/>
          <w:iCs/>
          <w:sz w:val="24"/>
          <w:lang w:val="hr-HR"/>
        </w:rPr>
        <w:t>Pokretanje oznake „</w:t>
      </w:r>
      <w:proofErr w:type="spellStart"/>
      <w:r w:rsidRPr="00AF0255">
        <w:rPr>
          <w:i/>
          <w:iCs/>
          <w:sz w:val="24"/>
          <w:lang w:val="hr-HR"/>
        </w:rPr>
        <w:t>Finance</w:t>
      </w:r>
      <w:proofErr w:type="spellEnd"/>
      <w:r w:rsidRPr="00AF0255">
        <w:rPr>
          <w:i/>
          <w:iCs/>
          <w:sz w:val="24"/>
          <w:lang w:val="hr-HR"/>
        </w:rPr>
        <w:t xml:space="preserve"> Europe”: stvaranje prilika za ulaganja za financiranje europskog gospodarstva</w:t>
      </w:r>
      <w:r w:rsidRPr="00AF0255">
        <w:rPr>
          <w:sz w:val="24"/>
          <w:lang w:val="hr-HR"/>
        </w:rPr>
        <w:t xml:space="preserve">, priopćenje za medije, 6. lipnja 2025., </w:t>
      </w:r>
      <w:hyperlink r:id="rId10" w:history="1">
        <w:r w:rsidRPr="00AF0255">
          <w:rPr>
            <w:rStyle w:val="Hyperlink"/>
            <w:sz w:val="24"/>
            <w:lang w:val="hr-HR"/>
          </w:rPr>
          <w:t>https://presse.economie.gouv.fr/lancement-du-label-europeen-finance-europe-pour-que-lepargne-des-europeens-contribue-au-financement-de-leconomie-europeenne/</w:t>
        </w:r>
      </w:hyperlink>
      <w:r w:rsidRPr="00AF0255">
        <w:rPr>
          <w:sz w:val="24"/>
          <w:lang w:val="hr-HR"/>
        </w:rPr>
        <w:t xml:space="preserve">. </w:t>
      </w:r>
    </w:p>
  </w:footnote>
  <w:footnote w:id="26">
    <w:p w14:paraId="269D51C6" w14:textId="6718B1CF" w:rsidR="00A76C30" w:rsidRPr="00AF0255" w:rsidRDefault="00A76C30" w:rsidP="00AF0255">
      <w:pPr>
        <w:pStyle w:val="FootnoteText"/>
        <w:ind w:left="567" w:hanging="567"/>
        <w:rPr>
          <w:sz w:val="24"/>
          <w:lang w:val="hr-HR"/>
        </w:rPr>
      </w:pPr>
      <w:r w:rsidRPr="00AF0255">
        <w:rPr>
          <w:rStyle w:val="FootnoteReference"/>
          <w:sz w:val="24"/>
          <w:lang w:val="hr-HR"/>
        </w:rPr>
        <w:footnoteRef/>
      </w:r>
      <w:r w:rsidR="00AF0255" w:rsidRPr="00AF0255">
        <w:rPr>
          <w:sz w:val="24"/>
          <w:lang w:val="hr-HR"/>
        </w:rPr>
        <w:t xml:space="preserve"> </w:t>
      </w:r>
      <w:r w:rsidR="00AF0255" w:rsidRPr="00AF0255">
        <w:rPr>
          <w:sz w:val="24"/>
          <w:lang w:val="hr-HR"/>
        </w:rPr>
        <w:tab/>
      </w:r>
      <w:r w:rsidRPr="00AF0255">
        <w:rPr>
          <w:sz w:val="24"/>
          <w:lang w:val="hr-HR"/>
        </w:rPr>
        <w:t xml:space="preserve">Europska komisija, </w:t>
      </w:r>
      <w:proofErr w:type="spellStart"/>
      <w:r w:rsidRPr="00AF0255">
        <w:rPr>
          <w:i/>
          <w:sz w:val="24"/>
          <w:lang w:val="hr-HR"/>
        </w:rPr>
        <w:t>Feasibility</w:t>
      </w:r>
      <w:proofErr w:type="spellEnd"/>
      <w:r w:rsidRPr="00AF0255">
        <w:rPr>
          <w:i/>
          <w:sz w:val="24"/>
          <w:lang w:val="hr-HR"/>
        </w:rPr>
        <w:t xml:space="preserve"> </w:t>
      </w:r>
      <w:proofErr w:type="spellStart"/>
      <w:r w:rsidRPr="00AF0255">
        <w:rPr>
          <w:i/>
          <w:sz w:val="24"/>
          <w:lang w:val="hr-HR"/>
        </w:rPr>
        <w:t>study</w:t>
      </w:r>
      <w:proofErr w:type="spellEnd"/>
      <w:r w:rsidRPr="00AF0255">
        <w:rPr>
          <w:i/>
          <w:sz w:val="24"/>
          <w:lang w:val="hr-HR"/>
        </w:rPr>
        <w:t xml:space="preserve"> for </w:t>
      </w:r>
      <w:proofErr w:type="spellStart"/>
      <w:r w:rsidRPr="00AF0255">
        <w:rPr>
          <w:i/>
          <w:sz w:val="24"/>
          <w:lang w:val="hr-HR"/>
        </w:rPr>
        <w:t>the</w:t>
      </w:r>
      <w:proofErr w:type="spellEnd"/>
      <w:r w:rsidRPr="00AF0255">
        <w:rPr>
          <w:i/>
          <w:sz w:val="24"/>
          <w:lang w:val="hr-HR"/>
        </w:rPr>
        <w:t xml:space="preserve"> </w:t>
      </w:r>
      <w:proofErr w:type="spellStart"/>
      <w:r w:rsidRPr="00AF0255">
        <w:rPr>
          <w:i/>
          <w:sz w:val="24"/>
          <w:lang w:val="hr-HR"/>
        </w:rPr>
        <w:t>creation</w:t>
      </w:r>
      <w:proofErr w:type="spellEnd"/>
      <w:r w:rsidRPr="00AF0255">
        <w:rPr>
          <w:i/>
          <w:sz w:val="24"/>
          <w:lang w:val="hr-HR"/>
        </w:rPr>
        <w:t xml:space="preserve"> </w:t>
      </w:r>
      <w:proofErr w:type="spellStart"/>
      <w:r w:rsidRPr="00AF0255">
        <w:rPr>
          <w:i/>
          <w:sz w:val="24"/>
          <w:lang w:val="hr-HR"/>
        </w:rPr>
        <w:t>of</w:t>
      </w:r>
      <w:proofErr w:type="spellEnd"/>
      <w:r w:rsidRPr="00AF0255">
        <w:rPr>
          <w:i/>
          <w:sz w:val="24"/>
          <w:lang w:val="hr-HR"/>
        </w:rPr>
        <w:t xml:space="preserve"> a CMU </w:t>
      </w:r>
      <w:proofErr w:type="spellStart"/>
      <w:r w:rsidRPr="00AF0255">
        <w:rPr>
          <w:i/>
          <w:sz w:val="24"/>
          <w:lang w:val="hr-HR"/>
        </w:rPr>
        <w:t>Equity</w:t>
      </w:r>
      <w:proofErr w:type="spellEnd"/>
      <w:r w:rsidRPr="00AF0255">
        <w:rPr>
          <w:i/>
          <w:sz w:val="24"/>
          <w:lang w:val="hr-HR"/>
        </w:rPr>
        <w:t xml:space="preserve"> Market Index </w:t>
      </w:r>
      <w:proofErr w:type="spellStart"/>
      <w:r w:rsidRPr="00AF0255">
        <w:rPr>
          <w:i/>
          <w:sz w:val="24"/>
          <w:lang w:val="hr-HR"/>
        </w:rPr>
        <w:t>Family</w:t>
      </w:r>
      <w:proofErr w:type="spellEnd"/>
      <w:r w:rsidRPr="00AF0255">
        <w:rPr>
          <w:sz w:val="24"/>
          <w:lang w:val="hr-HR"/>
        </w:rPr>
        <w:t xml:space="preserve"> (Studija izvedivosti za izradu skupine indeksa za tržište vlasničkih instrumenata u uniji tržišta kapitala), 2020. </w:t>
      </w:r>
      <w:hyperlink r:id="rId11" w:history="1">
        <w:r w:rsidRPr="009530B9">
          <w:rPr>
            <w:rStyle w:val="Hyperlink"/>
            <w:sz w:val="24"/>
            <w:lang w:val="hr-HR"/>
          </w:rPr>
          <w:t>https://op.europa.eu/en/publication-detail/-/publication/1562efbd-cbc6-11ea-adf7-01aa75ed71a1/language-en/</w:t>
        </w:r>
      </w:hyperlink>
      <w:r w:rsidR="009530B9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088F3" w14:textId="77777777" w:rsidR="00064002" w:rsidRPr="00AF025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1206E" w14:textId="77777777" w:rsidR="00064002" w:rsidRPr="00AF025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9BFA6" w14:textId="77777777" w:rsidR="00064002" w:rsidRPr="00AF025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83085807">
    <w:abstractNumId w:val="9"/>
  </w:num>
  <w:num w:numId="2" w16cid:durableId="1497383837">
    <w:abstractNumId w:val="9"/>
  </w:num>
  <w:num w:numId="3" w16cid:durableId="1530994313">
    <w:abstractNumId w:val="7"/>
  </w:num>
  <w:num w:numId="4" w16cid:durableId="1457603157">
    <w:abstractNumId w:val="7"/>
  </w:num>
  <w:num w:numId="5" w16cid:durableId="649476883">
    <w:abstractNumId w:val="6"/>
  </w:num>
  <w:num w:numId="6" w16cid:durableId="1793478014">
    <w:abstractNumId w:val="6"/>
  </w:num>
  <w:num w:numId="7" w16cid:durableId="1501386645">
    <w:abstractNumId w:val="5"/>
  </w:num>
  <w:num w:numId="8" w16cid:durableId="1673100728">
    <w:abstractNumId w:val="5"/>
  </w:num>
  <w:num w:numId="9" w16cid:durableId="554968151">
    <w:abstractNumId w:val="4"/>
  </w:num>
  <w:num w:numId="10" w16cid:durableId="734819331">
    <w:abstractNumId w:val="4"/>
  </w:num>
  <w:num w:numId="11" w16cid:durableId="347365596">
    <w:abstractNumId w:val="8"/>
  </w:num>
  <w:num w:numId="12" w16cid:durableId="1779987679">
    <w:abstractNumId w:val="8"/>
  </w:num>
  <w:num w:numId="13" w16cid:durableId="1151600683">
    <w:abstractNumId w:val="3"/>
  </w:num>
  <w:num w:numId="14" w16cid:durableId="1343625482">
    <w:abstractNumId w:val="3"/>
  </w:num>
  <w:num w:numId="15" w16cid:durableId="1025207489">
    <w:abstractNumId w:val="2"/>
  </w:num>
  <w:num w:numId="16" w16cid:durableId="473330138">
    <w:abstractNumId w:val="2"/>
  </w:num>
  <w:num w:numId="17" w16cid:durableId="1792477769">
    <w:abstractNumId w:val="1"/>
  </w:num>
  <w:num w:numId="18" w16cid:durableId="523638406">
    <w:abstractNumId w:val="1"/>
  </w:num>
  <w:num w:numId="19" w16cid:durableId="790628907">
    <w:abstractNumId w:val="0"/>
  </w:num>
  <w:num w:numId="20" w16cid:durableId="1382511213">
    <w:abstractNumId w:val="0"/>
  </w:num>
  <w:num w:numId="21" w16cid:durableId="2119134648">
    <w:abstractNumId w:val="9"/>
  </w:num>
  <w:num w:numId="22" w16cid:durableId="1768963078">
    <w:abstractNumId w:val="7"/>
  </w:num>
  <w:num w:numId="23" w16cid:durableId="1204252996">
    <w:abstractNumId w:val="6"/>
  </w:num>
  <w:num w:numId="24" w16cid:durableId="1761173709">
    <w:abstractNumId w:val="5"/>
  </w:num>
  <w:num w:numId="25" w16cid:durableId="2045212481">
    <w:abstractNumId w:val="4"/>
  </w:num>
  <w:num w:numId="26" w16cid:durableId="994380657">
    <w:abstractNumId w:val="8"/>
  </w:num>
  <w:num w:numId="27" w16cid:durableId="1419250194">
    <w:abstractNumId w:val="3"/>
  </w:num>
  <w:num w:numId="28" w16cid:durableId="53509540">
    <w:abstractNumId w:val="2"/>
  </w:num>
  <w:num w:numId="29" w16cid:durableId="1649092632">
    <w:abstractNumId w:val="1"/>
  </w:num>
  <w:num w:numId="30" w16cid:durableId="325085923">
    <w:abstractNumId w:val="0"/>
  </w:num>
  <w:num w:numId="31" w16cid:durableId="1209881870">
    <w:abstractNumId w:val="9"/>
  </w:num>
  <w:num w:numId="32" w16cid:durableId="1254513105">
    <w:abstractNumId w:val="7"/>
  </w:num>
  <w:num w:numId="33" w16cid:durableId="1805809431">
    <w:abstractNumId w:val="6"/>
  </w:num>
  <w:num w:numId="34" w16cid:durableId="2017879765">
    <w:abstractNumId w:val="5"/>
  </w:num>
  <w:num w:numId="35" w16cid:durableId="527766116">
    <w:abstractNumId w:val="4"/>
  </w:num>
  <w:num w:numId="36" w16cid:durableId="1285699366">
    <w:abstractNumId w:val="8"/>
  </w:num>
  <w:num w:numId="37" w16cid:durableId="984698605">
    <w:abstractNumId w:val="3"/>
  </w:num>
  <w:num w:numId="38" w16cid:durableId="1140534190">
    <w:abstractNumId w:val="2"/>
  </w:num>
  <w:num w:numId="39" w16cid:durableId="1584991770">
    <w:abstractNumId w:val="1"/>
  </w:num>
  <w:num w:numId="40" w16cid:durableId="1962495165">
    <w:abstractNumId w:val="0"/>
  </w:num>
  <w:num w:numId="41" w16cid:durableId="827786407">
    <w:abstractNumId w:val="10"/>
  </w:num>
  <w:num w:numId="42" w16cid:durableId="314839219">
    <w:abstractNumId w:val="10"/>
  </w:num>
  <w:num w:numId="43" w16cid:durableId="910580910">
    <w:abstractNumId w:val="10"/>
  </w:num>
  <w:num w:numId="44" w16cid:durableId="14927890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4/2025"/>
    <w:docVar w:name="dvlangue" w:val="HR"/>
    <w:docVar w:name="dvnumam" w:val="0"/>
    <w:docVar w:name="dvpe" w:val="770.112"/>
    <w:docVar w:name="dvrapporteur" w:val="Izvjestiteljica: "/>
    <w:docVar w:name="dvtitre" w:val="Rezolucija Europskog parlamenta od .... 2025. o olakšavanju financiranja ulaganja i reformi za poticanje europske konkurentnosti i stvaranje unije tržišta kapitala (Draghijevo izvješće)(2024/2116(INI))"/>
  </w:docVars>
  <w:rsids>
    <w:rsidRoot w:val="003518DD"/>
    <w:rsid w:val="00002272"/>
    <w:rsid w:val="00064002"/>
    <w:rsid w:val="000677B9"/>
    <w:rsid w:val="000831BA"/>
    <w:rsid w:val="000A42CC"/>
    <w:rsid w:val="000C179E"/>
    <w:rsid w:val="000E7DD9"/>
    <w:rsid w:val="0010095E"/>
    <w:rsid w:val="00125B37"/>
    <w:rsid w:val="00131282"/>
    <w:rsid w:val="00187494"/>
    <w:rsid w:val="001D09FE"/>
    <w:rsid w:val="001F32AE"/>
    <w:rsid w:val="002767FF"/>
    <w:rsid w:val="002B18FE"/>
    <w:rsid w:val="002B5493"/>
    <w:rsid w:val="00343214"/>
    <w:rsid w:val="003518DD"/>
    <w:rsid w:val="00361C00"/>
    <w:rsid w:val="00395FA1"/>
    <w:rsid w:val="003B4C1E"/>
    <w:rsid w:val="003E15D4"/>
    <w:rsid w:val="00411CCE"/>
    <w:rsid w:val="0041666E"/>
    <w:rsid w:val="00421060"/>
    <w:rsid w:val="00471C19"/>
    <w:rsid w:val="004867E3"/>
    <w:rsid w:val="00490272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3F80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64BE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30B9"/>
    <w:rsid w:val="009736AF"/>
    <w:rsid w:val="00981893"/>
    <w:rsid w:val="00A1687D"/>
    <w:rsid w:val="00A43E52"/>
    <w:rsid w:val="00A4678D"/>
    <w:rsid w:val="00A76C30"/>
    <w:rsid w:val="00A778C7"/>
    <w:rsid w:val="00AB441E"/>
    <w:rsid w:val="00AB6293"/>
    <w:rsid w:val="00AE0928"/>
    <w:rsid w:val="00AF0255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37C7"/>
    <w:rsid w:val="00D058B8"/>
    <w:rsid w:val="00D05CD1"/>
    <w:rsid w:val="00D56C11"/>
    <w:rsid w:val="00D834A0"/>
    <w:rsid w:val="00D872DF"/>
    <w:rsid w:val="00D91E21"/>
    <w:rsid w:val="00DA7FCD"/>
    <w:rsid w:val="00E1204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4251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AA4864"/>
  <w15:chartTrackingRefBased/>
  <w15:docId w15:val="{3B47633F-D00D-4AD8-882B-22FCA48B7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76C30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A76C30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A76C30"/>
    <w:pPr>
      <w:spacing w:after="240"/>
      <w:jc w:val="center"/>
    </w:pPr>
  </w:style>
  <w:style w:type="character" w:customStyle="1" w:styleId="BoldItalic">
    <w:name w:val="BoldItalic"/>
    <w:uiPriority w:val="1"/>
    <w:rsid w:val="00A76C30"/>
    <w:rPr>
      <w:b/>
      <w:i/>
      <w:u w:val="none"/>
    </w:rPr>
  </w:style>
  <w:style w:type="character" w:customStyle="1" w:styleId="Italic">
    <w:name w:val="Italic"/>
    <w:uiPriority w:val="1"/>
    <w:rsid w:val="00A76C30"/>
    <w:rPr>
      <w:i/>
    </w:rPr>
  </w:style>
  <w:style w:type="paragraph" w:customStyle="1" w:styleId="Normal12a24b">
    <w:name w:val="Normal12a24b"/>
    <w:basedOn w:val="Normal"/>
    <w:rsid w:val="00A76C30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A76C30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A76C30"/>
  </w:style>
  <w:style w:type="paragraph" w:customStyle="1" w:styleId="title-bold">
    <w:name w:val="title-bold"/>
    <w:basedOn w:val="Normal"/>
    <w:rsid w:val="00A76C30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Revision">
    <w:name w:val="Revision"/>
    <w:hidden/>
    <w:uiPriority w:val="99"/>
    <w:semiHidden/>
    <w:rsid w:val="009530B9"/>
    <w:rPr>
      <w:sz w:val="24"/>
      <w:lang w:val="hr-HR"/>
    </w:rPr>
  </w:style>
  <w:style w:type="character" w:styleId="FollowedHyperlink">
    <w:name w:val="FollowedHyperlink"/>
    <w:basedOn w:val="DefaultParagraphFont"/>
    <w:rsid w:val="009530B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30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14/909/oj" TargetMode="External"/><Relationship Id="rId3" Type="http://schemas.openxmlformats.org/officeDocument/2006/relationships/hyperlink" Target="https://www.esm.europa.eu/articles-and-op-eds/developing-european-safe-assets-article-intereconomics" TargetMode="External"/><Relationship Id="rId7" Type="http://schemas.openxmlformats.org/officeDocument/2006/relationships/hyperlink" Target="http://data.europa.eu/eli/reg/2012/648/oj" TargetMode="External"/><Relationship Id="rId2" Type="http://schemas.openxmlformats.org/officeDocument/2006/relationships/hyperlink" Target="https://www.elibrary.imf.org/supplemental/book/9798400287312/9798400287312.xml/REOEUREA2024002-S001_SOURCE_PDF.pdf" TargetMode="External"/><Relationship Id="rId1" Type="http://schemas.openxmlformats.org/officeDocument/2006/relationships/hyperlink" Target="https://ec.europa.eu/eurostat/databrowser/view/NASA_10_F_BS__custom_13650774/default/table?lang=en" TargetMode="External"/><Relationship Id="rId6" Type="http://schemas.openxmlformats.org/officeDocument/2006/relationships/hyperlink" Target="http://data.europa.eu/eli/reg/2014/600/oj" TargetMode="External"/><Relationship Id="rId11" Type="http://schemas.openxmlformats.org/officeDocument/2006/relationships/hyperlink" Target="https://op.europa.eu/en/publication-detail/-/publication/1562efbd-cbc6-11ea-adf7-01aa75ed71a1/language-en/" TargetMode="External"/><Relationship Id="rId5" Type="http://schemas.openxmlformats.org/officeDocument/2006/relationships/hyperlink" Target="http://data.europa.eu/eli/reg/2014/795/oj" TargetMode="External"/><Relationship Id="rId10" Type="http://schemas.openxmlformats.org/officeDocument/2006/relationships/hyperlink" Target="https://presse.economie.gouv.fr/lancement-du-label-europeen-finance-europe-pour-que-lepargne-des-europeens-contribue-au-financement-de-leconomie-europeenne/" TargetMode="External"/><Relationship Id="rId4" Type="http://schemas.openxmlformats.org/officeDocument/2006/relationships/hyperlink" Target="https://www.ceps.eu/its-finally-time-to-leverage-pension-funds-to-foster-eu-productivity-and-benefit-pensioners/" TargetMode="External"/><Relationship Id="rId9" Type="http://schemas.openxmlformats.org/officeDocument/2006/relationships/hyperlink" Target="http://data.europa.eu/eli/reg/2019/208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8392</Words>
  <Characters>51811</Characters>
  <Application>Microsoft Office Word</Application>
  <DocSecurity>0</DocSecurity>
  <Lines>431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60083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DADIĆ Ivana</cp:lastModifiedBy>
  <cp:revision>2</cp:revision>
  <cp:lastPrinted>2004-11-19T15:42:00Z</cp:lastPrinted>
  <dcterms:created xsi:type="dcterms:W3CDTF">2025-10-10T09:20:00Z</dcterms:created>
  <dcterms:modified xsi:type="dcterms:W3CDTF">2025-10-10T09:20:00Z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A10-0124/2025</vt:lpwstr>
  </property>
  <property fmtid="{D5CDD505-2E9C-101B-9397-08002B2CF9AE}" pid="4" name="&lt;Type&gt;">
    <vt:lpwstr>RR</vt:lpwstr>
  </property>
</Properties>
</file>