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2A7B" w14:paraId="40F1F42D" w14:textId="77777777" w:rsidTr="0010095E">
        <w:trPr>
          <w:trHeight w:hRule="exact" w:val="1418"/>
        </w:trPr>
        <w:tc>
          <w:tcPr>
            <w:tcW w:w="6804" w:type="dxa"/>
            <w:shd w:val="clear" w:color="auto" w:fill="auto"/>
            <w:vAlign w:val="center"/>
          </w:tcPr>
          <w:p w14:paraId="2E7734A5" w14:textId="77777777" w:rsidR="00751A4A" w:rsidRPr="00912A7B" w:rsidRDefault="00876D17" w:rsidP="0010095E">
            <w:pPr>
              <w:pStyle w:val="EPName"/>
            </w:pPr>
            <w:r w:rsidRPr="00912A7B">
              <w:t>Eiropas Parlaments</w:t>
            </w:r>
          </w:p>
          <w:p w14:paraId="2E2B625A" w14:textId="77777777" w:rsidR="00751A4A" w:rsidRPr="00912A7B" w:rsidRDefault="005F1B17" w:rsidP="005F1B17">
            <w:pPr>
              <w:pStyle w:val="EPTerm"/>
              <w:rPr>
                <w:rStyle w:val="HideTWBExt"/>
                <w:noProof w:val="0"/>
                <w:vanish w:val="0"/>
                <w:color w:val="auto"/>
              </w:rPr>
            </w:pPr>
            <w:r w:rsidRPr="00912A7B">
              <w:t>2024</w:t>
            </w:r>
            <w:r w:rsidR="00817416" w:rsidRPr="00912A7B">
              <w:t>-202</w:t>
            </w:r>
            <w:r w:rsidRPr="00912A7B">
              <w:t>9</w:t>
            </w:r>
          </w:p>
        </w:tc>
        <w:tc>
          <w:tcPr>
            <w:tcW w:w="2268" w:type="dxa"/>
            <w:shd w:val="clear" w:color="auto" w:fill="auto"/>
          </w:tcPr>
          <w:p w14:paraId="5168EA51" w14:textId="77777777" w:rsidR="00751A4A" w:rsidRPr="00912A7B" w:rsidRDefault="00187494" w:rsidP="0010095E">
            <w:pPr>
              <w:pStyle w:val="EPLogo"/>
            </w:pPr>
            <w:r w:rsidRPr="00912A7B">
              <w:rPr>
                <w:noProof/>
                <w:lang w:eastAsia="ja-JP"/>
              </w:rPr>
              <w:drawing>
                <wp:inline distT="0" distB="0" distL="0" distR="0" wp14:anchorId="6A018857" wp14:editId="57D856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313885" w14:textId="77777777" w:rsidR="00D058B8" w:rsidRPr="00912A7B" w:rsidRDefault="00D058B8" w:rsidP="004C5D52">
      <w:pPr>
        <w:pStyle w:val="LineTop"/>
      </w:pPr>
    </w:p>
    <w:p w14:paraId="0451F573" w14:textId="77777777" w:rsidR="00680577" w:rsidRPr="00912A7B" w:rsidRDefault="00876D17" w:rsidP="00680577">
      <w:pPr>
        <w:pStyle w:val="EPBodyTA1"/>
      </w:pPr>
      <w:r w:rsidRPr="00912A7B">
        <w:t>PIEŅEMTIE TEKSTI</w:t>
      </w:r>
    </w:p>
    <w:p w14:paraId="5741F9EB" w14:textId="77777777" w:rsidR="00D058B8" w:rsidRPr="00912A7B" w:rsidRDefault="00D058B8" w:rsidP="00D058B8">
      <w:pPr>
        <w:pStyle w:val="LineBottom"/>
      </w:pPr>
    </w:p>
    <w:p w14:paraId="191D8E9B" w14:textId="49883F28" w:rsidR="00876D17" w:rsidRPr="00912A7B" w:rsidRDefault="00876D17" w:rsidP="00876D17">
      <w:pPr>
        <w:pStyle w:val="ATHeading1"/>
      </w:pPr>
      <w:bookmarkStart w:id="0" w:name="TANumber"/>
      <w:r w:rsidRPr="00912A7B">
        <w:t>P10_TA(2025)0</w:t>
      </w:r>
      <w:r w:rsidR="00253052" w:rsidRPr="00912A7B">
        <w:t>185</w:t>
      </w:r>
      <w:bookmarkEnd w:id="0"/>
    </w:p>
    <w:p w14:paraId="1DF488CF" w14:textId="66AFA511" w:rsidR="00876D17" w:rsidRPr="00912A7B" w:rsidRDefault="00A069E9" w:rsidP="00876D17">
      <w:pPr>
        <w:pStyle w:val="ATHeading2"/>
      </w:pPr>
      <w:bookmarkStart w:id="1" w:name="title"/>
      <w:r w:rsidRPr="00912A7B">
        <w:t>Investīcijas un reformas Eiropas konkurētspējas uzlabošanai un kapitāla tirgu savienības izveide</w:t>
      </w:r>
      <w:bookmarkEnd w:id="1"/>
    </w:p>
    <w:p w14:paraId="49311F07" w14:textId="77777777" w:rsidR="00876D17" w:rsidRPr="00912A7B" w:rsidRDefault="00876D17" w:rsidP="00876D17">
      <w:pPr>
        <w:rPr>
          <w:i/>
          <w:vanish/>
        </w:rPr>
      </w:pPr>
      <w:r w:rsidRPr="00912A7B">
        <w:rPr>
          <w:i/>
        </w:rPr>
        <w:fldChar w:fldCharType="begin"/>
      </w:r>
      <w:r w:rsidRPr="00912A7B">
        <w:rPr>
          <w:i/>
        </w:rPr>
        <w:instrText xml:space="preserve"> TC"(</w:instrText>
      </w:r>
      <w:bookmarkStart w:id="2" w:name="DocNumber"/>
      <w:r w:rsidRPr="00912A7B">
        <w:rPr>
          <w:i/>
        </w:rPr>
        <w:instrText>A10-0124/2025</w:instrText>
      </w:r>
      <w:bookmarkEnd w:id="2"/>
      <w:r w:rsidRPr="00912A7B">
        <w:rPr>
          <w:i/>
        </w:rPr>
        <w:instrText xml:space="preserve"> - Referente: Aurore Lalucq)"\l3 \n&gt; \* MERGEFORMAT </w:instrText>
      </w:r>
      <w:r w:rsidRPr="00912A7B">
        <w:rPr>
          <w:i/>
        </w:rPr>
        <w:fldChar w:fldCharType="end"/>
      </w:r>
    </w:p>
    <w:p w14:paraId="7C80215C" w14:textId="77777777" w:rsidR="00876D17" w:rsidRPr="00912A7B" w:rsidRDefault="00876D17" w:rsidP="00876D17">
      <w:pPr>
        <w:rPr>
          <w:vanish/>
        </w:rPr>
      </w:pPr>
      <w:bookmarkStart w:id="3" w:name="Commission"/>
      <w:r w:rsidRPr="00912A7B">
        <w:rPr>
          <w:vanish/>
        </w:rPr>
        <w:t>Ekonomikas un monetārā komiteja</w:t>
      </w:r>
      <w:bookmarkEnd w:id="3"/>
    </w:p>
    <w:p w14:paraId="5A8CD41C" w14:textId="77777777" w:rsidR="00876D17" w:rsidRPr="00912A7B" w:rsidRDefault="00876D17" w:rsidP="00876D17">
      <w:pPr>
        <w:rPr>
          <w:vanish/>
        </w:rPr>
      </w:pPr>
      <w:bookmarkStart w:id="4" w:name="PE"/>
      <w:r w:rsidRPr="00912A7B">
        <w:rPr>
          <w:vanish/>
        </w:rPr>
        <w:t>PE770.112</w:t>
      </w:r>
      <w:bookmarkEnd w:id="4"/>
    </w:p>
    <w:p w14:paraId="67B22297" w14:textId="04477DBC" w:rsidR="00876D17" w:rsidRPr="00912A7B" w:rsidRDefault="00876D17" w:rsidP="00876D17">
      <w:pPr>
        <w:pStyle w:val="ATHeading3"/>
      </w:pPr>
      <w:bookmarkStart w:id="5" w:name="Sujet"/>
      <w:r w:rsidRPr="00912A7B">
        <w:t xml:space="preserve">Eiropas Parlamenta 2025. gada </w:t>
      </w:r>
      <w:r w:rsidR="00A069E9" w:rsidRPr="00912A7B">
        <w:t>10. septembra</w:t>
      </w:r>
      <w:r w:rsidRPr="00912A7B">
        <w:t xml:space="preserve"> rezolūcija par atvieglotu investīciju un reformu finansēšanu Eiropas konkurētspējas uzlabošanai un kapitāla tirgu savienības izveidi (M. </w:t>
      </w:r>
      <w:proofErr w:type="spellStart"/>
      <w:r w:rsidRPr="00912A7B">
        <w:t>Draghi</w:t>
      </w:r>
      <w:proofErr w:type="spellEnd"/>
      <w:r w:rsidRPr="00912A7B">
        <w:t xml:space="preserve"> ziņojums)</w:t>
      </w:r>
      <w:bookmarkEnd w:id="5"/>
      <w:r w:rsidRPr="00912A7B">
        <w:t xml:space="preserve"> </w:t>
      </w:r>
      <w:bookmarkStart w:id="6" w:name="References"/>
      <w:r w:rsidRPr="00912A7B">
        <w:t>(2024/2116(INI))</w:t>
      </w:r>
      <w:bookmarkEnd w:id="6"/>
    </w:p>
    <w:p w14:paraId="02557CF6" w14:textId="77777777" w:rsidR="009B2E3A" w:rsidRPr="00912A7B" w:rsidRDefault="009B2E3A" w:rsidP="009B2E3A">
      <w:pPr>
        <w:pStyle w:val="EPComma"/>
      </w:pPr>
      <w:r w:rsidRPr="00912A7B">
        <w:rPr>
          <w:rStyle w:val="Italic"/>
        </w:rPr>
        <w:t>Eiropas Parlaments</w:t>
      </w:r>
      <w:r w:rsidRPr="00912A7B">
        <w:t>,</w:t>
      </w:r>
    </w:p>
    <w:p w14:paraId="24A789E3" w14:textId="77777777" w:rsidR="009B2E3A" w:rsidRPr="00912A7B" w:rsidRDefault="009B2E3A" w:rsidP="009B2E3A">
      <w:pPr>
        <w:pStyle w:val="NormalHanging12a"/>
      </w:pPr>
      <w:r w:rsidRPr="00912A7B">
        <w:t>–</w:t>
      </w:r>
      <w:r w:rsidRPr="00912A7B">
        <w:tab/>
        <w:t xml:space="preserve">ņemot vērā Komisijas priekšsēdētājas Urzulas fon der </w:t>
      </w:r>
      <w:proofErr w:type="spellStart"/>
      <w:r w:rsidRPr="00912A7B">
        <w:t>Leienas</w:t>
      </w:r>
      <w:proofErr w:type="spellEnd"/>
      <w:r w:rsidRPr="00912A7B">
        <w:t xml:space="preserve"> 2024. gada 18. jūlija publikāciju “Eiropas izvēle: politiskās pamatnostādnes nākamajai Eiropas Komisijai (2024–2029)”,</w:t>
      </w:r>
    </w:p>
    <w:p w14:paraId="4A619CDD" w14:textId="77777777" w:rsidR="009B2E3A" w:rsidRPr="00912A7B" w:rsidRDefault="009B2E3A" w:rsidP="009B2E3A">
      <w:pPr>
        <w:pStyle w:val="NormalHanging12a"/>
      </w:pPr>
      <w:r w:rsidRPr="00912A7B">
        <w:t>–</w:t>
      </w:r>
      <w:r w:rsidRPr="00912A7B">
        <w:tab/>
        <w:t xml:space="preserve">ņemot vērā </w:t>
      </w:r>
      <w:r w:rsidRPr="00912A7B">
        <w:rPr>
          <w:i/>
          <w:iCs/>
        </w:rPr>
        <w:t xml:space="preserve">Mario </w:t>
      </w:r>
      <w:proofErr w:type="spellStart"/>
      <w:r w:rsidRPr="00912A7B">
        <w:rPr>
          <w:i/>
          <w:iCs/>
        </w:rPr>
        <w:t>Dragh</w:t>
      </w:r>
      <w:r w:rsidRPr="00912A7B">
        <w:t>i</w:t>
      </w:r>
      <w:proofErr w:type="spellEnd"/>
      <w:r w:rsidRPr="00912A7B">
        <w:t xml:space="preserve"> 2024. gada 9. septembra ziņojumu “</w:t>
      </w:r>
      <w:proofErr w:type="spellStart"/>
      <w:r w:rsidRPr="00912A7B">
        <w:t>The</w:t>
      </w:r>
      <w:proofErr w:type="spellEnd"/>
      <w:r w:rsidRPr="00912A7B">
        <w:t xml:space="preserve"> </w:t>
      </w:r>
      <w:proofErr w:type="spellStart"/>
      <w:r w:rsidRPr="00912A7B">
        <w:t>future</w:t>
      </w:r>
      <w:proofErr w:type="spellEnd"/>
      <w:r w:rsidRPr="00912A7B">
        <w:t xml:space="preserve"> </w:t>
      </w:r>
      <w:proofErr w:type="spellStart"/>
      <w:r w:rsidRPr="00912A7B">
        <w:t>of</w:t>
      </w:r>
      <w:proofErr w:type="spellEnd"/>
      <w:r w:rsidRPr="00912A7B">
        <w:t xml:space="preserve"> </w:t>
      </w:r>
      <w:proofErr w:type="spellStart"/>
      <w:r w:rsidRPr="00912A7B">
        <w:t>European</w:t>
      </w:r>
      <w:proofErr w:type="spellEnd"/>
      <w:r w:rsidRPr="00912A7B">
        <w:t xml:space="preserve"> </w:t>
      </w:r>
      <w:proofErr w:type="spellStart"/>
      <w:r w:rsidRPr="00912A7B">
        <w:t>competitiveness</w:t>
      </w:r>
      <w:proofErr w:type="spellEnd"/>
      <w:r w:rsidRPr="00912A7B">
        <w:t>” (Eiropas konkurētspējas nākotne) (</w:t>
      </w:r>
      <w:proofErr w:type="spellStart"/>
      <w:r w:rsidRPr="00912A7B">
        <w:rPr>
          <w:i/>
          <w:iCs/>
        </w:rPr>
        <w:t>Draghi</w:t>
      </w:r>
      <w:proofErr w:type="spellEnd"/>
      <w:r w:rsidRPr="00912A7B">
        <w:t xml:space="preserve"> ziņojums),</w:t>
      </w:r>
    </w:p>
    <w:p w14:paraId="1DCB9B23" w14:textId="77777777" w:rsidR="009B2E3A" w:rsidRPr="00912A7B" w:rsidRDefault="009B2E3A" w:rsidP="009B2E3A">
      <w:pPr>
        <w:pStyle w:val="NormalHanging12a"/>
      </w:pPr>
      <w:r w:rsidRPr="00912A7B">
        <w:t>–</w:t>
      </w:r>
      <w:r w:rsidRPr="00912A7B">
        <w:tab/>
        <w:t xml:space="preserve">ņemot vērā </w:t>
      </w:r>
      <w:proofErr w:type="spellStart"/>
      <w:r w:rsidRPr="00912A7B">
        <w:rPr>
          <w:i/>
          <w:iCs/>
        </w:rPr>
        <w:t>Enrico</w:t>
      </w:r>
      <w:proofErr w:type="spellEnd"/>
      <w:r w:rsidRPr="00912A7B">
        <w:rPr>
          <w:i/>
          <w:iCs/>
        </w:rPr>
        <w:t xml:space="preserve"> </w:t>
      </w:r>
      <w:proofErr w:type="spellStart"/>
      <w:r w:rsidRPr="00912A7B">
        <w:rPr>
          <w:i/>
          <w:iCs/>
        </w:rPr>
        <w:t>Letta</w:t>
      </w:r>
      <w:proofErr w:type="spellEnd"/>
      <w:r w:rsidRPr="00912A7B">
        <w:t xml:space="preserve"> 2024. gada 17. aprīļa ziņojumu “</w:t>
      </w:r>
      <w:proofErr w:type="spellStart"/>
      <w:r w:rsidRPr="00912A7B">
        <w:t>Much</w:t>
      </w:r>
      <w:proofErr w:type="spellEnd"/>
      <w:r w:rsidRPr="00912A7B">
        <w:t xml:space="preserve"> More </w:t>
      </w:r>
      <w:proofErr w:type="spellStart"/>
      <w:r w:rsidRPr="00912A7B">
        <w:t>Than</w:t>
      </w:r>
      <w:proofErr w:type="spellEnd"/>
      <w:r w:rsidRPr="00912A7B">
        <w:t xml:space="preserve"> A </w:t>
      </w:r>
      <w:proofErr w:type="spellStart"/>
      <w:r w:rsidRPr="00912A7B">
        <w:t>Market</w:t>
      </w:r>
      <w:proofErr w:type="spellEnd"/>
      <w:r w:rsidRPr="00912A7B">
        <w:t>” (Daudz vairāk nekā tirgus) (</w:t>
      </w:r>
      <w:proofErr w:type="spellStart"/>
      <w:r w:rsidRPr="00912A7B">
        <w:rPr>
          <w:i/>
          <w:iCs/>
        </w:rPr>
        <w:t>Letta</w:t>
      </w:r>
      <w:proofErr w:type="spellEnd"/>
      <w:r w:rsidRPr="00912A7B">
        <w:t xml:space="preserve"> ziņojums),</w:t>
      </w:r>
    </w:p>
    <w:p w14:paraId="270B40D1" w14:textId="77777777" w:rsidR="009B2E3A" w:rsidRPr="00912A7B" w:rsidRDefault="009B2E3A" w:rsidP="009B2E3A">
      <w:pPr>
        <w:pStyle w:val="NormalHanging12a"/>
      </w:pPr>
      <w:r w:rsidRPr="00912A7B">
        <w:t>–</w:t>
      </w:r>
      <w:r w:rsidRPr="00912A7B">
        <w:tab/>
        <w:t xml:space="preserve">ņemot vērā </w:t>
      </w:r>
      <w:r w:rsidRPr="00912A7B">
        <w:rPr>
          <w:i/>
          <w:iCs/>
        </w:rPr>
        <w:t xml:space="preserve">Christian </w:t>
      </w:r>
      <w:proofErr w:type="spellStart"/>
      <w:r w:rsidRPr="00912A7B">
        <w:rPr>
          <w:i/>
          <w:iCs/>
        </w:rPr>
        <w:t>Noyer</w:t>
      </w:r>
      <w:proofErr w:type="spellEnd"/>
      <w:r w:rsidRPr="00912A7B">
        <w:t xml:space="preserve"> 2024. gada 25. aprīļa ziņojumu “</w:t>
      </w:r>
      <w:proofErr w:type="spellStart"/>
      <w:r w:rsidRPr="00912A7B">
        <w:t>Developing</w:t>
      </w:r>
      <w:proofErr w:type="spellEnd"/>
      <w:r w:rsidRPr="00912A7B">
        <w:t xml:space="preserve"> </w:t>
      </w:r>
      <w:proofErr w:type="spellStart"/>
      <w:r w:rsidRPr="00912A7B">
        <w:t>European</w:t>
      </w:r>
      <w:proofErr w:type="spellEnd"/>
      <w:r w:rsidRPr="00912A7B">
        <w:t xml:space="preserve"> </w:t>
      </w:r>
      <w:proofErr w:type="spellStart"/>
      <w:r w:rsidRPr="00912A7B">
        <w:t>capital</w:t>
      </w:r>
      <w:proofErr w:type="spellEnd"/>
      <w:r w:rsidRPr="00912A7B">
        <w:t xml:space="preserve"> </w:t>
      </w:r>
      <w:proofErr w:type="spellStart"/>
      <w:r w:rsidRPr="00912A7B">
        <w:t>markets</w:t>
      </w:r>
      <w:proofErr w:type="spellEnd"/>
      <w:r w:rsidRPr="00912A7B">
        <w:t xml:space="preserve"> to </w:t>
      </w:r>
      <w:proofErr w:type="spellStart"/>
      <w:r w:rsidRPr="00912A7B">
        <w:t>finance</w:t>
      </w:r>
      <w:proofErr w:type="spellEnd"/>
      <w:r w:rsidRPr="00912A7B">
        <w:t xml:space="preserve"> </w:t>
      </w:r>
      <w:proofErr w:type="spellStart"/>
      <w:r w:rsidRPr="00912A7B">
        <w:t>the</w:t>
      </w:r>
      <w:proofErr w:type="spellEnd"/>
      <w:r w:rsidRPr="00912A7B">
        <w:t xml:space="preserve"> </w:t>
      </w:r>
      <w:proofErr w:type="spellStart"/>
      <w:r w:rsidRPr="00912A7B">
        <w:t>future</w:t>
      </w:r>
      <w:proofErr w:type="spellEnd"/>
      <w:r w:rsidRPr="00912A7B">
        <w:t>” (Eiropas kapitāla tirgu attīstīšana nākotnes finansēšanai) (</w:t>
      </w:r>
      <w:proofErr w:type="spellStart"/>
      <w:r w:rsidRPr="00912A7B">
        <w:rPr>
          <w:i/>
          <w:iCs/>
        </w:rPr>
        <w:t>Noyer</w:t>
      </w:r>
      <w:proofErr w:type="spellEnd"/>
      <w:r w:rsidRPr="00912A7B">
        <w:t xml:space="preserve"> </w:t>
      </w:r>
      <w:proofErr w:type="spellStart"/>
      <w:r w:rsidRPr="00912A7B">
        <w:t>report</w:t>
      </w:r>
      <w:proofErr w:type="spellEnd"/>
      <w:r w:rsidRPr="00912A7B">
        <w:t>),</w:t>
      </w:r>
    </w:p>
    <w:p w14:paraId="75C2671E" w14:textId="77777777" w:rsidR="009B2E3A" w:rsidRPr="00912A7B" w:rsidRDefault="009B2E3A" w:rsidP="009B2E3A">
      <w:pPr>
        <w:pStyle w:val="NormalHanging12a"/>
        <w:rPr>
          <w:snapToGrid/>
        </w:rPr>
      </w:pPr>
      <w:r w:rsidRPr="00912A7B">
        <w:t>–</w:t>
      </w:r>
      <w:r w:rsidRPr="00912A7B">
        <w:tab/>
        <w:t>ņemot vērā Komisijas 2025. gada 29. janvāra paziņojumu “ES Konkurētspējas kompass” (COM(2025)0030) un 2025. gada 26. februāra paziņojumu “Tīras rūpniecības kurss — kopīgs konkurētspējas un dekarbonizācijas ceļvedis” (COM(2025)0085),</w:t>
      </w:r>
    </w:p>
    <w:p w14:paraId="3DFAD7E5" w14:textId="77777777" w:rsidR="009B2E3A" w:rsidRPr="00912A7B" w:rsidRDefault="009B2E3A" w:rsidP="009B2E3A">
      <w:pPr>
        <w:pStyle w:val="NormalHanging12a"/>
      </w:pPr>
      <w:r w:rsidRPr="00912A7B">
        <w:t>–</w:t>
      </w:r>
      <w:r w:rsidRPr="00912A7B">
        <w:tab/>
        <w:t xml:space="preserve">ņemot vērā Komisijas priekšsēdētājas Urzulas fon der </w:t>
      </w:r>
      <w:proofErr w:type="spellStart"/>
      <w:r w:rsidRPr="00912A7B">
        <w:t>Leienas</w:t>
      </w:r>
      <w:proofErr w:type="spellEnd"/>
      <w:r w:rsidRPr="00912A7B">
        <w:t xml:space="preserve"> vēstuli Eiropadomei pirms tās 2025. gada 6. marta sanāksmes,</w:t>
      </w:r>
    </w:p>
    <w:p w14:paraId="5B39388B" w14:textId="77777777" w:rsidR="009B2E3A" w:rsidRPr="00912A7B" w:rsidRDefault="009B2E3A" w:rsidP="009B2E3A">
      <w:pPr>
        <w:pStyle w:val="NormalHanging12a"/>
      </w:pPr>
      <w:r w:rsidRPr="00912A7B">
        <w:t>–</w:t>
      </w:r>
      <w:r w:rsidRPr="00912A7B">
        <w:tab/>
        <w:t>ņemot vērā Eiropadomes 2025. gada 6. marta secinājumus par Eiropas aizsardzību,</w:t>
      </w:r>
    </w:p>
    <w:p w14:paraId="3D3B09DB" w14:textId="77777777" w:rsidR="009B2E3A" w:rsidRPr="00912A7B" w:rsidRDefault="009B2E3A" w:rsidP="009B2E3A">
      <w:pPr>
        <w:pStyle w:val="NormalHanging12a"/>
        <w:rPr>
          <w:snapToGrid/>
        </w:rPr>
      </w:pPr>
      <w:r w:rsidRPr="00912A7B">
        <w:t>–</w:t>
      </w:r>
      <w:r w:rsidRPr="00912A7B">
        <w:tab/>
        <w:t>ņemot vērā Komisijas 2025. gada 19. marta paziņojumu “Uzkrājumu un investīciju savienība. Stratēģija, kā veicināt ES iedzīvotāju turību un ekonomikas konkurētspēju” (COM(2025)0124),</w:t>
      </w:r>
    </w:p>
    <w:p w14:paraId="1CF5FCD7" w14:textId="77777777" w:rsidR="009B2E3A" w:rsidRPr="00912A7B" w:rsidRDefault="009B2E3A" w:rsidP="009B2E3A">
      <w:pPr>
        <w:pStyle w:val="NormalHanging12a"/>
      </w:pPr>
      <w:r w:rsidRPr="00912A7B">
        <w:lastRenderedPageBreak/>
        <w:t>–</w:t>
      </w:r>
      <w:r w:rsidRPr="00912A7B">
        <w:tab/>
        <w:t xml:space="preserve">ņemot vērā iekļaujošā sastāvā sanākušās </w:t>
      </w:r>
      <w:proofErr w:type="spellStart"/>
      <w:r w:rsidRPr="00912A7B">
        <w:t>Eurogrupas</w:t>
      </w:r>
      <w:proofErr w:type="spellEnd"/>
      <w:r w:rsidRPr="00912A7B">
        <w:t xml:space="preserve"> 2024. gada 11. marta paziņojumu par kapitāla tirgu savienības (KTS) nākotni,</w:t>
      </w:r>
    </w:p>
    <w:p w14:paraId="23F17543" w14:textId="77777777" w:rsidR="009B2E3A" w:rsidRPr="00912A7B" w:rsidRDefault="009B2E3A" w:rsidP="009B2E3A">
      <w:pPr>
        <w:pStyle w:val="NormalHanging12a"/>
      </w:pPr>
      <w:r w:rsidRPr="00912A7B">
        <w:t>–</w:t>
      </w:r>
      <w:r w:rsidRPr="00912A7B">
        <w:tab/>
        <w:t xml:space="preserve">ņemot vērā 2024. gada maija augsta līmeņa ceļvedi turpmākajiem pasākumiem saistībā ar iekļaujošā sastāvā sanākušās </w:t>
      </w:r>
      <w:proofErr w:type="spellStart"/>
      <w:r w:rsidRPr="00912A7B">
        <w:t>Eurogrupas</w:t>
      </w:r>
      <w:proofErr w:type="spellEnd"/>
      <w:r w:rsidRPr="00912A7B">
        <w:t xml:space="preserve"> paziņojumu par KTS nākotni,</w:t>
      </w:r>
    </w:p>
    <w:p w14:paraId="012C44D0" w14:textId="77777777" w:rsidR="009B2E3A" w:rsidRPr="00912A7B" w:rsidRDefault="009B2E3A" w:rsidP="009B2E3A">
      <w:pPr>
        <w:pStyle w:val="NormalHanging12a"/>
      </w:pPr>
      <w:r w:rsidRPr="00912A7B">
        <w:t>–</w:t>
      </w:r>
      <w:r w:rsidRPr="00912A7B">
        <w:tab/>
        <w:t>ņemot vērā Eiropadomes 2024. gada 17. un 18. aprīļa secinājumus,</w:t>
      </w:r>
    </w:p>
    <w:p w14:paraId="1A589F41" w14:textId="77777777" w:rsidR="009B2E3A" w:rsidRPr="00912A7B" w:rsidRDefault="009B2E3A" w:rsidP="009B2E3A">
      <w:pPr>
        <w:pStyle w:val="NormalHanging12a"/>
        <w:rPr>
          <w:snapToGrid/>
        </w:rPr>
      </w:pPr>
      <w:r w:rsidRPr="00912A7B">
        <w:t>–</w:t>
      </w:r>
      <w:r w:rsidRPr="00912A7B">
        <w:tab/>
        <w:t>ņemot vērā Eiropas Ekonomikas un sociālo lietu komitejas 2025. gada 30. aprīlī pieņemto izpētes atzinumu “Ieguldījumi un reformas Eiropas konkurētspējas veicināšanai un kapitāla tirgu savienības veidošanai” (ECO/665),</w:t>
      </w:r>
    </w:p>
    <w:p w14:paraId="54E2433A" w14:textId="77777777" w:rsidR="009B2E3A" w:rsidRPr="00912A7B" w:rsidRDefault="009B2E3A" w:rsidP="009B2E3A">
      <w:pPr>
        <w:pStyle w:val="NormalHanging12a"/>
      </w:pPr>
      <w:r w:rsidRPr="00912A7B">
        <w:t>–</w:t>
      </w:r>
      <w:r w:rsidRPr="00912A7B">
        <w:tab/>
        <w:t>ņemot vērā Eiropas Apdrošināšanas un aroda pensiju iestādes (EAAPI) 2024. gada 25. aprīļa paziņojumu “</w:t>
      </w:r>
      <w:proofErr w:type="spellStart"/>
      <w:r w:rsidRPr="00912A7B">
        <w:t>How</w:t>
      </w:r>
      <w:proofErr w:type="spellEnd"/>
      <w:r w:rsidRPr="00912A7B">
        <w:t xml:space="preserve"> </w:t>
      </w:r>
      <w:proofErr w:type="spellStart"/>
      <w:r w:rsidRPr="00912A7B">
        <w:t>European</w:t>
      </w:r>
      <w:proofErr w:type="spellEnd"/>
      <w:r w:rsidRPr="00912A7B">
        <w:t xml:space="preserve"> </w:t>
      </w:r>
      <w:proofErr w:type="spellStart"/>
      <w:r w:rsidRPr="00912A7B">
        <w:t>insurers</w:t>
      </w:r>
      <w:proofErr w:type="spellEnd"/>
      <w:r w:rsidRPr="00912A7B">
        <w:t xml:space="preserve"> </w:t>
      </w:r>
      <w:proofErr w:type="spellStart"/>
      <w:r w:rsidRPr="00912A7B">
        <w:t>and</w:t>
      </w:r>
      <w:proofErr w:type="spellEnd"/>
      <w:r w:rsidRPr="00912A7B">
        <w:t xml:space="preserve"> </w:t>
      </w:r>
      <w:proofErr w:type="spellStart"/>
      <w:r w:rsidRPr="00912A7B">
        <w:t>pension</w:t>
      </w:r>
      <w:proofErr w:type="spellEnd"/>
      <w:r w:rsidRPr="00912A7B">
        <w:t xml:space="preserve"> </w:t>
      </w:r>
      <w:proofErr w:type="spellStart"/>
      <w:r w:rsidRPr="00912A7B">
        <w:t>funds</w:t>
      </w:r>
      <w:proofErr w:type="spellEnd"/>
      <w:r w:rsidRPr="00912A7B">
        <w:t xml:space="preserve"> </w:t>
      </w:r>
      <w:proofErr w:type="spellStart"/>
      <w:r w:rsidRPr="00912A7B">
        <w:t>can</w:t>
      </w:r>
      <w:proofErr w:type="spellEnd"/>
      <w:r w:rsidRPr="00912A7B">
        <w:t xml:space="preserve"> </w:t>
      </w:r>
      <w:proofErr w:type="spellStart"/>
      <w:r w:rsidRPr="00912A7B">
        <w:t>contribute</w:t>
      </w:r>
      <w:proofErr w:type="spellEnd"/>
      <w:r w:rsidRPr="00912A7B">
        <w:t xml:space="preserve"> to </w:t>
      </w:r>
      <w:proofErr w:type="spellStart"/>
      <w:r w:rsidRPr="00912A7B">
        <w:t>further</w:t>
      </w:r>
      <w:proofErr w:type="spellEnd"/>
      <w:r w:rsidRPr="00912A7B">
        <w:t xml:space="preserve"> </w:t>
      </w:r>
      <w:proofErr w:type="spellStart"/>
      <w:r w:rsidRPr="00912A7B">
        <w:t>strengthen</w:t>
      </w:r>
      <w:proofErr w:type="spellEnd"/>
      <w:r w:rsidRPr="00912A7B">
        <w:t xml:space="preserve"> </w:t>
      </w:r>
      <w:proofErr w:type="spellStart"/>
      <w:r w:rsidRPr="00912A7B">
        <w:t>the</w:t>
      </w:r>
      <w:proofErr w:type="spellEnd"/>
      <w:r w:rsidRPr="00912A7B">
        <w:t xml:space="preserve"> </w:t>
      </w:r>
      <w:proofErr w:type="spellStart"/>
      <w:r w:rsidRPr="00912A7B">
        <w:t>Capital</w:t>
      </w:r>
      <w:proofErr w:type="spellEnd"/>
      <w:r w:rsidRPr="00912A7B">
        <w:t xml:space="preserve"> </w:t>
      </w:r>
      <w:proofErr w:type="spellStart"/>
      <w:r w:rsidRPr="00912A7B">
        <w:t>Markets</w:t>
      </w:r>
      <w:proofErr w:type="spellEnd"/>
      <w:r w:rsidRPr="00912A7B">
        <w:t xml:space="preserve"> </w:t>
      </w:r>
      <w:proofErr w:type="spellStart"/>
      <w:r w:rsidRPr="00912A7B">
        <w:t>Union</w:t>
      </w:r>
      <w:proofErr w:type="spellEnd"/>
      <w:r w:rsidRPr="00912A7B">
        <w:t xml:space="preserve">” (Kā Eiropas apdrošinātāji un pensiju fondi var palīdzēt vēl vairāk stiprināt kapitāla tirgu savienību), 2024. gada 11. septembra darba dokumentu “A </w:t>
      </w:r>
      <w:proofErr w:type="spellStart"/>
      <w:r w:rsidRPr="00912A7B">
        <w:t>simple</w:t>
      </w:r>
      <w:proofErr w:type="spellEnd"/>
      <w:r w:rsidRPr="00912A7B">
        <w:t xml:space="preserve"> </w:t>
      </w:r>
      <w:proofErr w:type="spellStart"/>
      <w:r w:rsidRPr="00912A7B">
        <w:t>and</w:t>
      </w:r>
      <w:proofErr w:type="spellEnd"/>
      <w:r w:rsidRPr="00912A7B">
        <w:t xml:space="preserve"> </w:t>
      </w:r>
      <w:proofErr w:type="spellStart"/>
      <w:r w:rsidRPr="00912A7B">
        <w:t>long</w:t>
      </w:r>
      <w:proofErr w:type="spellEnd"/>
      <w:r w:rsidRPr="00912A7B">
        <w:t xml:space="preserve">-term </w:t>
      </w:r>
      <w:proofErr w:type="spellStart"/>
      <w:r w:rsidRPr="00912A7B">
        <w:t>European</w:t>
      </w:r>
      <w:proofErr w:type="spellEnd"/>
      <w:r w:rsidRPr="00912A7B">
        <w:t xml:space="preserve"> </w:t>
      </w:r>
      <w:proofErr w:type="spellStart"/>
      <w:r w:rsidRPr="00912A7B">
        <w:t>savings</w:t>
      </w:r>
      <w:proofErr w:type="spellEnd"/>
      <w:r w:rsidRPr="00912A7B">
        <w:t xml:space="preserve"> </w:t>
      </w:r>
      <w:proofErr w:type="spellStart"/>
      <w:r w:rsidRPr="00912A7B">
        <w:t>product</w:t>
      </w:r>
      <w:proofErr w:type="spellEnd"/>
      <w:r w:rsidRPr="00912A7B">
        <w:t xml:space="preserve">: </w:t>
      </w:r>
      <w:proofErr w:type="spellStart"/>
      <w:r w:rsidRPr="00912A7B">
        <w:t>the</w:t>
      </w:r>
      <w:proofErr w:type="spellEnd"/>
      <w:r w:rsidRPr="00912A7B">
        <w:t xml:space="preserve"> </w:t>
      </w:r>
      <w:proofErr w:type="spellStart"/>
      <w:r w:rsidRPr="00912A7B">
        <w:t>future</w:t>
      </w:r>
      <w:proofErr w:type="spellEnd"/>
      <w:r w:rsidRPr="00912A7B">
        <w:t xml:space="preserve"> </w:t>
      </w:r>
      <w:proofErr w:type="spellStart"/>
      <w:r w:rsidRPr="00912A7B">
        <w:t>Pan-European</w:t>
      </w:r>
      <w:proofErr w:type="spellEnd"/>
      <w:r w:rsidRPr="00912A7B">
        <w:t xml:space="preserve"> </w:t>
      </w:r>
      <w:proofErr w:type="spellStart"/>
      <w:r w:rsidRPr="00912A7B">
        <w:t>Pension</w:t>
      </w:r>
      <w:proofErr w:type="spellEnd"/>
      <w:r w:rsidRPr="00912A7B">
        <w:t xml:space="preserve"> </w:t>
      </w:r>
      <w:proofErr w:type="spellStart"/>
      <w:r w:rsidRPr="00912A7B">
        <w:t>Product</w:t>
      </w:r>
      <w:proofErr w:type="spellEnd"/>
      <w:r w:rsidRPr="00912A7B">
        <w:t xml:space="preserve">” (Vienkāršs ilgtermiņa Eiropas uzkrājumu produkts: </w:t>
      </w:r>
      <w:proofErr w:type="spellStart"/>
      <w:r w:rsidRPr="00912A7B">
        <w:t>pan</w:t>
      </w:r>
      <w:proofErr w:type="spellEnd"/>
      <w:r w:rsidRPr="00912A7B">
        <w:t xml:space="preserve">-Eiropas privāto pensiju produkts), 2025. gada 15. aprīļa pārskatu par izmaksām un līdzšinējās darbības rādītājiem un 2024. gada 7. novembra pārskatu “Prudential </w:t>
      </w:r>
      <w:proofErr w:type="spellStart"/>
      <w:r w:rsidRPr="00912A7B">
        <w:t>Treatment</w:t>
      </w:r>
      <w:proofErr w:type="spellEnd"/>
      <w:r w:rsidRPr="00912A7B">
        <w:t xml:space="preserve"> </w:t>
      </w:r>
      <w:proofErr w:type="spellStart"/>
      <w:r w:rsidRPr="00912A7B">
        <w:t>of</w:t>
      </w:r>
      <w:proofErr w:type="spellEnd"/>
      <w:r w:rsidRPr="00912A7B">
        <w:t xml:space="preserve"> </w:t>
      </w:r>
      <w:proofErr w:type="spellStart"/>
      <w:r w:rsidRPr="00912A7B">
        <w:t>Sustainability</w:t>
      </w:r>
      <w:proofErr w:type="spellEnd"/>
      <w:r w:rsidRPr="00912A7B">
        <w:t xml:space="preserve"> Risks” (</w:t>
      </w:r>
      <w:proofErr w:type="spellStart"/>
      <w:r w:rsidRPr="00912A7B">
        <w:t>Prudenciāla</w:t>
      </w:r>
      <w:proofErr w:type="spellEnd"/>
      <w:r w:rsidRPr="00912A7B">
        <w:t xml:space="preserve"> pieeja </w:t>
      </w:r>
      <w:proofErr w:type="spellStart"/>
      <w:r w:rsidRPr="00912A7B">
        <w:t>ilgstpējas</w:t>
      </w:r>
      <w:proofErr w:type="spellEnd"/>
      <w:r w:rsidRPr="00912A7B">
        <w:t xml:space="preserve"> apdraudējumiem),</w:t>
      </w:r>
    </w:p>
    <w:p w14:paraId="0739D969" w14:textId="77777777" w:rsidR="009B2E3A" w:rsidRPr="00912A7B" w:rsidRDefault="009B2E3A" w:rsidP="009B2E3A">
      <w:pPr>
        <w:pStyle w:val="NormalHanging12a"/>
        <w:rPr>
          <w:snapToGrid/>
        </w:rPr>
      </w:pPr>
      <w:r w:rsidRPr="00912A7B">
        <w:t>–</w:t>
      </w:r>
      <w:r w:rsidRPr="00912A7B">
        <w:tab/>
        <w:t xml:space="preserve">ņemot vērā Eiropas Vērtspapīru un tirgu iestādes (EVTI) 2024. gada 22. maija nostājas dokumentu “Building </w:t>
      </w:r>
      <w:proofErr w:type="spellStart"/>
      <w:r w:rsidRPr="00912A7B">
        <w:t>more</w:t>
      </w:r>
      <w:proofErr w:type="spellEnd"/>
      <w:r w:rsidRPr="00912A7B">
        <w:t xml:space="preserve"> </w:t>
      </w:r>
      <w:proofErr w:type="spellStart"/>
      <w:r w:rsidRPr="00912A7B">
        <w:t>effective</w:t>
      </w:r>
      <w:proofErr w:type="spellEnd"/>
      <w:r w:rsidRPr="00912A7B">
        <w:t xml:space="preserve"> </w:t>
      </w:r>
      <w:proofErr w:type="spellStart"/>
      <w:r w:rsidRPr="00912A7B">
        <w:t>and</w:t>
      </w:r>
      <w:proofErr w:type="spellEnd"/>
      <w:r w:rsidRPr="00912A7B">
        <w:t xml:space="preserve"> </w:t>
      </w:r>
      <w:proofErr w:type="spellStart"/>
      <w:r w:rsidRPr="00912A7B">
        <w:t>attractive</w:t>
      </w:r>
      <w:proofErr w:type="spellEnd"/>
      <w:r w:rsidRPr="00912A7B">
        <w:t xml:space="preserve"> </w:t>
      </w:r>
      <w:proofErr w:type="spellStart"/>
      <w:r w:rsidRPr="00912A7B">
        <w:t>capital</w:t>
      </w:r>
      <w:proofErr w:type="spellEnd"/>
      <w:r w:rsidRPr="00912A7B">
        <w:t xml:space="preserve"> </w:t>
      </w:r>
      <w:proofErr w:type="spellStart"/>
      <w:r w:rsidRPr="00912A7B">
        <w:t>markets</w:t>
      </w:r>
      <w:proofErr w:type="spellEnd"/>
      <w:r w:rsidRPr="00912A7B">
        <w:t xml:space="preserve"> </w:t>
      </w:r>
      <w:proofErr w:type="spellStart"/>
      <w:r w:rsidRPr="00912A7B">
        <w:t>in</w:t>
      </w:r>
      <w:proofErr w:type="spellEnd"/>
      <w:r w:rsidRPr="00912A7B">
        <w:t xml:space="preserve"> </w:t>
      </w:r>
      <w:proofErr w:type="spellStart"/>
      <w:r w:rsidRPr="00912A7B">
        <w:t>the</w:t>
      </w:r>
      <w:proofErr w:type="spellEnd"/>
      <w:r w:rsidRPr="00912A7B">
        <w:t xml:space="preserve"> EU” (Efektīvāku un pievilcīgāku kapitāla tirgu veidošana ES), 2023. gada 18. decembra pārskatu par tirgus stāvokli “</w:t>
      </w:r>
      <w:proofErr w:type="spellStart"/>
      <w:r w:rsidRPr="00912A7B">
        <w:t>Costs</w:t>
      </w:r>
      <w:proofErr w:type="spellEnd"/>
      <w:r w:rsidRPr="00912A7B">
        <w:t xml:space="preserve"> </w:t>
      </w:r>
      <w:proofErr w:type="spellStart"/>
      <w:r w:rsidRPr="00912A7B">
        <w:t>and</w:t>
      </w:r>
      <w:proofErr w:type="spellEnd"/>
      <w:r w:rsidRPr="00912A7B">
        <w:t xml:space="preserve"> Performance </w:t>
      </w:r>
      <w:proofErr w:type="spellStart"/>
      <w:r w:rsidRPr="00912A7B">
        <w:t>of</w:t>
      </w:r>
      <w:proofErr w:type="spellEnd"/>
      <w:r w:rsidRPr="00912A7B">
        <w:t xml:space="preserve"> EU </w:t>
      </w:r>
      <w:proofErr w:type="spellStart"/>
      <w:r w:rsidRPr="00912A7B">
        <w:t>Retail</w:t>
      </w:r>
      <w:proofErr w:type="spellEnd"/>
      <w:r w:rsidRPr="00912A7B">
        <w:t xml:space="preserve"> </w:t>
      </w:r>
      <w:proofErr w:type="spellStart"/>
      <w:r w:rsidRPr="00912A7B">
        <w:t>Investment</w:t>
      </w:r>
      <w:proofErr w:type="spellEnd"/>
      <w:r w:rsidRPr="00912A7B">
        <w:t xml:space="preserve"> </w:t>
      </w:r>
      <w:proofErr w:type="spellStart"/>
      <w:r w:rsidRPr="00912A7B">
        <w:t>Products</w:t>
      </w:r>
      <w:proofErr w:type="spellEnd"/>
      <w:r w:rsidRPr="00912A7B">
        <w:t xml:space="preserve"> 2023” (ES privāto investīciju produktu izmaksas un sniegums 2023. gadā) un 2024. gada 24. jūlija atzinumu “</w:t>
      </w:r>
      <w:proofErr w:type="spellStart"/>
      <w:r w:rsidRPr="00912A7B">
        <w:t>Sustainable</w:t>
      </w:r>
      <w:proofErr w:type="spellEnd"/>
      <w:r w:rsidRPr="00912A7B">
        <w:t xml:space="preserve"> </w:t>
      </w:r>
      <w:proofErr w:type="spellStart"/>
      <w:r w:rsidRPr="00912A7B">
        <w:t>investments</w:t>
      </w:r>
      <w:proofErr w:type="spellEnd"/>
      <w:r w:rsidRPr="00912A7B">
        <w:t xml:space="preserve">: </w:t>
      </w:r>
      <w:proofErr w:type="spellStart"/>
      <w:r w:rsidRPr="00912A7B">
        <w:t>Facilitating</w:t>
      </w:r>
      <w:proofErr w:type="spellEnd"/>
      <w:r w:rsidRPr="00912A7B">
        <w:t xml:space="preserve"> </w:t>
      </w:r>
      <w:proofErr w:type="spellStart"/>
      <w:r w:rsidRPr="00912A7B">
        <w:t>the</w:t>
      </w:r>
      <w:proofErr w:type="spellEnd"/>
      <w:r w:rsidRPr="00912A7B">
        <w:t xml:space="preserve"> investor </w:t>
      </w:r>
      <w:proofErr w:type="spellStart"/>
      <w:r w:rsidRPr="00912A7B">
        <w:t>journey</w:t>
      </w:r>
      <w:proofErr w:type="spellEnd"/>
      <w:r w:rsidRPr="00912A7B">
        <w:t xml:space="preserve"> – A </w:t>
      </w:r>
      <w:proofErr w:type="spellStart"/>
      <w:r w:rsidRPr="00912A7B">
        <w:t>holistic</w:t>
      </w:r>
      <w:proofErr w:type="spellEnd"/>
      <w:r w:rsidRPr="00912A7B">
        <w:t xml:space="preserve"> </w:t>
      </w:r>
      <w:proofErr w:type="spellStart"/>
      <w:r w:rsidRPr="00912A7B">
        <w:t>vision</w:t>
      </w:r>
      <w:proofErr w:type="spellEnd"/>
      <w:r w:rsidRPr="00912A7B">
        <w:t xml:space="preserve"> </w:t>
      </w:r>
      <w:proofErr w:type="spellStart"/>
      <w:r w:rsidRPr="00912A7B">
        <w:t>for</w:t>
      </w:r>
      <w:proofErr w:type="spellEnd"/>
      <w:r w:rsidRPr="00912A7B">
        <w:t xml:space="preserve"> </w:t>
      </w:r>
      <w:proofErr w:type="spellStart"/>
      <w:r w:rsidRPr="00912A7B">
        <w:t>the</w:t>
      </w:r>
      <w:proofErr w:type="spellEnd"/>
      <w:r w:rsidRPr="00912A7B">
        <w:t xml:space="preserve"> </w:t>
      </w:r>
      <w:proofErr w:type="spellStart"/>
      <w:r w:rsidRPr="00912A7B">
        <w:t>long</w:t>
      </w:r>
      <w:proofErr w:type="spellEnd"/>
      <w:r w:rsidRPr="00912A7B">
        <w:t xml:space="preserve"> term” (Ilgtspējīgas investīcijas: investēšanas atvieglošana — holistisks ilgtermiņa redzējums). </w:t>
      </w:r>
    </w:p>
    <w:p w14:paraId="515637F5" w14:textId="77777777" w:rsidR="009B2E3A" w:rsidRPr="00912A7B" w:rsidRDefault="009B2E3A" w:rsidP="009B2E3A">
      <w:pPr>
        <w:pStyle w:val="NormalHanging12a"/>
      </w:pPr>
      <w:r w:rsidRPr="00912A7B">
        <w:t>–</w:t>
      </w:r>
      <w:r w:rsidRPr="00912A7B">
        <w:tab/>
        <w:t>ņemot vērā EVTI 2023. gada 21. septembra pārskatu “</w:t>
      </w:r>
      <w:proofErr w:type="spellStart"/>
      <w:r w:rsidRPr="00912A7B">
        <w:t>The</w:t>
      </w:r>
      <w:proofErr w:type="spellEnd"/>
      <w:r w:rsidRPr="00912A7B">
        <w:t xml:space="preserve"> EU </w:t>
      </w:r>
      <w:proofErr w:type="spellStart"/>
      <w:r w:rsidRPr="00912A7B">
        <w:t>securitisation</w:t>
      </w:r>
      <w:proofErr w:type="spellEnd"/>
      <w:r w:rsidRPr="00912A7B">
        <w:t xml:space="preserve"> </w:t>
      </w:r>
      <w:proofErr w:type="spellStart"/>
      <w:r w:rsidRPr="00912A7B">
        <w:t>market</w:t>
      </w:r>
      <w:proofErr w:type="spellEnd"/>
      <w:r w:rsidRPr="00912A7B">
        <w:t xml:space="preserve"> – </w:t>
      </w:r>
      <w:proofErr w:type="spellStart"/>
      <w:r w:rsidRPr="00912A7B">
        <w:t>an</w:t>
      </w:r>
      <w:proofErr w:type="spellEnd"/>
      <w:r w:rsidRPr="00912A7B">
        <w:t xml:space="preserve"> </w:t>
      </w:r>
      <w:proofErr w:type="spellStart"/>
      <w:r w:rsidRPr="00912A7B">
        <w:t>overview</w:t>
      </w:r>
      <w:proofErr w:type="spellEnd"/>
      <w:r w:rsidRPr="00912A7B">
        <w:t xml:space="preserve">" (Pārskats par ES </w:t>
      </w:r>
      <w:proofErr w:type="spellStart"/>
      <w:r w:rsidRPr="00912A7B">
        <w:t>vērtspapīrošanas</w:t>
      </w:r>
      <w:proofErr w:type="spellEnd"/>
      <w:r w:rsidRPr="00912A7B">
        <w:t xml:space="preserve"> tirgu),</w:t>
      </w:r>
    </w:p>
    <w:p w14:paraId="73AD8F49" w14:textId="77777777" w:rsidR="009B2E3A" w:rsidRPr="00912A7B" w:rsidRDefault="009B2E3A" w:rsidP="009B2E3A">
      <w:pPr>
        <w:pStyle w:val="NormalHanging12a"/>
      </w:pPr>
      <w:r w:rsidRPr="00912A7B">
        <w:t>–</w:t>
      </w:r>
      <w:r w:rsidRPr="00912A7B">
        <w:tab/>
        <w:t>ņemot vērā Eiropas Centrālās bankas (ECB) Padomes 2024. gada 7. marta paziņojumu par progresa panākšanu kapitāla tirgu savienības izveidē,</w:t>
      </w:r>
    </w:p>
    <w:p w14:paraId="645EE931" w14:textId="77777777" w:rsidR="009B2E3A" w:rsidRPr="00912A7B" w:rsidRDefault="009B2E3A" w:rsidP="009B2E3A">
      <w:pPr>
        <w:pStyle w:val="NormalHanging12a"/>
        <w:rPr>
          <w:snapToGrid/>
        </w:rPr>
      </w:pPr>
      <w:r w:rsidRPr="00912A7B">
        <w:t>–</w:t>
      </w:r>
      <w:r w:rsidRPr="00912A7B">
        <w:tab/>
        <w:t>ņemot vērā Komisijas 2025. gada 12. februāra priekšlikumu Eiropas Parlamenta un Padomes regulai, ar ko Regulu (ES) Nr. 909/2014 groza attiecībā uz īsāku norēķinu ciklu Savienībā (COM(2025)0038),</w:t>
      </w:r>
    </w:p>
    <w:p w14:paraId="2824D871" w14:textId="77777777" w:rsidR="009B2E3A" w:rsidRPr="00912A7B" w:rsidRDefault="009B2E3A" w:rsidP="009B2E3A">
      <w:pPr>
        <w:pStyle w:val="NormalHanging12a"/>
      </w:pPr>
      <w:r w:rsidRPr="00912A7B">
        <w:t>–</w:t>
      </w:r>
      <w:r w:rsidRPr="00912A7B">
        <w:tab/>
        <w:t>ņemot vērā 2023. gada februārī uzsākto Eiropas tehnoloģiju čempionu iniciatīvu,</w:t>
      </w:r>
    </w:p>
    <w:p w14:paraId="28902026" w14:textId="77777777" w:rsidR="009B2E3A" w:rsidRPr="00912A7B" w:rsidRDefault="009B2E3A" w:rsidP="009B2E3A">
      <w:pPr>
        <w:widowControl/>
        <w:spacing w:after="240"/>
        <w:ind w:left="567" w:hanging="567"/>
      </w:pPr>
      <w:r w:rsidRPr="00912A7B">
        <w:t>–</w:t>
      </w:r>
      <w:r w:rsidRPr="00912A7B">
        <w:tab/>
        <w:t>ņemot vērā Ekonomikas un monetārā komitejas 2025. gada 17. jūnija ziņojumu par 2024. gada ziņojumu par 2024. gada ziņojumu par Eiropas Investīciju bankas finansiālajām darbībām,</w:t>
      </w:r>
    </w:p>
    <w:p w14:paraId="3C2E1504" w14:textId="77777777" w:rsidR="009B2E3A" w:rsidRPr="00912A7B" w:rsidRDefault="009B2E3A" w:rsidP="009B2E3A">
      <w:pPr>
        <w:pStyle w:val="NormalHanging12a"/>
      </w:pPr>
      <w:r w:rsidRPr="00912A7B">
        <w:lastRenderedPageBreak/>
        <w:t>–</w:t>
      </w:r>
      <w:r w:rsidRPr="00912A7B">
        <w:tab/>
        <w:t>ņemot vērā 2020. gada 8. oktobra rezolūciju par kapitāla tirgu savienības (KTS) turpmāku veidošanu: kapitāla tirgus finansējuma pieejamības uzlabošana, jo īpaši MVU, un mazo ieguldītāju dalības iespēju palielināšana</w:t>
      </w:r>
      <w:r w:rsidRPr="00912A7B">
        <w:rPr>
          <w:rStyle w:val="FootnoteReference"/>
        </w:rPr>
        <w:footnoteReference w:id="1"/>
      </w:r>
      <w:r w:rsidRPr="00912A7B">
        <w:t>,</w:t>
      </w:r>
    </w:p>
    <w:p w14:paraId="4EE911AB" w14:textId="77777777" w:rsidR="009B2E3A" w:rsidRPr="00912A7B" w:rsidRDefault="009B2E3A" w:rsidP="009B2E3A">
      <w:pPr>
        <w:pStyle w:val="NormalHanging12a"/>
      </w:pPr>
      <w:r w:rsidRPr="00912A7B">
        <w:t>–</w:t>
      </w:r>
      <w:r w:rsidRPr="00912A7B">
        <w:tab/>
        <w:t>ņemot vērā 2015. gada 9. jūlija rezolūciju par kapitāla tirgu savienības izveidi</w:t>
      </w:r>
      <w:r w:rsidRPr="00912A7B">
        <w:rPr>
          <w:rStyle w:val="FootnoteReference"/>
        </w:rPr>
        <w:footnoteReference w:id="2"/>
      </w:r>
      <w:r w:rsidRPr="00912A7B">
        <w:t>,</w:t>
      </w:r>
    </w:p>
    <w:p w14:paraId="5E57B771" w14:textId="77777777" w:rsidR="009B2E3A" w:rsidRPr="00912A7B" w:rsidRDefault="009B2E3A" w:rsidP="009B2E3A">
      <w:pPr>
        <w:pStyle w:val="NormalHanging12a"/>
      </w:pPr>
      <w:r w:rsidRPr="00912A7B">
        <w:t>–</w:t>
      </w:r>
      <w:r w:rsidRPr="00912A7B">
        <w:tab/>
        <w:t>ņemot vērā Reglamenta 55. pantu,</w:t>
      </w:r>
    </w:p>
    <w:p w14:paraId="66256096" w14:textId="77777777" w:rsidR="009B2E3A" w:rsidRPr="00912A7B" w:rsidRDefault="009B2E3A" w:rsidP="009B2E3A">
      <w:pPr>
        <w:pStyle w:val="NormalHanging12a"/>
      </w:pPr>
      <w:r w:rsidRPr="00912A7B">
        <w:t>–</w:t>
      </w:r>
      <w:r w:rsidRPr="00912A7B">
        <w:tab/>
        <w:t>ņemot vērā Budžeta komitejas atzinumu,</w:t>
      </w:r>
    </w:p>
    <w:p w14:paraId="42F741F8" w14:textId="77777777" w:rsidR="009B2E3A" w:rsidRPr="00912A7B" w:rsidRDefault="009B2E3A" w:rsidP="009B2E3A">
      <w:pPr>
        <w:pStyle w:val="NormalHanging12a"/>
      </w:pPr>
      <w:r w:rsidRPr="00912A7B">
        <w:t>–</w:t>
      </w:r>
      <w:r w:rsidRPr="00912A7B">
        <w:tab/>
        <w:t>ņemot vērā Ekonomikas un monetārās komitejas ziņojumu (A10-0124/2025),</w:t>
      </w:r>
    </w:p>
    <w:p w14:paraId="22AA9B04" w14:textId="77777777" w:rsidR="009B2E3A" w:rsidRPr="00912A7B" w:rsidRDefault="009B2E3A" w:rsidP="009B2E3A">
      <w:pPr>
        <w:pStyle w:val="NormalHanging12a"/>
        <w:rPr>
          <w:snapToGrid/>
        </w:rPr>
      </w:pPr>
      <w:r w:rsidRPr="00912A7B">
        <w:t>A.</w:t>
      </w:r>
      <w:r w:rsidRPr="00912A7B">
        <w:tab/>
        <w:t xml:space="preserve">tā kā </w:t>
      </w:r>
      <w:proofErr w:type="spellStart"/>
      <w:r w:rsidRPr="00912A7B">
        <w:rPr>
          <w:i/>
          <w:iCs/>
        </w:rPr>
        <w:t>Draghi</w:t>
      </w:r>
      <w:proofErr w:type="spellEnd"/>
      <w:r w:rsidRPr="00912A7B">
        <w:t xml:space="preserve"> ziņojumā norādīts uz nopietniem trūkumiem Eiropas ekonomikas vispārējās konkurētspējas jomā un uz ražīguma pieauguma trūkumu un kā šīs problēmas risinājums ir ierosināta investīciju piesaiste, tostarp ar privātā kapitāla mobilizēšanas palīdzību, šajā nolūkā izveidojot uzkrājumu un investīciju savienību; tā kā </w:t>
      </w:r>
      <w:proofErr w:type="spellStart"/>
      <w:r w:rsidRPr="00912A7B">
        <w:rPr>
          <w:i/>
          <w:iCs/>
        </w:rPr>
        <w:t>Draghi</w:t>
      </w:r>
      <w:proofErr w:type="spellEnd"/>
      <w:r w:rsidRPr="00912A7B">
        <w:t xml:space="preserve"> ziņojumā tiek lēsts — lai atjaunotu ilgtspējīgu izaugsmi un ES ražīgumu, atbalstītu konkurētspēju, veicinātu inovāciju, atbalstītu ES enerģētikas pārkārtošanu, pastiprinātu tās līderību digitālās tehnoloģijas jomā, īstenotu ES vides un sociālos mērķus, pastiprinātu aizsardzību un drošību un mazinātu dažāda veida atkarību, ir nepieciešamas papildu investīcijas vismaz 750–800 miljardu EUR apjomā gadā; tā kā šī summa ir 4,4–4,7 % no ES IKP 2023. gadā</w:t>
      </w:r>
      <w:r w:rsidRPr="00912A7B">
        <w:rPr>
          <w:rStyle w:val="FootnoteReference"/>
        </w:rPr>
        <w:footnoteReference w:id="3"/>
      </w:r>
      <w:r w:rsidRPr="00912A7B">
        <w:t>;</w:t>
      </w:r>
    </w:p>
    <w:p w14:paraId="0609ACB7" w14:textId="77777777" w:rsidR="009B2E3A" w:rsidRPr="00912A7B" w:rsidRDefault="009B2E3A" w:rsidP="009B2E3A">
      <w:pPr>
        <w:pStyle w:val="NormalHanging12a"/>
      </w:pPr>
      <w:r w:rsidRPr="00912A7B">
        <w:t>B.</w:t>
      </w:r>
      <w:r w:rsidRPr="00912A7B">
        <w:tab/>
        <w:t xml:space="preserve">tā kā </w:t>
      </w:r>
      <w:proofErr w:type="spellStart"/>
      <w:r w:rsidRPr="00912A7B">
        <w:rPr>
          <w:i/>
          <w:iCs/>
        </w:rPr>
        <w:t>Draghi</w:t>
      </w:r>
      <w:proofErr w:type="spellEnd"/>
      <w:r w:rsidRPr="00912A7B">
        <w:t xml:space="preserve"> ziņojumā ir norādīts, ka pēdējos 50 gados Savienībā kā jauna vienība nav izveidots neviens uzņēmums, kura tirgus kapitalizācija pārsniegtu 100 miljardus EUR, savukārt Amerikas Savienotajās Valstīs (ASV) tajā pašā laikposmā ir izveidoti seši uzņēmumi, kuru vērtība pārsniedz vienu triljonu USD;</w:t>
      </w:r>
    </w:p>
    <w:p w14:paraId="3C33AE2A" w14:textId="77777777" w:rsidR="009B2E3A" w:rsidRPr="00912A7B" w:rsidRDefault="009B2E3A" w:rsidP="009B2E3A">
      <w:pPr>
        <w:pStyle w:val="NormalHanging12a"/>
      </w:pPr>
      <w:r w:rsidRPr="00912A7B">
        <w:t>C.</w:t>
      </w:r>
      <w:r w:rsidRPr="00912A7B">
        <w:tab/>
        <w:t xml:space="preserve">tā kā plāns </w:t>
      </w:r>
      <w:proofErr w:type="spellStart"/>
      <w:r w:rsidRPr="00912A7B">
        <w:rPr>
          <w:i/>
          <w:iCs/>
        </w:rPr>
        <w:t>ReArm</w:t>
      </w:r>
      <w:proofErr w:type="spellEnd"/>
      <w:r w:rsidRPr="00912A7B">
        <w:rPr>
          <w:i/>
          <w:iCs/>
        </w:rPr>
        <w:t xml:space="preserve"> </w:t>
      </w:r>
      <w:proofErr w:type="spellStart"/>
      <w:r w:rsidRPr="00912A7B">
        <w:rPr>
          <w:i/>
          <w:iCs/>
        </w:rPr>
        <w:t>Europe</w:t>
      </w:r>
      <w:proofErr w:type="spellEnd"/>
      <w:r w:rsidRPr="00912A7B">
        <w:t xml:space="preserve"> sastāv no pieciem pīlāriem, kuru mērķis ir finansēt Eiropas drošību un aizsardzību, aptverot gan publiskās investīcijas, gan uzkrājumu un investīciju savienību;</w:t>
      </w:r>
    </w:p>
    <w:p w14:paraId="25AD5840" w14:textId="77777777" w:rsidR="009B2E3A" w:rsidRPr="00912A7B" w:rsidRDefault="009B2E3A" w:rsidP="009B2E3A">
      <w:pPr>
        <w:pStyle w:val="NormalHanging12a"/>
      </w:pPr>
      <w:r w:rsidRPr="00912A7B">
        <w:t>D.</w:t>
      </w:r>
      <w:r w:rsidRPr="00912A7B">
        <w:tab/>
        <w:t xml:space="preserve">tā kā pašlaik notiekošie tirdzniecības kari un tarifu strīdi rada būtisku nenoteiktību pasaules tirgos, negatīvi ietekmējot izaugsmes, inflācijas un nodarbinātības prognozes un it īpaši ietekmējot pārrobežu investīcijas un izraisot pārrāvumus izveidotajās piegādes ķēdes; tā kā tarifu un tirdzniecības šķēršļu noteikšana apdraud tirdzniecības un konkurētspējīgu tirgu sniegto labumu; tā kā šādi ģeopolitiskie saspīlējumi rada papildu risku investoriem, mazinot uzticēšanos un kavējot privātā kapitāla plūsmu pāri robežām, kas ir ļoti svarīga inovācijas, </w:t>
      </w:r>
      <w:proofErr w:type="spellStart"/>
      <w:r w:rsidRPr="00912A7B">
        <w:t>jaunuzņēmumu</w:t>
      </w:r>
      <w:proofErr w:type="spellEnd"/>
      <w:r w:rsidRPr="00912A7B">
        <w:t xml:space="preserve"> un izaugsmes uzņēmumu finansēšanai; tā kā šo tirdzniecības konfliktu izraisītā nestabilitāte var palēnināt KTS izveidi, atturot no investēšanas Eiropas tirgū, it īpaši augsta riska nozarēs, kas ļoti lielā mērā ir atkarīgas no pasaules tirdzniecības tīkliem;</w:t>
      </w:r>
    </w:p>
    <w:p w14:paraId="061F64AC" w14:textId="77777777" w:rsidR="009B2E3A" w:rsidRPr="00912A7B" w:rsidRDefault="009B2E3A" w:rsidP="009B2E3A">
      <w:pPr>
        <w:pStyle w:val="NormalHanging12a"/>
      </w:pPr>
      <w:r w:rsidRPr="00912A7B">
        <w:t>E.</w:t>
      </w:r>
      <w:r w:rsidRPr="00912A7B">
        <w:tab/>
        <w:t xml:space="preserve">tā kā pašreizējā ģeopolitiskā nenoteiktība ietekmē makroekonomiskos rādītājus, palielina svārstīgumu finanšu tirgos un vājina ASV dolāru; tā kā minētais varētu pastiprināt </w:t>
      </w:r>
      <w:proofErr w:type="spellStart"/>
      <w:r w:rsidRPr="00912A7B">
        <w:t>euro</w:t>
      </w:r>
      <w:proofErr w:type="spellEnd"/>
      <w:r w:rsidRPr="00912A7B">
        <w:t xml:space="preserve"> kā redzamākas pasaules valūtas pozīciju, palielinot Eiropas ekonomisko suverenitāti un noturību;</w:t>
      </w:r>
    </w:p>
    <w:p w14:paraId="7D65D0A7" w14:textId="77777777" w:rsidR="009B2E3A" w:rsidRPr="00912A7B" w:rsidRDefault="009B2E3A" w:rsidP="009B2E3A">
      <w:pPr>
        <w:pStyle w:val="NormalHanging12a"/>
      </w:pPr>
      <w:r w:rsidRPr="00912A7B">
        <w:lastRenderedPageBreak/>
        <w:t>F.</w:t>
      </w:r>
      <w:r w:rsidRPr="00912A7B">
        <w:tab/>
        <w:t>tā kā vēsturiski privātais sektors Eiropā ir nodrošinājis aptuveni četras piektdaļas no produktīvām investīcijām un atlikušo daļu — publiskais sektors</w:t>
      </w:r>
      <w:r w:rsidRPr="00912A7B">
        <w:rPr>
          <w:rStyle w:val="FootnoteReference"/>
        </w:rPr>
        <w:footnoteReference w:id="4"/>
      </w:r>
      <w:r w:rsidRPr="00912A7B">
        <w:t>;</w:t>
      </w:r>
    </w:p>
    <w:p w14:paraId="4602A362" w14:textId="77777777" w:rsidR="009B2E3A" w:rsidRPr="00912A7B" w:rsidRDefault="009B2E3A" w:rsidP="009B2E3A">
      <w:pPr>
        <w:widowControl/>
        <w:spacing w:after="240"/>
        <w:ind w:left="567" w:hanging="567"/>
      </w:pPr>
      <w:r w:rsidRPr="00912A7B">
        <w:t>G.</w:t>
      </w:r>
      <w:r w:rsidRPr="00912A7B">
        <w:tab/>
        <w:t>tā kā vispārējais produktīvo investīciju līmenis ES pēdējos divdesmit gados ir bijis ievērojami zemāks nekā ASV;</w:t>
      </w:r>
    </w:p>
    <w:p w14:paraId="6E42C53C" w14:textId="77777777" w:rsidR="009B2E3A" w:rsidRPr="00912A7B" w:rsidRDefault="009B2E3A" w:rsidP="009B2E3A">
      <w:pPr>
        <w:pStyle w:val="NormalHanging12a"/>
      </w:pPr>
      <w:r w:rsidRPr="00912A7B">
        <w:t>H.</w:t>
      </w:r>
      <w:r w:rsidRPr="00912A7B">
        <w:tab/>
        <w:t xml:space="preserve">tā kā Komisijas publicētie Eirobarometra aptaujas par </w:t>
      </w:r>
      <w:proofErr w:type="spellStart"/>
      <w:r w:rsidRPr="00912A7B">
        <w:t>finanšpratību</w:t>
      </w:r>
      <w:proofErr w:type="spellEnd"/>
      <w:r w:rsidRPr="00912A7B">
        <w:t xml:space="preserve"> ES rezultāti rāda, ka augsts </w:t>
      </w:r>
      <w:proofErr w:type="spellStart"/>
      <w:r w:rsidRPr="00912A7B">
        <w:t>finanšpratības</w:t>
      </w:r>
      <w:proofErr w:type="spellEnd"/>
      <w:r w:rsidRPr="00912A7B">
        <w:t xml:space="preserve"> līmenis ir tikai 18 % Eiropas iedzīvotāju; tā kā lielākajai daļai (64 %) ES iedzīvotāju ir vidējs finansiālo zināšanu līmenis, savukārt 18 % ir zems </w:t>
      </w:r>
      <w:proofErr w:type="spellStart"/>
      <w:r w:rsidRPr="00912A7B">
        <w:t>finanšpratības</w:t>
      </w:r>
      <w:proofErr w:type="spellEnd"/>
      <w:r w:rsidRPr="00912A7B">
        <w:t xml:space="preserve"> līmenis, kas liecina par būtisku robu Eiropas iedzīvotāju finansiālajā spējā; tā kā tikai četrās dalībvalstīs, proti, Nīderlandē, Dānijā, Zviedrijā un Slovēnijā, iedzīvotājiem ir augsts finansiālo zināšanu līmenis; tā kā </w:t>
      </w:r>
      <w:proofErr w:type="spellStart"/>
      <w:r w:rsidRPr="00912A7B">
        <w:t>finanšpratības</w:t>
      </w:r>
      <w:proofErr w:type="spellEnd"/>
      <w:r w:rsidRPr="00912A7B">
        <w:t xml:space="preserve"> uzlabošana varētu palielināt personu spēju pieņemt uz informāciju balstītus lēmumus par uzkrājumiem, investīcijām un pensijā aiziešanas plānošanu, tādējādi uzlabojot savu ilgtermiņa finansiālo labklājību; tā kā visā ES ir jāceļ finansiālās izglītības līmenis nolūkā nodrošināt iedzīvotājiem prasmes, kas nepieciešamas, lai orientētos arvien sarežģītākajos finanšu tirgos un pilnībā izmantotu investēšanas iespējas, kas veicinās ekonomikas izaugsmi;</w:t>
      </w:r>
    </w:p>
    <w:p w14:paraId="12957873" w14:textId="77777777" w:rsidR="009B2E3A" w:rsidRPr="00912A7B" w:rsidRDefault="009B2E3A" w:rsidP="009B2E3A">
      <w:pPr>
        <w:pStyle w:val="NormalHanging12a"/>
      </w:pPr>
      <w:r w:rsidRPr="00912A7B">
        <w:t>I.</w:t>
      </w:r>
      <w:r w:rsidRPr="00912A7B">
        <w:tab/>
        <w:t xml:space="preserve">tā kā saskaņā ar </w:t>
      </w:r>
      <w:proofErr w:type="spellStart"/>
      <w:r w:rsidRPr="00912A7B">
        <w:rPr>
          <w:i/>
          <w:iCs/>
        </w:rPr>
        <w:t>Draghi</w:t>
      </w:r>
      <w:proofErr w:type="spellEnd"/>
      <w:r w:rsidRPr="00912A7B">
        <w:t xml:space="preserve"> ziņojumu ES mājsaimniecību uzkrājumi 2022. gadā bija 1390 miljardi EUR salīdzinājumā ar 840 miljardiem EUR ASV;</w:t>
      </w:r>
    </w:p>
    <w:p w14:paraId="0B3A8BC1" w14:textId="77777777" w:rsidR="009B2E3A" w:rsidRPr="00912A7B" w:rsidRDefault="009B2E3A" w:rsidP="009B2E3A">
      <w:pPr>
        <w:pStyle w:val="NormalHanging12a"/>
        <w:rPr>
          <w:snapToGrid/>
          <w:vertAlign w:val="superscript"/>
        </w:rPr>
      </w:pPr>
      <w:r w:rsidRPr="00912A7B">
        <w:t>J.</w:t>
      </w:r>
      <w:r w:rsidRPr="00912A7B">
        <w:tab/>
        <w:t xml:space="preserve">tā kā mājsaimniecību tieši turēti finanšu vērtspapīri (biržas sarakstā iekļautas akcijas, obligācijas, </w:t>
      </w:r>
      <w:proofErr w:type="spellStart"/>
      <w:r w:rsidRPr="00912A7B">
        <w:t>kopieguldījumu</w:t>
      </w:r>
      <w:proofErr w:type="spellEnd"/>
      <w:r w:rsidRPr="00912A7B">
        <w:t xml:space="preserve"> fondi un atvasinātie instrumenti) pašlaik ir 43 % no ASV mājsaimniecību bagātības un tikai 17 % no ES mājsaimniecību bagātības</w:t>
      </w:r>
      <w:r w:rsidRPr="00912A7B">
        <w:rPr>
          <w:rStyle w:val="FootnoteReference"/>
        </w:rPr>
        <w:footnoteReference w:id="5"/>
      </w:r>
      <w:r w:rsidRPr="00912A7B">
        <w:t>;</w:t>
      </w:r>
    </w:p>
    <w:p w14:paraId="60101286" w14:textId="77777777" w:rsidR="009B2E3A" w:rsidRPr="00912A7B" w:rsidRDefault="009B2E3A" w:rsidP="009B2E3A">
      <w:pPr>
        <w:widowControl/>
        <w:spacing w:after="240"/>
        <w:ind w:left="567" w:hanging="567"/>
      </w:pPr>
      <w:r w:rsidRPr="00912A7B">
        <w:t>K.</w:t>
      </w:r>
      <w:r w:rsidRPr="00912A7B">
        <w:tab/>
        <w:t>tā kā ES mājsaimniecības bija uzkrājušas 14,79 % no saviem rīcībā esošajiem ienākumiem (vairāk nekā trīsreiz vairāk nekā ASV, kur šis rādītājs bija 4,7 %</w:t>
      </w:r>
      <w:r w:rsidRPr="00912A7B">
        <w:rPr>
          <w:rStyle w:val="FootnoteReference"/>
        </w:rPr>
        <w:footnoteReference w:id="6"/>
      </w:r>
      <w:r w:rsidRPr="00912A7B">
        <w:t>) un tā kā ES iedzīvotāji 31,01 % no saviem uzkrājumiem (11,63 triljonus EUR) turēja naudā un noguldījumos (salīdzinājumā ar 12,1 % ASV), kas sniedz nelielu peļņu; tā kā 36 % (13,42 triljonus EUR) tās turēja pašu kapitālā un ieguldījumu fondu akcijās (salīdzinājumā ar 49,1 % ASV) un 27 % (10,06 triljonus EUR) — apdrošināšanas polisēs, pensijās un standarta garantijās</w:t>
      </w:r>
      <w:r w:rsidRPr="00912A7B">
        <w:rPr>
          <w:rStyle w:val="FootnoteReference"/>
        </w:rPr>
        <w:footnoteReference w:id="7"/>
      </w:r>
      <w:r w:rsidRPr="00912A7B">
        <w:t xml:space="preserve"> (salīdzinājumā ar 27,5 % ASV);</w:t>
      </w:r>
    </w:p>
    <w:p w14:paraId="63A38D59" w14:textId="77777777" w:rsidR="009B2E3A" w:rsidRPr="00912A7B" w:rsidRDefault="009B2E3A" w:rsidP="009B2E3A">
      <w:pPr>
        <w:pStyle w:val="NormalHanging12a"/>
        <w:rPr>
          <w:snapToGrid/>
        </w:rPr>
      </w:pPr>
      <w:r w:rsidRPr="00912A7B">
        <w:t>L.</w:t>
      </w:r>
      <w:r w:rsidRPr="00912A7B">
        <w:tab/>
        <w:t>tā kā — ja ES mājsaimniecības mainītu savu uzkrājumu sadalījumu noguldījumos un finanšu aktīvos tā, lai tas atspoguļotu ASV mājsaimniecību uzkrājumu struktūru, uz tirgū balstītiem investēšanas instrumentiem būtu iespējams novirzīt līdz pat 8 triljoniem EUR jeb aptuveni 350 miljardus EUR gadā</w:t>
      </w:r>
      <w:r w:rsidRPr="00912A7B">
        <w:rPr>
          <w:rStyle w:val="FootnoteReference"/>
        </w:rPr>
        <w:footnoteReference w:id="8"/>
      </w:r>
      <w:r w:rsidRPr="00912A7B">
        <w:t>;</w:t>
      </w:r>
    </w:p>
    <w:p w14:paraId="1472740A" w14:textId="77777777" w:rsidR="009B2E3A" w:rsidRPr="00912A7B" w:rsidRDefault="009B2E3A" w:rsidP="009B2E3A">
      <w:pPr>
        <w:pStyle w:val="NormalHanging12a"/>
      </w:pPr>
      <w:r w:rsidRPr="00912A7B">
        <w:lastRenderedPageBreak/>
        <w:t>M.</w:t>
      </w:r>
      <w:r w:rsidRPr="00912A7B">
        <w:tab/>
        <w:t>tā kā Eiropas mājsaimniecības katru gadu aptuveni 300 miljardus EUR</w:t>
      </w:r>
      <w:r w:rsidRPr="00912A7B">
        <w:rPr>
          <w:rStyle w:val="FootnoteReference"/>
        </w:rPr>
        <w:footnoteReference w:id="9"/>
      </w:r>
      <w:r w:rsidRPr="00912A7B">
        <w:t xml:space="preserve"> iegulda ārpus ES, galvenokārt ASV; tā kā šī summa ir pielīdzināma papildu kapitālam, ko varētu mobilizēt ES, ja apstākļi tajā būtu vairāk orientēti uz tirgu;</w:t>
      </w:r>
    </w:p>
    <w:p w14:paraId="05DA5BE8" w14:textId="77777777" w:rsidR="009B2E3A" w:rsidRPr="00912A7B" w:rsidRDefault="009B2E3A" w:rsidP="009B2E3A">
      <w:pPr>
        <w:pStyle w:val="NormalHanging12a"/>
      </w:pPr>
      <w:r w:rsidRPr="00912A7B">
        <w:t>N.</w:t>
      </w:r>
      <w:r w:rsidRPr="00912A7B">
        <w:tab/>
        <w:t>tā kā aptuveni 70 % no uzņēmumu finansējuma ES ir aizņēmumi no bankām pretstatā ASV, kur aptuveni 77 % no uzņēmumu finansējuma tiek iegūti, izmantojot kapitāla tirgus;</w:t>
      </w:r>
    </w:p>
    <w:p w14:paraId="25049692" w14:textId="77777777" w:rsidR="009B2E3A" w:rsidRPr="00912A7B" w:rsidRDefault="009B2E3A" w:rsidP="009B2E3A">
      <w:pPr>
        <w:pStyle w:val="NormalHanging12a"/>
      </w:pPr>
      <w:r w:rsidRPr="00912A7B">
        <w:t>O.</w:t>
      </w:r>
      <w:r w:rsidRPr="00912A7B">
        <w:tab/>
        <w:t xml:space="preserve">tā kā saskaņā ar </w:t>
      </w:r>
      <w:proofErr w:type="spellStart"/>
      <w:r w:rsidRPr="00912A7B">
        <w:rPr>
          <w:i/>
          <w:iCs/>
        </w:rPr>
        <w:t>Draghi</w:t>
      </w:r>
      <w:proofErr w:type="spellEnd"/>
      <w:r w:rsidRPr="00912A7B">
        <w:t xml:space="preserve"> ziņojumu laikposmā no 2008. gada līdz 2021. gadam tika nodibināti 147 Eiropas “vienradži” — privāti </w:t>
      </w:r>
      <w:proofErr w:type="spellStart"/>
      <w:r w:rsidRPr="00912A7B">
        <w:t>jaunuzņēmumi</w:t>
      </w:r>
      <w:proofErr w:type="spellEnd"/>
      <w:r w:rsidRPr="00912A7B">
        <w:t>, kuru vērtība ir viens miljards USD vai vairāk —, no kuriem 40 pārcēla savu galveno mītni uz ārvalstīm, galvenokārt uz ASV; tā kā tiek lēsts, ka Savienības administratīvais slogs ir aptuveni 150 miljardi EUR (1,3 % no ikgadējā IKP), tā kā iekšējie šķēršļi saskaņā ar Starptautiskā Valūtas fonda (SVF) aprēķiniem ir pielīdzināmi 100 % tarifam iekšējā tirgū un tā kā tikai 4 no 50 pasaules svarīgākajiem tehnoloģiju uzņēmumiem ir Eiropas uzņēmumi;</w:t>
      </w:r>
    </w:p>
    <w:p w14:paraId="3C1116DC" w14:textId="77777777" w:rsidR="009B2E3A" w:rsidRPr="00912A7B" w:rsidRDefault="009B2E3A" w:rsidP="009B2E3A">
      <w:pPr>
        <w:pStyle w:val="NormalHanging12a"/>
        <w:rPr>
          <w:snapToGrid/>
        </w:rPr>
      </w:pPr>
      <w:r w:rsidRPr="00912A7B">
        <w:t>P.</w:t>
      </w:r>
      <w:r w:rsidRPr="00912A7B">
        <w:tab/>
        <w:t>tā kā — lai gan 2000. gada Lisabonas stratēģijā ir noteikts mērķis panākt, ka izdevumi pētniecībai un attīstībai sasniedz 3 % no IKP, — ES izdevumi šajā jomā 2023. gadā bija 2,2 % no IKP salīdzinājumā ar 3,4 % ASV un 2,6 % Ķīnā; tā kā no visiem ES izdevumiem pētniecībai un izstrādei privātā sektora daļa bija tikai 66 % salīdzinājumā ar 78 % ASV un 77,7 % Ķīnā;</w:t>
      </w:r>
    </w:p>
    <w:p w14:paraId="76A6DC1F" w14:textId="77777777" w:rsidR="009B2E3A" w:rsidRPr="00912A7B" w:rsidRDefault="009B2E3A" w:rsidP="009B2E3A">
      <w:pPr>
        <w:pStyle w:val="NormalHanging12a"/>
      </w:pPr>
      <w:r w:rsidRPr="00912A7B">
        <w:t>Q.</w:t>
      </w:r>
      <w:r w:rsidRPr="00912A7B">
        <w:tab/>
        <w:t>tā kā saskaņā ar SVF aplēsēm atlikušie ar tarifiem nesaistītie šķēršļi, kas ierobežo ES iekšējo tirdzniecību, ir pielīdzināmi aptuveni 45 % tarifam attiecībā uz preču pārdošanas vidējām izmaksām (trīs reizes augstāks nekā lēstais līmenis attiecībā uz preču tirdzniecību starp ASV) un 110 % attiecībā uz pakalpojumu sniegšanas vidējām izmaksām</w:t>
      </w:r>
      <w:r w:rsidRPr="00912A7B">
        <w:rPr>
          <w:rStyle w:val="FootnoteReference"/>
        </w:rPr>
        <w:footnoteReference w:id="10"/>
      </w:r>
      <w:r w:rsidRPr="00912A7B">
        <w:t>; tā kā starp šķēršļiem vienotajā tirgū, par kuriem ziņojuši mazie un vidējie uzņēmumi (MVU), īpaši ir uzsvērti PVN (17 %), piekļuve tirgum (12 %), finansējums (10 %) un tirgus prasības (6 %)</w:t>
      </w:r>
      <w:r w:rsidRPr="00912A7B">
        <w:rPr>
          <w:rStyle w:val="FootnoteReference"/>
        </w:rPr>
        <w:footnoteReference w:id="11"/>
      </w:r>
      <w:r w:rsidRPr="00912A7B">
        <w:t>;</w:t>
      </w:r>
    </w:p>
    <w:p w14:paraId="7A57882B" w14:textId="77777777" w:rsidR="009B2E3A" w:rsidRPr="00912A7B" w:rsidRDefault="009B2E3A" w:rsidP="009B2E3A">
      <w:pPr>
        <w:pStyle w:val="NormalHanging12a"/>
      </w:pPr>
      <w:r w:rsidRPr="00912A7B">
        <w:t>R.</w:t>
      </w:r>
      <w:r w:rsidRPr="00912A7B">
        <w:tab/>
        <w:t>tā kā Eiropas kapitāla tirgi ir ļoti sadrumstaloti, jo kontinentā darbojas ievērojams skaits tirdzniecības vietu: pēc stāvokļa 2023. gada martā ES bija 295 tirdzniecības vietas, 14 centrālie darījumu partneri (CDP) un 32 centrālie vērtspapīru depozitāriji (CVD); tā kā 56–68 % no tirdzniecības, ko veic uz vietas, 2023. gadā notika iekšzemes biržā pieciem galvenajiem Rietumeiropas kapitāla indeksiem (AEX 25, CAC 40, DAX 40, IBEX 35 un MIB 40)</w:t>
      </w:r>
      <w:r w:rsidRPr="00912A7B">
        <w:rPr>
          <w:rStyle w:val="FootnoteReference"/>
        </w:rPr>
        <w:footnoteReference w:id="12"/>
      </w:r>
      <w:r w:rsidRPr="00912A7B">
        <w:t>;</w:t>
      </w:r>
    </w:p>
    <w:p w14:paraId="0B0FE404" w14:textId="77777777" w:rsidR="009B2E3A" w:rsidRPr="00912A7B" w:rsidRDefault="009B2E3A" w:rsidP="009B2E3A">
      <w:pPr>
        <w:pStyle w:val="NormalHanging12a"/>
      </w:pPr>
      <w:r w:rsidRPr="00912A7B">
        <w:t>S.</w:t>
      </w:r>
      <w:r w:rsidRPr="00912A7B">
        <w:tab/>
        <w:t xml:space="preserve">tā kā, lai gan kapitāla tirgu integrācija ir nepieciešama, tā pati par sevi nav pietiekama, lai sasniegtu investīciju </w:t>
      </w:r>
      <w:proofErr w:type="spellStart"/>
      <w:r w:rsidRPr="00912A7B">
        <w:t>mērķvirzītu</w:t>
      </w:r>
      <w:proofErr w:type="spellEnd"/>
      <w:r w:rsidRPr="00912A7B">
        <w:t xml:space="preserve"> palielināšanos; tā kā nodokļu un maksātnespējas režīmi dalībvalstīs joprojām būtiski atšķiras;</w:t>
      </w:r>
    </w:p>
    <w:p w14:paraId="7BAB33CF" w14:textId="77777777" w:rsidR="009B2E3A" w:rsidRPr="00912A7B" w:rsidRDefault="009B2E3A" w:rsidP="009B2E3A">
      <w:pPr>
        <w:pStyle w:val="NormalHanging12a"/>
      </w:pPr>
      <w:r w:rsidRPr="00912A7B">
        <w:lastRenderedPageBreak/>
        <w:t>T.</w:t>
      </w:r>
      <w:r w:rsidRPr="00912A7B">
        <w:tab/>
        <w:t xml:space="preserve">tā kā saskaņā ar </w:t>
      </w:r>
      <w:proofErr w:type="spellStart"/>
      <w:r w:rsidRPr="00912A7B">
        <w:rPr>
          <w:i/>
          <w:iCs/>
        </w:rPr>
        <w:t>Letta</w:t>
      </w:r>
      <w:proofErr w:type="spellEnd"/>
      <w:r w:rsidRPr="00912A7B">
        <w:t xml:space="preserve"> ziņojumu nodokļu sadrumstalotība joprojām ir būtisks šķērslis ES uzņēmumiem un it īpaši MVU, un labāka saskaņošana, izmantojot saskaņotāku ES nodokļu satvaru, ir ļoti svarīga, lai atvieglotu darba ņēmēju brīvu pārvietošanos un preču un pakalpojumu brīvu apriti un lai atbalstītu izaugsmi un privātās investīcijas</w:t>
      </w:r>
      <w:r w:rsidRPr="00912A7B">
        <w:rPr>
          <w:rStyle w:val="FootnoteReference"/>
        </w:rPr>
        <w:footnoteReference w:id="13"/>
      </w:r>
      <w:r w:rsidRPr="00912A7B">
        <w:t>;</w:t>
      </w:r>
    </w:p>
    <w:p w14:paraId="71EF7B8A" w14:textId="77777777" w:rsidR="009B2E3A" w:rsidRPr="00912A7B" w:rsidRDefault="009B2E3A" w:rsidP="009B2E3A">
      <w:pPr>
        <w:pStyle w:val="NormalHanging12a"/>
      </w:pPr>
      <w:r w:rsidRPr="00912A7B">
        <w:t>U.</w:t>
      </w:r>
      <w:r w:rsidRPr="00912A7B">
        <w:tab/>
        <w:t xml:space="preserve">tā kā tas, ka investoriem trūkst izstāšanās iespēju, ir ļoti svarīgs iemesls </w:t>
      </w:r>
      <w:proofErr w:type="spellStart"/>
      <w:r w:rsidRPr="00912A7B">
        <w:t>iespējkapitāla</w:t>
      </w:r>
      <w:proofErr w:type="spellEnd"/>
      <w:r w:rsidRPr="00912A7B">
        <w:t xml:space="preserve"> un izaugsmes kapitāla fondu nepietiekamai attīstībai ES; tā kā ES pārmērīgi paļaujas uz banku sniegto finansējumu</w:t>
      </w:r>
      <w:r w:rsidRPr="00912A7B">
        <w:rPr>
          <w:rStyle w:val="FootnoteReference"/>
        </w:rPr>
        <w:footnoteReference w:id="14"/>
      </w:r>
      <w:r w:rsidRPr="00912A7B">
        <w:t>;</w:t>
      </w:r>
    </w:p>
    <w:p w14:paraId="0B635A57" w14:textId="77777777" w:rsidR="009B2E3A" w:rsidRPr="00912A7B" w:rsidRDefault="009B2E3A" w:rsidP="009B2E3A">
      <w:pPr>
        <w:pStyle w:val="NormalHanging12a"/>
      </w:pPr>
      <w:r w:rsidRPr="00912A7B">
        <w:t>V.</w:t>
      </w:r>
      <w:r w:rsidRPr="00912A7B">
        <w:tab/>
        <w:t>tā kā vienai no ES budžeta prioritārajām jomām vajadzētu būt konkurētspējai, tam būtu jāveicina saskaņotu stratēģisko prioritāšu īstenošana un no tā būtu jāfinansē Eiropas sabiedriskais labums, tādējādi sekmējot ražīguma palielināšanos un vienlaikus nodrošinot ekonomisko, sociālo un teritoriālo kohēziju; tā kā, lai izvairītos no vienotā tirgus sadrumstalotības un palielinātu publisko investīciju vispārējo ietekmi, ir nepieciešama ciešāka koordinācija starp ES un dalībvalstu budžetiem;</w:t>
      </w:r>
    </w:p>
    <w:p w14:paraId="7D8D8329" w14:textId="77777777" w:rsidR="009B2E3A" w:rsidRPr="00912A7B" w:rsidRDefault="009B2E3A" w:rsidP="009B2E3A">
      <w:pPr>
        <w:pStyle w:val="NormalHanging12a"/>
      </w:pPr>
      <w:r w:rsidRPr="00912A7B">
        <w:t>W.</w:t>
      </w:r>
      <w:r w:rsidRPr="00912A7B">
        <w:tab/>
        <w:t>tā kā drošus aktīvus ES līmenī ir emitējuši Eiropas emitenti, tādi kā Eiropas Investīciju banka, Eiropas Finanšu stabilitātes instruments, Eiropas Stabilitātes mehānisms, kopš 1976. gada Eiropas Ekonomikas kopiena un pēc tam pati ES</w:t>
      </w:r>
      <w:r w:rsidRPr="00912A7B">
        <w:rPr>
          <w:bCs/>
          <w:iCs/>
          <w:vertAlign w:val="superscript"/>
        </w:rPr>
        <w:footnoteReference w:id="15"/>
      </w:r>
      <w:r w:rsidRPr="00912A7B">
        <w:t>;</w:t>
      </w:r>
    </w:p>
    <w:p w14:paraId="38EDA7A4" w14:textId="77777777" w:rsidR="009B2E3A" w:rsidRPr="00912A7B" w:rsidRDefault="009B2E3A" w:rsidP="009B2E3A">
      <w:pPr>
        <w:pStyle w:val="NormalHanging12a"/>
      </w:pPr>
      <w:r w:rsidRPr="00912A7B">
        <w:t>X.</w:t>
      </w:r>
      <w:r w:rsidRPr="00912A7B">
        <w:tab/>
        <w:t>tā kā pašu kapitāla finansējumam piemīt būtisks neizmantots potenciāls atbalstīt ES uzņēmumu izaugsmi un inovāciju;</w:t>
      </w:r>
    </w:p>
    <w:p w14:paraId="10452037" w14:textId="77777777" w:rsidR="009B2E3A" w:rsidRPr="00912A7B" w:rsidRDefault="009B2E3A" w:rsidP="009B2E3A">
      <w:pPr>
        <w:pStyle w:val="NormalHanging12a"/>
      </w:pPr>
      <w:r w:rsidRPr="00912A7B">
        <w:t>Y.</w:t>
      </w:r>
      <w:r w:rsidRPr="00912A7B">
        <w:tab/>
        <w:t xml:space="preserve">tā kā pašlaik nozīmīgākais Savienības riska dalīšanas instruments ir programma </w:t>
      </w:r>
      <w:proofErr w:type="spellStart"/>
      <w:r w:rsidRPr="00912A7B">
        <w:rPr>
          <w:i/>
          <w:iCs/>
        </w:rPr>
        <w:t>InvestEU</w:t>
      </w:r>
      <w:proofErr w:type="spellEnd"/>
      <w:r w:rsidRPr="00912A7B">
        <w:t>; tā kā lielākā daļa īstenošanā iesaistīto partneru uzmanības centrā joprojām lielākoties ir zemāka riska investīcijas;</w:t>
      </w:r>
    </w:p>
    <w:p w14:paraId="46F18518" w14:textId="77777777" w:rsidR="009B2E3A" w:rsidRPr="00912A7B" w:rsidRDefault="009B2E3A" w:rsidP="009B2E3A">
      <w:pPr>
        <w:pStyle w:val="NormalHanging12a"/>
      </w:pPr>
      <w:r w:rsidRPr="00912A7B">
        <w:t>Z.</w:t>
      </w:r>
      <w:r w:rsidRPr="00912A7B">
        <w:tab/>
        <w:t>tā kā politiskā pretestība un atšķirīgās nacionālās intereses nav ļāvušas panākt vienprātību attiecībā uz KTS izveidi,</w:t>
      </w:r>
    </w:p>
    <w:p w14:paraId="3A8BBC84" w14:textId="77777777" w:rsidR="009B2E3A" w:rsidRPr="00912A7B" w:rsidRDefault="009B2E3A" w:rsidP="009B2E3A">
      <w:pPr>
        <w:pStyle w:val="Normal12a24b"/>
      </w:pPr>
      <w:r w:rsidRPr="00912A7B">
        <w:rPr>
          <w:rStyle w:val="BoldItalic"/>
        </w:rPr>
        <w:t>Kopīga redzējuma veidošana attiecībā uz Eiropas ražīgumu un nepieciešamību pēc ilgtspējīgas izaugsmes</w:t>
      </w:r>
    </w:p>
    <w:p w14:paraId="1DCBE2C8" w14:textId="77777777" w:rsidR="009B2E3A" w:rsidRPr="00912A7B" w:rsidRDefault="009B2E3A" w:rsidP="009B2E3A">
      <w:pPr>
        <w:pStyle w:val="NormalHanging12a"/>
      </w:pPr>
      <w:r w:rsidRPr="00912A7B">
        <w:t>1.</w:t>
      </w:r>
      <w:r w:rsidRPr="00912A7B">
        <w:tab/>
        <w:t xml:space="preserve">prasa vispārēji mobilizēt visus juridiskos, administratīvos un finanšu līdzekļus un pieejamo instrumentus, lai ģeopolitiskās nestabilitātes un starptautisko saspīlējumu kontekstā pastiprinātu ES drošību un rūpniecisko un tehnoloģisko suverenitāti — tostarp, palielinot kritiskās infrastruktūras, tādas kā elektroapgādes, ūdensapgādes un komunikāciju sistēmas, noturību un aizsardzību —, aizsargātu ES iedzīvotājus un uzņēmumus un mazinātu nodzisuma un citu būtisku apgādes traucējumu ietekmi, paātrinot pārkārtošanos un investējot tajā, uzlabojot konkurētspēju, radot ilgtspējīgu izaugsmi un kvalitatīvas darbvietas, atbalstot MVU un veicinot augšupēju sociālo </w:t>
      </w:r>
      <w:r w:rsidRPr="00912A7B">
        <w:lastRenderedPageBreak/>
        <w:t>konverģenci un kohēziju; uzsver, ka Eiropa atpaliek un turpmākas rīcības trūkuma gadījumā mūsu reģions var zaudēt savu nozīmi;</w:t>
      </w:r>
    </w:p>
    <w:p w14:paraId="31C7C96E" w14:textId="77777777" w:rsidR="009B2E3A" w:rsidRPr="00912A7B" w:rsidRDefault="009B2E3A" w:rsidP="009B2E3A">
      <w:pPr>
        <w:pStyle w:val="NormalHanging12a"/>
      </w:pPr>
      <w:r w:rsidRPr="00912A7B">
        <w:t>2.</w:t>
      </w:r>
      <w:r w:rsidRPr="00912A7B">
        <w:tab/>
        <w:t xml:space="preserve">atzinīgi vērtē to, ka ir atsāktas debates par nepieciešamību atjaunot ES konkurētspēju, ražīgumu un ekonomikas izaugsmi, kam ir pausts atbalsts arī </w:t>
      </w:r>
      <w:proofErr w:type="spellStart"/>
      <w:r w:rsidRPr="00912A7B">
        <w:rPr>
          <w:i/>
          <w:iCs/>
        </w:rPr>
        <w:t>Draghi</w:t>
      </w:r>
      <w:proofErr w:type="spellEnd"/>
      <w:r w:rsidRPr="00912A7B">
        <w:t xml:space="preserve"> un </w:t>
      </w:r>
      <w:proofErr w:type="spellStart"/>
      <w:r w:rsidRPr="00912A7B">
        <w:rPr>
          <w:i/>
          <w:iCs/>
        </w:rPr>
        <w:t>Letta</w:t>
      </w:r>
      <w:proofErr w:type="spellEnd"/>
      <w:r w:rsidRPr="00912A7B">
        <w:t xml:space="preserve"> ziņojumos; atgādina, ka ražīguma palielināšanos varētu panākt galvenokārt, investējot inovatīvās darbībās, tostarp pārkārtošanās procesā; norāda, ka konkurence var stimulēt ražīgumu, investēšanu un inovāciju;</w:t>
      </w:r>
    </w:p>
    <w:p w14:paraId="58875255" w14:textId="77777777" w:rsidR="009B2E3A" w:rsidRPr="00912A7B" w:rsidRDefault="009B2E3A" w:rsidP="009B2E3A">
      <w:pPr>
        <w:pStyle w:val="NormalHanging12a"/>
      </w:pPr>
      <w:r w:rsidRPr="00912A7B">
        <w:t>3.</w:t>
      </w:r>
      <w:r w:rsidRPr="00912A7B">
        <w:tab/>
        <w:t xml:space="preserve">atzinīgi vērtē </w:t>
      </w:r>
      <w:proofErr w:type="spellStart"/>
      <w:r w:rsidRPr="00912A7B">
        <w:rPr>
          <w:i/>
          <w:iCs/>
        </w:rPr>
        <w:t>Draghi</w:t>
      </w:r>
      <w:proofErr w:type="spellEnd"/>
      <w:r w:rsidRPr="00912A7B">
        <w:t xml:space="preserve"> un </w:t>
      </w:r>
      <w:proofErr w:type="spellStart"/>
      <w:r w:rsidRPr="00912A7B">
        <w:rPr>
          <w:i/>
          <w:iCs/>
        </w:rPr>
        <w:t>Letta</w:t>
      </w:r>
      <w:proofErr w:type="spellEnd"/>
      <w:r w:rsidRPr="00912A7B">
        <w:t xml:space="preserve"> ziņojumus kā vienu no </w:t>
      </w:r>
      <w:proofErr w:type="spellStart"/>
      <w:r w:rsidRPr="00912A7B">
        <w:t>daudzajiem</w:t>
      </w:r>
      <w:proofErr w:type="spellEnd"/>
      <w:r w:rsidRPr="00912A7B">
        <w:t xml:space="preserve"> trauksmes signāliem ES un valsts līmeņa lēmumu pieņēmējiem, kā arī kā sākumpunktu rīcībai, lai palielinātu gan privātās, gan publiskās investīcijas, it īpaši pārkārtošanās procesā esošajām tehnoloģijas nozarēm, autobūves nozarei un smagajai rūpniecībai, piemēram, tērauda un ķīmisko vielu rūpniecībai; atzinīgi vērtē to, ka Komisija atzīst publisko finanšu lomu privātā finansējuma mobilizēšanā un inovācijas atbalstīšanā ES; norāda, ka iemesls progresa trūkumam ES finanšu tirgu integrēšanā bieži vien ir bijis dalībvalstu iebildumi; aicina dalībvalstis izmantot pašreizējo impulsu un kopā ar Parlamentu strādāt pie tā, lai panāktu patiesu progresu ES finanšu tirgu integrācijā; atgādina, ka Eiropas Savienības centieni pabeigt KTS izveidi nav devuši galīgo rezultātu kopš 2015. gada; mudina visas iesaistītās personas īstenot centienus, lai pēc iespējas ātrāk panāktu uzkrājumu un investīciju savienības izveidi;</w:t>
      </w:r>
    </w:p>
    <w:p w14:paraId="5A6E6AC2" w14:textId="77777777" w:rsidR="009B2E3A" w:rsidRPr="00912A7B" w:rsidRDefault="009B2E3A" w:rsidP="009B2E3A">
      <w:pPr>
        <w:pStyle w:val="NormalHanging12a"/>
        <w:rPr>
          <w:snapToGrid/>
        </w:rPr>
      </w:pPr>
      <w:r w:rsidRPr="00912A7B">
        <w:t>4.</w:t>
      </w:r>
      <w:r w:rsidRPr="00912A7B">
        <w:tab/>
        <w:t>ar bažām atzīmē ekonomikas izaugsmes satricinājuma risku</w:t>
      </w:r>
      <w:r w:rsidRPr="00912A7B">
        <w:rPr>
          <w:rStyle w:val="FootnoteReference"/>
        </w:rPr>
        <w:footnoteReference w:id="16"/>
      </w:r>
      <w:r w:rsidRPr="00912A7B">
        <w:t xml:space="preserve"> un pašreizējo satricinājumu finanšu tirgos un ģeopolitisko nenoteiktību, kas var apdraudēt Eiropas iedzīvotāju, darba ņēmēju un it īpaši uzņēmumu labklājību; atzīmē, ka šī ģeopolitiskā nenoteiktība jau ir būtiski palielinājusi finanšu tirgu svārstīgumu un veicinājusi ASV dolāra vērtības samazināšanos un ka drošība ir ilgtspējīgas izaugsmes priekšnoteikums;</w:t>
      </w:r>
    </w:p>
    <w:p w14:paraId="5902732F" w14:textId="77777777" w:rsidR="009B2E3A" w:rsidRPr="00912A7B" w:rsidRDefault="009B2E3A" w:rsidP="009B2E3A">
      <w:pPr>
        <w:pStyle w:val="NormalHanging12a"/>
      </w:pPr>
      <w:r w:rsidRPr="00912A7B">
        <w:t>5.</w:t>
      </w:r>
      <w:r w:rsidRPr="00912A7B">
        <w:tab/>
        <w:t xml:space="preserve">atzīst, ka ES pamatīgais tiesiskais regulējums ir veicinājis tās finanšu stabilitāti; uzskata, ka šī leģislatīvā stabilitāte un </w:t>
      </w:r>
      <w:proofErr w:type="spellStart"/>
      <w:r w:rsidRPr="00912A7B">
        <w:t>paredzamība</w:t>
      </w:r>
      <w:proofErr w:type="spellEnd"/>
      <w:r w:rsidRPr="00912A7B">
        <w:t xml:space="preserve"> varētu kļūt par patiesu salīdzinošu un konkurētspējīgu priekšrocību, jo šie faktori ir izšķiroši svarīgi, lai iegūtu starptautisko investoru uzticēšanos; vērš uzmanību uz ciešo saikni starp tiesiskumu un ilgtspējīgu un konkurētspējīgu ekonomikas izaugsmi; uzsver, ka finanšu nozares stabilitāte ir svarīgs tās konkurētspējas elements;</w:t>
      </w:r>
    </w:p>
    <w:p w14:paraId="4E09C2B1" w14:textId="77777777" w:rsidR="009B2E3A" w:rsidRPr="00912A7B" w:rsidRDefault="009B2E3A" w:rsidP="009B2E3A">
      <w:pPr>
        <w:pStyle w:val="NormalHanging12a"/>
        <w:rPr>
          <w:bCs/>
          <w:snapToGrid/>
        </w:rPr>
      </w:pPr>
      <w:r w:rsidRPr="00912A7B">
        <w:t>6.</w:t>
      </w:r>
      <w:r w:rsidRPr="00912A7B">
        <w:tab/>
        <w:t>atzinīgi vērtē līdz šim veikto darbu pie kapitāla tirgu savienības izveides, sākot ar 2015. gada septembrī pieņemto Rīcības plānu kapitāla tirgu savienības izveidei; pauž nožēlu par nebūtisko progresu, kas kopš tā laika sasniegts ES kapitāla tirgu integrēšanā, un prasa paātrināt šo procesu; šajā sakarā atzinīgi vērtē to, ka ir pieņemts Komisijas paziņojums “Uzkrājumu un investīciju savienība. Stratēģija, kā veicināt ES iedzīvotāju turību un ekonomikas konkurētspēju”, kurā izklāstītas dažādas politikas iniciatīvas un kura mērķis ir integrēt ES finanšu tirgus un efektīvi novirzīt uzkrājumus uz investīcijām;</w:t>
      </w:r>
    </w:p>
    <w:p w14:paraId="677EDA5D" w14:textId="77777777" w:rsidR="009B2E3A" w:rsidRPr="00912A7B" w:rsidRDefault="009B2E3A" w:rsidP="009B2E3A">
      <w:pPr>
        <w:pStyle w:val="NormalHanging12a"/>
      </w:pPr>
      <w:r w:rsidRPr="00912A7B">
        <w:t>7.</w:t>
      </w:r>
      <w:r w:rsidRPr="00912A7B">
        <w:tab/>
        <w:t xml:space="preserve">uzsver, ka ir svarīgi stiprināt uzticēšanos banku sistēmai un ka finanšu stabilitātes nodrošināšana un efektīva vienotā tirgus veicināšana ir ļoti svarīgi ES mērķi; atzīst, ka banku savienības izveides pabeigšanai jābūt stratēģiskai prioritātei Ekonomiskās un monetārās savienības padziļināšanā; aicina Padomi paātrināt atlikušo tiesību aktu </w:t>
      </w:r>
      <w:r w:rsidRPr="00912A7B">
        <w:lastRenderedPageBreak/>
        <w:t>pieņemšanu, lai nostiprinātu savu finanšu stabilitātes satvaru un pabeigtu banku savienības izveidi;</w:t>
      </w:r>
    </w:p>
    <w:p w14:paraId="088C085E" w14:textId="77777777" w:rsidR="009B2E3A" w:rsidRPr="00912A7B" w:rsidRDefault="009B2E3A" w:rsidP="009B2E3A">
      <w:pPr>
        <w:pStyle w:val="NormalHanging12a"/>
      </w:pPr>
      <w:r w:rsidRPr="00912A7B">
        <w:t>8.</w:t>
      </w:r>
      <w:r w:rsidRPr="00912A7B">
        <w:tab/>
        <w:t>uzstāj uz nepieciešamību steidzami rīkoties, paātrinot lēmumu pieņemšanu, saīsinot aizkavēšanos īstenošanā un paātrinot lēmumu pieņemšanu attiecībā uz ES instrumentiem un atbalsta mehānismiem;</w:t>
      </w:r>
    </w:p>
    <w:p w14:paraId="7F29A4CF" w14:textId="77777777" w:rsidR="009B2E3A" w:rsidRPr="00912A7B" w:rsidRDefault="009B2E3A" w:rsidP="009B2E3A">
      <w:pPr>
        <w:pStyle w:val="NormalHanging12a"/>
      </w:pPr>
      <w:r w:rsidRPr="00912A7B">
        <w:t>9.</w:t>
      </w:r>
      <w:r w:rsidRPr="00912A7B">
        <w:tab/>
        <w:t xml:space="preserve">uzskata, ka Savienībai ir jāpanāk progress KTS izveidē, lai maksimāli izmantotu privātā sektora instrumentus; uzsver, ka tam būs nepieciešams arī publiskā sektora atbalsts, lai nodrošinātu minimālās ikgadējās papildu investīcijas, kas vajadzīgas ilgtspējīgas un inovatīvas rūpniecības nozares atjaunošanai un Savienības labklājības nostiprināšanai; vērš uzmanību uz to, ka ražīguma palielināšanās arī radītu plašāku fiskālo telpu; </w:t>
      </w:r>
    </w:p>
    <w:p w14:paraId="7BA48EE9" w14:textId="77777777" w:rsidR="009B2E3A" w:rsidRPr="00912A7B" w:rsidRDefault="009B2E3A" w:rsidP="009B2E3A">
      <w:pPr>
        <w:pStyle w:val="NormalHanging12a"/>
      </w:pPr>
      <w:r w:rsidRPr="00912A7B">
        <w:t>10.</w:t>
      </w:r>
      <w:r w:rsidRPr="00912A7B">
        <w:tab/>
        <w:t>vērš uzmanību uz to, ka ES pārāk daudz kapitāla netiek izmantots produktīvi; uzsver, ka uzņēmumi, it īpaši MVU, nespēj pašreizējos kapitāla tirgus Eiropā pilnībā izmantot finansēšanai un investēšanai;</w:t>
      </w:r>
    </w:p>
    <w:p w14:paraId="730B6844" w14:textId="77777777" w:rsidR="009B2E3A" w:rsidRPr="00912A7B" w:rsidRDefault="009B2E3A" w:rsidP="009B2E3A">
      <w:pPr>
        <w:pStyle w:val="NormalHanging12a"/>
        <w:tabs>
          <w:tab w:val="left" w:pos="6663"/>
        </w:tabs>
        <w:rPr>
          <w:snapToGrid/>
        </w:rPr>
      </w:pPr>
      <w:r w:rsidRPr="00912A7B">
        <w:t>11.</w:t>
      </w:r>
      <w:r w:rsidRPr="00912A7B">
        <w:tab/>
        <w:t xml:space="preserve">pauž nožēlu par to, ka daudzi ES reģistrēti uzņēmēji izjūt nepieciešamību pārcelt uzņēmējdarbību, lai vieglāk piekļūtu finansējumam un resursiem; ar bažām atzīmē, ka liela mēroga riska kapitāla fondu un finansiāli dzīvotspējīgu izstāšanās iespēju trūkums Eiropas Savienībā mudina tos izvērst darbību ar ārvalstu investīciju palīdzību un ārvalstu tirgos; atzīmē, ka iemesls tam ir integrētas KTS trūkums Eiropas Savienībā un tas, ka ES tirgi vēl nespēj apmierināt šo uzņēmumu vajadzības; atgādina, ka ES gadā tiek nodibināts vairāk </w:t>
      </w:r>
      <w:proofErr w:type="spellStart"/>
      <w:r w:rsidRPr="00912A7B">
        <w:t>jaunuzņēmumu</w:t>
      </w:r>
      <w:proofErr w:type="spellEnd"/>
      <w:r w:rsidRPr="00912A7B">
        <w:t xml:space="preserve"> nekā ASV un ka </w:t>
      </w:r>
      <w:proofErr w:type="spellStart"/>
      <w:r w:rsidRPr="00912A7B">
        <w:t>iespējkapitāla</w:t>
      </w:r>
      <w:proofErr w:type="spellEnd"/>
      <w:r w:rsidRPr="00912A7B">
        <w:t xml:space="preserve"> investīciju sniegtā peļņa ES ir par aptuveni 6 % augstāka nekā ASV</w:t>
      </w:r>
      <w:r w:rsidRPr="00912A7B">
        <w:rPr>
          <w:rStyle w:val="FootnoteReference"/>
        </w:rPr>
        <w:footnoteReference w:id="17"/>
      </w:r>
      <w:r w:rsidRPr="00912A7B">
        <w:t xml:space="preserve">, kas liecina par nepieciešamību ES iestādēm veicināt inovācijai un izaugsmei pievilcīgākas un tās atbalstošākas vides izveidi; piekrīt </w:t>
      </w:r>
      <w:proofErr w:type="spellStart"/>
      <w:r w:rsidRPr="00912A7B">
        <w:rPr>
          <w:i/>
          <w:iCs/>
        </w:rPr>
        <w:t>Draghi</w:t>
      </w:r>
      <w:proofErr w:type="spellEnd"/>
      <w:r w:rsidRPr="00912A7B">
        <w:t xml:space="preserve"> un </w:t>
      </w:r>
      <w:proofErr w:type="spellStart"/>
      <w:r w:rsidRPr="00912A7B">
        <w:rPr>
          <w:i/>
          <w:iCs/>
        </w:rPr>
        <w:t>Letta</w:t>
      </w:r>
      <w:proofErr w:type="spellEnd"/>
      <w:r w:rsidRPr="00912A7B">
        <w:t xml:space="preserve"> ziņojumos norādītajam, ka ES būtu jāturpina attīstīt savi </w:t>
      </w:r>
      <w:proofErr w:type="spellStart"/>
      <w:r w:rsidRPr="00912A7B">
        <w:t>iespējkapitāla</w:t>
      </w:r>
      <w:proofErr w:type="spellEnd"/>
      <w:r w:rsidRPr="00912A7B">
        <w:t xml:space="preserve"> tirgi, un tāpēc uzsver, ka ir ļoti svarīgi izveidot spēcīgu ekosistēmu </w:t>
      </w:r>
      <w:proofErr w:type="spellStart"/>
      <w:r w:rsidRPr="00912A7B">
        <w:t>riespējkapitālam</w:t>
      </w:r>
      <w:proofErr w:type="spellEnd"/>
      <w:r w:rsidRPr="00912A7B">
        <w:t xml:space="preserve"> un investēšanai ES un prasa radīt </w:t>
      </w:r>
      <w:proofErr w:type="spellStart"/>
      <w:r w:rsidRPr="00912A7B">
        <w:t>iespējkapitālu</w:t>
      </w:r>
      <w:proofErr w:type="spellEnd"/>
      <w:r w:rsidRPr="00912A7B">
        <w:t xml:space="preserve"> un riska kapitālu uzņēmumiem — piemēram, izveidojot pietiekami lielus Eiropas izaugsmes un izpirkšanas fondus —, lai panāktu investēšanu mūsu tirgos; vērš uzmanību uz to, ka, sniedzot publisko atbalstu </w:t>
      </w:r>
      <w:proofErr w:type="spellStart"/>
      <w:r w:rsidRPr="00912A7B">
        <w:t>iespējkapitāla</w:t>
      </w:r>
      <w:proofErr w:type="spellEnd"/>
      <w:r w:rsidRPr="00912A7B">
        <w:t xml:space="preserve"> tirgiem, prioritāte būtu jāpiešķir projektiem, kas ir saskaņoti ar ES prioritātēm;</w:t>
      </w:r>
    </w:p>
    <w:p w14:paraId="17AC0100" w14:textId="77777777" w:rsidR="009B2E3A" w:rsidRPr="00912A7B" w:rsidRDefault="009B2E3A" w:rsidP="009B2E3A">
      <w:pPr>
        <w:pStyle w:val="NormalHanging12a"/>
      </w:pPr>
      <w:r w:rsidRPr="00912A7B">
        <w:t>12.</w:t>
      </w:r>
      <w:r w:rsidRPr="00912A7B">
        <w:tab/>
        <w:t xml:space="preserve">vērš uzmanību uz to, ka Eiropas finanšu tirgiem ir jābūt pievilcīgiem un viegli pieejamiem gan emitentiem, gan investoriem; uzsver, ka tas attiecas gan uz primārajiem, gan sekundārajiem tirgiem; vērš uzmanību uz to, ka lēmums par akciju kotēšanu regulētā tirgū bieži vien nozīmē papildu prasības uzņēmumiem, arī prasību aizsargāt investorus; atzīmē, ka šīs prasības var tikt uztvertas kā kotēšanai biržā piemītošs trūkums; aicina Komisiju pastāvīgi uzraudzīt un samazināt biržas sarakstā iekļauto uzņēmumu, it īpaši MVU, administratīvās un atbilstības nodrošināšanas izmaksas; atzinīgi vērtē nesen pieņemto Tiesību aktu par iekļaušanu biržas sarakstā kā pirmo soli šajā virzienā, kas visu lielumu uzņēmumiem, to skaitā MVU, atvieglos iespēju tikt iekļautiem Eiropas biržu sarakstos; prasa pragmatiski īstenot Tiesību aktu par iekļaušanu biržas sarakstā un aicina Komisiju turpināt izmantot šo iniciatīvu, it īpaši </w:t>
      </w:r>
      <w:r w:rsidRPr="00912A7B">
        <w:lastRenderedPageBreak/>
        <w:t>attiecībā uz MVU nepieciešamā kapitāla meklēšanu un stiprinot MVU izaugsmes tirgus, kas ir palīdzējuši mazākiem uzņēmumiem sākt to akciju kotēšanu biržā;</w:t>
      </w:r>
    </w:p>
    <w:p w14:paraId="3CAF2010" w14:textId="77777777" w:rsidR="009B2E3A" w:rsidRPr="00912A7B" w:rsidRDefault="009B2E3A" w:rsidP="009B2E3A">
      <w:pPr>
        <w:pStyle w:val="NormalHanging12a"/>
      </w:pPr>
      <w:r w:rsidRPr="00912A7B">
        <w:t>13.</w:t>
      </w:r>
      <w:r w:rsidRPr="00912A7B">
        <w:tab/>
        <w:t>uzsver, ka publiskajām investīcijām ir izšķiroši svarīga loma privāto investīciju papildināšanā; mudina Komisiju nākt klajā ar priekšlikumiem, kuru mērķis ir mobilizēt papildu kapitālu, lai cita starpā palīdzētu sasniegt Līguma par Eiropas Savienību (LES) 3. pantā noteiktos mērķus; uzskata, ka finanšu instrumenti un budžeta garantijas ir veids, kā līdzekļus efektīvi izmantot ES politikas mērķu īstenošanai; atkārtoti norāda, ka labi izstrādātas budžeta garantijas un finanšu instrumenti, ja tie balstās uz tirgus vajadzībām, ir ļoti efektīvs veids, kā ierobežotos ES budžeta līdzekļus izmantot, lai mazinātu ar investēšanu saistīto risku un piesaistītu privāto kapitālu;</w:t>
      </w:r>
    </w:p>
    <w:p w14:paraId="256DCF18" w14:textId="77777777" w:rsidR="009B2E3A" w:rsidRPr="00912A7B" w:rsidRDefault="009B2E3A" w:rsidP="009B2E3A">
      <w:pPr>
        <w:pStyle w:val="NormalHanging12a"/>
      </w:pPr>
      <w:r w:rsidRPr="00912A7B">
        <w:t>14.</w:t>
      </w:r>
      <w:r w:rsidRPr="00912A7B">
        <w:tab/>
        <w:t>uzsver, ka publisko līdzekļi izmantošanā īpaša uzmanība būtu jāpievērš sabiedrisko pakalpojumu un infrastruktūras, it īpaši vispārējas nozīmes pakalpojumu, kvalitātes, efektivitātes, ilgtspējas un pieejamības nodrošināšanai, vienlaikus paātrinot privāto investēšanu inovatīvās un tīrās tehnoloģijās un nozarēs saskaņā ar skaidri definētiem nosacījumiem;</w:t>
      </w:r>
    </w:p>
    <w:p w14:paraId="00AE97ED" w14:textId="77777777" w:rsidR="009B2E3A" w:rsidRPr="00912A7B" w:rsidRDefault="009B2E3A" w:rsidP="009B2E3A">
      <w:pPr>
        <w:spacing w:after="240"/>
        <w:ind w:left="567" w:hanging="567"/>
      </w:pPr>
      <w:r w:rsidRPr="00912A7B">
        <w:t>15.</w:t>
      </w:r>
      <w:r w:rsidRPr="00912A7B">
        <w:tab/>
        <w:t>uzsver, ka investīciju trūkuma novēršana nenozīmē tikai liela finanšu līdzekļu apjoma mobilizēšanu, bet arī nodrošināšanu, ka ES rīcībā ir viss nepieciešamais, lai novirzītu līdzekļus uz produktīvām investīcijām; uzsver arī to, ka publiskā un privātā kapitāla efektīvai izmantošanai izšķiroši svarīga ir institucionālā spēja, skaidrs regulējums un kvalitatīvi projekti; šajā sakarā atzīmē, ka daudzu faktoru, tostarp ierobežotās pieejas plašākam tirgus portfelim, produktu kvalitātes un maksas, dēļ daudzi ES produkti nepiedāvā pietiekami pelņu;</w:t>
      </w:r>
    </w:p>
    <w:p w14:paraId="45070829" w14:textId="77777777" w:rsidR="009B2E3A" w:rsidRPr="00912A7B" w:rsidRDefault="009B2E3A" w:rsidP="009B2E3A">
      <w:pPr>
        <w:pStyle w:val="NormalHanging12a"/>
      </w:pPr>
      <w:r w:rsidRPr="00912A7B">
        <w:t>16.</w:t>
      </w:r>
      <w:r w:rsidRPr="00912A7B">
        <w:tab/>
        <w:t xml:space="preserve">atgādina, ka ražīguma palielināšanos var panākt galvenokārt, investējot inovatīvās darbībās; atgādina arī to, ka joprojām vēl ne tuvu nav sasniegts mērķis pētniecībā un inovācijā investēt 3 % no IKP; aicina Komisiju un dalībvalstis nodrošināt pietiekamu finansējumu un instrumentus šī </w:t>
      </w:r>
      <w:proofErr w:type="spellStart"/>
      <w:r w:rsidRPr="00912A7B">
        <w:t>mērķrādītāja</w:t>
      </w:r>
      <w:proofErr w:type="spellEnd"/>
      <w:r w:rsidRPr="00912A7B">
        <w:t xml:space="preserve"> sasniegšanai;</w:t>
      </w:r>
    </w:p>
    <w:p w14:paraId="39D0D50D" w14:textId="77777777" w:rsidR="009B2E3A" w:rsidRPr="00912A7B" w:rsidRDefault="009B2E3A" w:rsidP="009B2E3A">
      <w:pPr>
        <w:pStyle w:val="NormalHanging12a"/>
      </w:pPr>
      <w:r w:rsidRPr="00912A7B">
        <w:t>17.</w:t>
      </w:r>
      <w:r w:rsidRPr="00912A7B">
        <w:tab/>
        <w:t xml:space="preserve">pauž nožēlu par to, ka zemais finansiālās izglītības līmenis daudzās dalībvalstīs būtiski kavē iedzīvotāju ekonomiskās autonomijas iegūšanu un spēcīgas un konkurētspējīgas ekonomikas attīstību; atgādina, ka zems finansiālā izglītības līmenis apgrūtina iedzīvotāju spēju pieņemt uz informāciju balstītus lēmumus par uzkrāšanu, investēšanu un pensijā aiziešanas plānošanu; apgalvo, ka šāda nepietiekama finansiālā izglītība kavē investēšanas kultūras attīstību, kas ir izšķiroši svarīga ekonomikas izaugsmei; uzsver, ka liela nozīme ir vērienīgai, izmērāmai un apņēmīgai ES stratēģijai attiecībā uz </w:t>
      </w:r>
      <w:proofErr w:type="spellStart"/>
      <w:r w:rsidRPr="00912A7B">
        <w:t>finanšpratības</w:t>
      </w:r>
      <w:proofErr w:type="spellEnd"/>
      <w:r w:rsidRPr="00912A7B">
        <w:t xml:space="preserve"> veicināšanu Eiropā, palielinot tās iedzīvotāju spēju labāk aizsargāt un mobilizēt savus uzkrājumus un izmantot pievilcīgāku kapitāla tirgu peļņas gūšanai;</w:t>
      </w:r>
    </w:p>
    <w:p w14:paraId="1B8A35F5" w14:textId="77777777" w:rsidR="009B2E3A" w:rsidRPr="00912A7B" w:rsidRDefault="009B2E3A" w:rsidP="009B2E3A">
      <w:pPr>
        <w:pStyle w:val="Normal12a24b"/>
      </w:pPr>
      <w:r w:rsidRPr="00912A7B">
        <w:rPr>
          <w:rStyle w:val="BoldItalic"/>
        </w:rPr>
        <w:t>Privāto investīciju mobilizēšana un finansējuma pieejamības atvieglošana, izveidojot uzkrājumu un investīciju savienību</w:t>
      </w:r>
    </w:p>
    <w:p w14:paraId="2044B081" w14:textId="77777777" w:rsidR="009B2E3A" w:rsidRPr="00912A7B" w:rsidRDefault="009B2E3A" w:rsidP="009B2E3A">
      <w:pPr>
        <w:pStyle w:val="Normal12a24b"/>
        <w:ind w:left="567" w:hanging="567"/>
      </w:pPr>
      <w:r w:rsidRPr="00912A7B">
        <w:t>18.</w:t>
      </w:r>
      <w:r w:rsidRPr="00912A7B">
        <w:tab/>
        <w:t>atzinīgi vērtē Komisijas sev nosprausto mērķi kļūt par “investīciju Komisiju” un rast finansējumu, kas nepieciešams zaļās, digitālās un sociālās pārkārtošanās īstenošanai, kā arī maksimāli palielināt sinerģiju starp publisko un privāto investēšanu un maksimāli izmantot privāto kapitālu, kā arī mazināt ar to saistīto risku;</w:t>
      </w:r>
    </w:p>
    <w:p w14:paraId="0633F6B2" w14:textId="77777777" w:rsidR="009B2E3A" w:rsidRPr="00912A7B" w:rsidRDefault="009B2E3A" w:rsidP="009B2E3A">
      <w:pPr>
        <w:pStyle w:val="NormalHanging12a"/>
        <w:rPr>
          <w:snapToGrid/>
        </w:rPr>
      </w:pPr>
      <w:r w:rsidRPr="00912A7B">
        <w:lastRenderedPageBreak/>
        <w:t>19.</w:t>
      </w:r>
      <w:r w:rsidRPr="00912A7B">
        <w:tab/>
        <w:t>uzskata, ka ES kapitāla tirgu pievilcību palielinās tās iekšējā tirgus turpmāka integrācija tādā veidā, kas veicina ES uzņēmumu savstarpējo konkurenci, ekonomisko iespēju radīšana privātai investēšanai un vienkāršošana, ļaujot iedzīvotājiem un uzņēmumiem gūt lielāku peļņu; uzsver, ka peļņas gūšanas iespēju mazina augstās izmaksas, kas saistītas ar investēšanu Eiropas finanšu tirgos; aicina Komisiju un dalībvalstis rast risinājumus — vai nu leģislatīvus, vai citus —, lai veicinātu tāda integrēta ES mēroga kapitāla tirgus izveidi, kas būtu pietiekami liels, dziļš, pārredzams un ar pietiekamu likviditāti, lai piesaistītu gan ES reģistrētus, gan starptautiskus investorus, vienlaikus nodrošinot patērētāju aizsardzību un saglabājot finanšu stabilitāti; atgādina, ka izredzes investējot gūt lielāku peļņu ir svarīgs stimuls privāto investoru dalībai kapitāla tirgos; šajā sakarā uzsver, ka KTS nebūs iespējams izveidot, ja netiks pabeigta banku savienības izveide;</w:t>
      </w:r>
    </w:p>
    <w:p w14:paraId="128BB620" w14:textId="77777777" w:rsidR="009B2E3A" w:rsidRPr="00912A7B" w:rsidRDefault="009B2E3A" w:rsidP="009B2E3A">
      <w:pPr>
        <w:pStyle w:val="NormalHanging12a"/>
      </w:pPr>
      <w:r w:rsidRPr="00912A7B">
        <w:t>20.</w:t>
      </w:r>
      <w:r w:rsidRPr="00912A7B">
        <w:tab/>
        <w:t>atzīmē, ka Eiropas kapitāla tirgi pašlaik ir ļoti sadrumstaloti, jo Eiropas investīciju fondi joprojām ir gandrīz septiņas reizes mazāki nekā ASV investīciju fondi</w:t>
      </w:r>
      <w:r w:rsidRPr="00912A7B">
        <w:rPr>
          <w:rStyle w:val="FootnoteReference"/>
        </w:rPr>
        <w:footnoteReference w:id="18"/>
      </w:r>
      <w:r w:rsidRPr="00912A7B">
        <w:t xml:space="preserve">; uzskata, ka tas mazina ES investīciju fondu sektora globālo konkurētspēju, jo fonda lielums ir svarīgs faktors, kas ietekmē </w:t>
      </w:r>
      <w:proofErr w:type="spellStart"/>
      <w:r w:rsidRPr="00912A7B">
        <w:t>galainvestoru</w:t>
      </w:r>
      <w:proofErr w:type="spellEnd"/>
      <w:r w:rsidRPr="00912A7B">
        <w:t xml:space="preserve"> izmaksas; uzskata arī, ka lielāka pārrobežu fondu tirgus integrācijas pakāpe Eiropas Savienībā laika gaitā varētu izraisīt fondu lieluma un efektivitātes palielināšanos un ka šis ieguvums, ja no tā labumu gūs privātie investori, varētu palīdzēt samazināt izmaksas un nodrošināt lielāku ieguldīto līdzekļu atdevi </w:t>
      </w:r>
      <w:proofErr w:type="spellStart"/>
      <w:r w:rsidRPr="00912A7B">
        <w:t>galainvestoriem</w:t>
      </w:r>
      <w:proofErr w:type="spellEnd"/>
      <w:r w:rsidRPr="00912A7B">
        <w:t>;</w:t>
      </w:r>
    </w:p>
    <w:p w14:paraId="14D6AA97" w14:textId="77777777" w:rsidR="009B2E3A" w:rsidRPr="00912A7B" w:rsidRDefault="009B2E3A" w:rsidP="009B2E3A">
      <w:pPr>
        <w:pStyle w:val="NormalHanging12a"/>
      </w:pPr>
      <w:r w:rsidRPr="00912A7B">
        <w:t>21.</w:t>
      </w:r>
      <w:r w:rsidRPr="00912A7B">
        <w:tab/>
        <w:t xml:space="preserve">uzskata, ka no KTS labumu gūs gan patērētāji, gan MVU, jo tas piedāvās iespējas ļoti ienesīgi investēt reālajā ekonomikā, un galu galā veicinās </w:t>
      </w:r>
      <w:proofErr w:type="spellStart"/>
      <w:r w:rsidRPr="00912A7B">
        <w:t>iespējkapitāla</w:t>
      </w:r>
      <w:proofErr w:type="spellEnd"/>
      <w:r w:rsidRPr="00912A7B">
        <w:t xml:space="preserve"> tirgus attīstību, uzlabojot piekļuvi diversificētiem finansējuma avotiem; uzskata arī, ka prioritāte būtu jāpiešķir Eiropas augošo uzņēmumu finansēšanai ar Eiropas kapitāla palīdzību, kā piemēru minot Eiropas tehnoloģiju čempionu iniciatīvu, kas tika sākta 2023. gada februārī, lai finansētu </w:t>
      </w:r>
      <w:proofErr w:type="spellStart"/>
      <w:r w:rsidRPr="00912A7B">
        <w:t>daudzsološus</w:t>
      </w:r>
      <w:proofErr w:type="spellEnd"/>
      <w:r w:rsidRPr="00912A7B">
        <w:t xml:space="preserve"> Eiropas tehnoloģiju uzņēmumus;</w:t>
      </w:r>
    </w:p>
    <w:p w14:paraId="0A5B28D8" w14:textId="77777777" w:rsidR="009B2E3A" w:rsidRPr="00912A7B" w:rsidRDefault="009B2E3A" w:rsidP="009B2E3A">
      <w:pPr>
        <w:pStyle w:val="NormalHanging12a"/>
      </w:pPr>
      <w:r w:rsidRPr="00912A7B">
        <w:t>22.</w:t>
      </w:r>
      <w:r w:rsidRPr="00912A7B">
        <w:tab/>
        <w:t xml:space="preserve">uzskata, ka </w:t>
      </w:r>
      <w:proofErr w:type="spellStart"/>
      <w:r w:rsidRPr="00912A7B">
        <w:t>iespējkapitālam</w:t>
      </w:r>
      <w:proofErr w:type="spellEnd"/>
      <w:r w:rsidRPr="00912A7B">
        <w:t xml:space="preserve"> būtu jākļūst uzņēmumiem plašāk pieejamam kā alternatīvai tradicionālajiem banku aizdevumiem, lai dažādotu finansējuma avotus; aicina Komisiju ierosināt pasākumus, lai palielinātu šāda veida finansējuma pieejamību ES uzņēmumiem;</w:t>
      </w:r>
    </w:p>
    <w:p w14:paraId="663A8C9B" w14:textId="77777777" w:rsidR="009B2E3A" w:rsidRPr="00912A7B" w:rsidRDefault="009B2E3A" w:rsidP="009B2E3A">
      <w:pPr>
        <w:pStyle w:val="NormalHanging12a"/>
      </w:pPr>
      <w:r w:rsidRPr="00912A7B">
        <w:t>23.</w:t>
      </w:r>
      <w:r w:rsidRPr="00912A7B">
        <w:tab/>
        <w:t xml:space="preserve">norāda, ka kapitāla tirgu lielums, dziļums un likviditāte dalībvalstīs būtiski atšķiras, jo dažas dalībvalstis ir daudz sekmīgāk nodrošinājušas uzņēmumiem pievilcīgus primāros un sekundāros tirgus un stimulējušas iedzīvotājus investēt šajos tirgos; aicina Komisiju apzināt </w:t>
      </w:r>
      <w:proofErr w:type="spellStart"/>
      <w:r w:rsidRPr="00912A7B">
        <w:t>paraugpraksi</w:t>
      </w:r>
      <w:proofErr w:type="spellEnd"/>
      <w:r w:rsidRPr="00912A7B">
        <w:t xml:space="preserve"> un integrēt to ar uzkrājumu un investīciju savienības izveidi saistītajos darba uzdevumos;</w:t>
      </w:r>
    </w:p>
    <w:p w14:paraId="6F31019A" w14:textId="77777777" w:rsidR="009B2E3A" w:rsidRPr="00912A7B" w:rsidRDefault="009B2E3A" w:rsidP="009B2E3A">
      <w:pPr>
        <w:pStyle w:val="NormalHanging12a"/>
      </w:pPr>
      <w:r w:rsidRPr="00912A7B">
        <w:t>24.</w:t>
      </w:r>
      <w:r w:rsidRPr="00912A7B">
        <w:tab/>
        <w:t xml:space="preserve">uzskata, ka privātais kapitāls būs ļoti noderīgs instruments, lai visefektīvākajā veidā novērstu </w:t>
      </w:r>
      <w:proofErr w:type="spellStart"/>
      <w:r w:rsidRPr="00912A7B">
        <w:rPr>
          <w:i/>
          <w:iCs/>
        </w:rPr>
        <w:t>Draghi</w:t>
      </w:r>
      <w:proofErr w:type="spellEnd"/>
      <w:r w:rsidRPr="00912A7B">
        <w:t xml:space="preserve"> ziņojumā konstatēto investīciju trūkumu;</w:t>
      </w:r>
    </w:p>
    <w:p w14:paraId="46177558" w14:textId="77777777" w:rsidR="009B2E3A" w:rsidRPr="00912A7B" w:rsidRDefault="009B2E3A" w:rsidP="009B2E3A">
      <w:pPr>
        <w:spacing w:after="240"/>
        <w:ind w:left="567" w:hanging="567"/>
        <w:rPr>
          <w:rFonts w:eastAsia="Aptos"/>
          <w:bCs/>
          <w:iCs/>
          <w:szCs w:val="24"/>
        </w:rPr>
      </w:pPr>
      <w:r w:rsidRPr="00912A7B">
        <w:t>25.</w:t>
      </w:r>
      <w:r w:rsidRPr="00912A7B">
        <w:tab/>
        <w:t xml:space="preserve">atbalsta institucionālo satvaru un tirgus struktūru integrāciju; atkārtoti aicina atbalstīt EVTI vadīto uzraudzības konverģences procesu, tostarp, piešķirot tai tiešas uzraudzības pilnvaras gadījumos, kad tas sniedz Eiropas pievienoto vērtību — piemēram, Eiropas mēroga tirgus infrastruktūras uzraudzības gadījumā —, lai palielinātu Eiropas kotēšanas tirgu konkurētspēju un uzlabotu uzraudzības satvara un sadarbības ar valstu kompetentajām iestādēm (VKI) efektivitāti; atgādina, ka EVTI jau ir pilnvaras tieši </w:t>
      </w:r>
      <w:r w:rsidRPr="00912A7B">
        <w:lastRenderedPageBreak/>
        <w:t>uzraudzīt vairāku veidu finanšu vienības, piemēram, kredītreitingu aģentūras, darījumu reģistrus un 2. līmeņa centrālos darījumu partnerus, kas atrodas ārpus ES;</w:t>
      </w:r>
    </w:p>
    <w:p w14:paraId="0CFD8950" w14:textId="77777777" w:rsidR="009B2E3A" w:rsidRPr="00912A7B" w:rsidRDefault="009B2E3A" w:rsidP="009B2E3A">
      <w:pPr>
        <w:pStyle w:val="NormalHanging12a"/>
      </w:pPr>
      <w:r w:rsidRPr="00912A7B">
        <w:t>26.</w:t>
      </w:r>
      <w:r w:rsidRPr="00912A7B">
        <w:tab/>
        <w:t>atzīst arī to, ka saskaņotas uzraudzības īstenošanai ne vienmēr ir nepieciešams viens uzraudzītājs, bet to var panākt, vienādojot valstu uzraudzības praksi gadījumos, kad tas ir labāks risinājums; tādēļ atbalsta Komisijas nodomu ierosināt pasākumus, lai pastiprinātu uzraudzības konverģences instrumentus un padarītu tos efektīvākus un lai panāktu kapitāla tirgu vienādāku tiešo uzraudzību, atsevišķus uzdevumus pārceļot uz ES līmeni;</w:t>
      </w:r>
    </w:p>
    <w:p w14:paraId="75897B74" w14:textId="77777777" w:rsidR="009B2E3A" w:rsidRPr="00912A7B" w:rsidRDefault="009B2E3A" w:rsidP="009B2E3A">
      <w:pPr>
        <w:pStyle w:val="NormalHanging12a"/>
      </w:pPr>
      <w:r w:rsidRPr="00912A7B">
        <w:t>27.</w:t>
      </w:r>
      <w:r w:rsidRPr="00912A7B">
        <w:tab/>
        <w:t xml:space="preserve">norāda, ka jebkādai Eiropas uzraudzības iestāžu (EUI) pilnvaru palielināšanai būtu jāiet roku rokā ar samērīgu EUI </w:t>
      </w:r>
      <w:proofErr w:type="spellStart"/>
      <w:r w:rsidRPr="00912A7B">
        <w:t>pārskatatbildības</w:t>
      </w:r>
      <w:proofErr w:type="spellEnd"/>
      <w:r w:rsidRPr="00912A7B">
        <w:t xml:space="preserve"> līmeņa paaugstināšanu; uzskata, ka būtu jāpārskata EVTI pārvaldība, lai garantētu EVTI lēmumu efektivitāti un neatkarību; atbalsta </w:t>
      </w:r>
      <w:proofErr w:type="spellStart"/>
      <w:r w:rsidRPr="00912A7B">
        <w:rPr>
          <w:i/>
          <w:iCs/>
        </w:rPr>
        <w:t>Draghi</w:t>
      </w:r>
      <w:proofErr w:type="spellEnd"/>
      <w:r w:rsidRPr="00912A7B">
        <w:t xml:space="preserve"> ziņojumā iekļauto priekšlikumu padarīt EVTI pārvaldības struktūru eiropeiskāku un izveidot ciešāku sadarbību ar valstu uzraudzības iestādēm, par paraugu ņemot vienotā uzraudzības mehānisma vai Iestādes nelikumīgi iegūtu līdzekļu legalizēšanas un terorisma finansēšanas novēršanai (</w:t>
      </w:r>
      <w:r w:rsidRPr="00912A7B">
        <w:rPr>
          <w:i/>
          <w:iCs/>
        </w:rPr>
        <w:t>AMLA</w:t>
      </w:r>
      <w:r w:rsidRPr="00912A7B">
        <w:t>) modeli;</w:t>
      </w:r>
    </w:p>
    <w:p w14:paraId="36521697" w14:textId="77777777" w:rsidR="009B2E3A" w:rsidRPr="00912A7B" w:rsidRDefault="009B2E3A" w:rsidP="009B2E3A">
      <w:pPr>
        <w:pStyle w:val="NormalHanging12a"/>
      </w:pPr>
      <w:r w:rsidRPr="00912A7B">
        <w:t>28.</w:t>
      </w:r>
      <w:r w:rsidRPr="00912A7B">
        <w:tab/>
        <w:t>uzskata, ka EUI rīcībā vajadzētu būt atbilstošam finansējumam, lai tās varētu veikt savus pienākumus, tostarp, iesaistot finanšu iestādes un finanšu tirgus dalībniekus no uzraudzītajiem uzņēmumiem;</w:t>
      </w:r>
    </w:p>
    <w:p w14:paraId="063965AB" w14:textId="77777777" w:rsidR="009B2E3A" w:rsidRPr="00912A7B" w:rsidRDefault="009B2E3A" w:rsidP="009B2E3A">
      <w:pPr>
        <w:pStyle w:val="NormalHanging12a"/>
      </w:pPr>
      <w:r w:rsidRPr="00912A7B">
        <w:t>29.</w:t>
      </w:r>
      <w:r w:rsidRPr="00912A7B">
        <w:tab/>
        <w:t>uzsver, ka ir svarīgi, lai ECB būtu būtiska loma sistēmiski nozīmīgu tirgus infrastruktūras vienību pārraudzībā atbilstoši tās pienākumiem, kas noteikti Līgumā par Eiropas Savienības darbību (LESD) un SNMS regulā</w:t>
      </w:r>
      <w:r w:rsidRPr="00912A7B">
        <w:rPr>
          <w:rStyle w:val="FootnoteReference"/>
        </w:rPr>
        <w:footnoteReference w:id="19"/>
      </w:r>
      <w:r w:rsidRPr="00912A7B">
        <w:t xml:space="preserve">; uzskata, ka ECB būtu aktīvi jāpiedalās ES mēroga tirdzniecības un </w:t>
      </w:r>
      <w:proofErr w:type="spellStart"/>
      <w:r w:rsidRPr="00912A7B">
        <w:t>pēctirdzniecības</w:t>
      </w:r>
      <w:proofErr w:type="spellEnd"/>
      <w:r w:rsidRPr="00912A7B">
        <w:t xml:space="preserve"> sistēmu </w:t>
      </w:r>
      <w:proofErr w:type="spellStart"/>
      <w:r w:rsidRPr="00912A7B">
        <w:t>sadarbspējas</w:t>
      </w:r>
      <w:proofErr w:type="spellEnd"/>
      <w:r w:rsidRPr="00912A7B">
        <w:t xml:space="preserve">, noturības un integrācijas palielināšanā, it īpaši, pārraugot tādas platformas kā </w:t>
      </w:r>
      <w:r w:rsidRPr="00912A7B">
        <w:rPr>
          <w:i/>
          <w:iCs/>
        </w:rPr>
        <w:t>TARGET2-Securities</w:t>
      </w:r>
      <w:r w:rsidRPr="00912A7B">
        <w:t>;</w:t>
      </w:r>
    </w:p>
    <w:p w14:paraId="62FDF72F" w14:textId="77777777" w:rsidR="009B2E3A" w:rsidRPr="00912A7B" w:rsidRDefault="009B2E3A" w:rsidP="009B2E3A">
      <w:pPr>
        <w:pStyle w:val="NormalHanging12a"/>
      </w:pPr>
      <w:r w:rsidRPr="00912A7B">
        <w:t>30.</w:t>
      </w:r>
      <w:r w:rsidRPr="00912A7B">
        <w:tab/>
        <w:t>uzsver, ka jautājumus, kas saistīti ar administratīvo slogu un atbilstības nodrošināšanas izmaksām, kuras rodas pārrobežu kontekstā, jau ir iespējams risināt, uzlabojot valstu uzraudzības iestāžu sadarbību un to darba koordināciju, piemēram, datu kopīgošanas jomā; aicina Komisiju un EUI pāriet uz režīmu “ziņo tikai vienreiz”; uzskata, ka šajā sakarā svarīga iniciatīva ir Eiropas vienotais piekļuves punkts, un prasa to īstenot savlaicīgi; ierosina, ka EVTI varētu kļūt arī par galveno datu centru, centralizējot to vienību veikto ziņošanu, uz kurām attiecas ziņošanas prasības saskaņā ar FITR</w:t>
      </w:r>
      <w:r w:rsidRPr="00912A7B">
        <w:rPr>
          <w:rStyle w:val="FootnoteReference"/>
        </w:rPr>
        <w:footnoteReference w:id="20"/>
      </w:r>
      <w:r w:rsidRPr="00912A7B">
        <w:t xml:space="preserve"> un ETIR</w:t>
      </w:r>
      <w:r w:rsidRPr="00912A7B">
        <w:rPr>
          <w:rStyle w:val="FootnoteReference"/>
        </w:rPr>
        <w:footnoteReference w:id="21"/>
      </w:r>
      <w:r w:rsidRPr="00912A7B">
        <w:t>;</w:t>
      </w:r>
    </w:p>
    <w:p w14:paraId="4400AA67" w14:textId="77777777" w:rsidR="009B2E3A" w:rsidRPr="00912A7B" w:rsidRDefault="009B2E3A" w:rsidP="009B2E3A">
      <w:pPr>
        <w:pStyle w:val="NormalHanging12a"/>
        <w:rPr>
          <w:snapToGrid/>
        </w:rPr>
      </w:pPr>
      <w:r w:rsidRPr="00912A7B">
        <w:t>31.</w:t>
      </w:r>
      <w:r w:rsidRPr="00912A7B">
        <w:tab/>
        <w:t xml:space="preserve">mudina Komisiju izstrādāt priekšlikumus, lai atbalstītu </w:t>
      </w:r>
      <w:proofErr w:type="spellStart"/>
      <w:r w:rsidRPr="00912A7B">
        <w:t>tīrvērtes</w:t>
      </w:r>
      <w:proofErr w:type="spellEnd"/>
      <w:r w:rsidRPr="00912A7B">
        <w:t xml:space="preserve"> darbību pārcelšanu uz ES; pauž nožēlu par pašreizējo situāciju, kad lielākā daļa ES </w:t>
      </w:r>
      <w:proofErr w:type="spellStart"/>
      <w:r w:rsidRPr="00912A7B">
        <w:t>tīrvērtes</w:t>
      </w:r>
      <w:proofErr w:type="spellEnd"/>
      <w:r w:rsidRPr="00912A7B">
        <w:t xml:space="preserve"> darījumu tiek </w:t>
      </w:r>
      <w:r w:rsidRPr="00912A7B">
        <w:lastRenderedPageBreak/>
        <w:t xml:space="preserve">veikta ārpus ES; ar nepacietību gaida vērienīgu deleģēto aktu par aktīvajiem kontiem saskaņā ar ETIR 3.0; aicina Komisiju pastāvīgi izvērtēt </w:t>
      </w:r>
      <w:proofErr w:type="spellStart"/>
      <w:r w:rsidRPr="00912A7B">
        <w:t>tīrvērtes</w:t>
      </w:r>
      <w:proofErr w:type="spellEnd"/>
      <w:r w:rsidRPr="00912A7B">
        <w:t xml:space="preserve"> darbību attīstību un minētās regulas ietekmi un ierosināt turpmākus tiesību aktu priekšlikumus, lai stiprinātu ES </w:t>
      </w:r>
      <w:proofErr w:type="spellStart"/>
      <w:r w:rsidRPr="00912A7B">
        <w:t>tīrvērtes</w:t>
      </w:r>
      <w:proofErr w:type="spellEnd"/>
      <w:r w:rsidRPr="00912A7B">
        <w:t xml:space="preserve"> ekosistēmu;</w:t>
      </w:r>
    </w:p>
    <w:p w14:paraId="68961392" w14:textId="77777777" w:rsidR="009B2E3A" w:rsidRPr="00912A7B" w:rsidRDefault="009B2E3A" w:rsidP="009B2E3A">
      <w:pPr>
        <w:pStyle w:val="NormalHanging12a"/>
      </w:pPr>
      <w:r w:rsidRPr="00912A7B">
        <w:t>32.</w:t>
      </w:r>
      <w:r w:rsidRPr="00912A7B">
        <w:tab/>
        <w:t xml:space="preserve">atzinīgi vērtē Komisijas paziņojumu par vērienīgu tiesību aktu priekšlikumu paketi, kuras mērķis ir stiprināt tirdzniecības un </w:t>
      </w:r>
      <w:proofErr w:type="spellStart"/>
      <w:r w:rsidRPr="00912A7B">
        <w:t>pēctirdzniecības</w:t>
      </w:r>
      <w:proofErr w:type="spellEnd"/>
      <w:r w:rsidRPr="00912A7B">
        <w:t xml:space="preserve"> ekosistēmu Eiropas Savienībā, likvidēt šķēršļus pārrobežu darbībai un padarīt satvaru piemērotu jaunām tehnoloģijām; gaida, ka šāds priekšlikums palīdzēs risināt tirgus sadrumstalotības problēmu ES; tomēr uzsver, ka lielākajai daļai tirgus konsolidācijas veicināšanas iniciatīvu jābūt orientētām uz tirgu;</w:t>
      </w:r>
    </w:p>
    <w:p w14:paraId="6079C64B" w14:textId="77777777" w:rsidR="009B2E3A" w:rsidRPr="00912A7B" w:rsidRDefault="009B2E3A" w:rsidP="009B2E3A">
      <w:pPr>
        <w:pStyle w:val="NormalHanging12a"/>
      </w:pPr>
      <w:r w:rsidRPr="00912A7B">
        <w:t>33.</w:t>
      </w:r>
      <w:r w:rsidRPr="00912A7B">
        <w:tab/>
        <w:t xml:space="preserve">atzīst nepieciešamību pēc efektīviem un likvīdiem kapitāla tirgiem, lai veicinātu investēšanu, tostarp konkurētspējīgu </w:t>
      </w:r>
      <w:proofErr w:type="spellStart"/>
      <w:r w:rsidRPr="00912A7B">
        <w:t>pēcpārdošanas</w:t>
      </w:r>
      <w:proofErr w:type="spellEnd"/>
      <w:r w:rsidRPr="00912A7B">
        <w:t xml:space="preserve"> tirgus infrastruktūru; atzinīgi vērtē Komisijas tiesību akta priekšlikumu, kura mērķis ir izdarīt </w:t>
      </w:r>
      <w:proofErr w:type="spellStart"/>
      <w:r w:rsidRPr="00912A7B">
        <w:t>mērķvirzītus</w:t>
      </w:r>
      <w:proofErr w:type="spellEnd"/>
      <w:r w:rsidRPr="00912A7B">
        <w:t xml:space="preserve"> grozījumus Vērtspapīru norēķinu un centrālo depozitāriju regulā</w:t>
      </w:r>
      <w:r w:rsidRPr="00912A7B">
        <w:rPr>
          <w:rStyle w:val="FootnoteReference"/>
        </w:rPr>
        <w:footnoteReference w:id="22"/>
      </w:r>
      <w:r w:rsidRPr="00912A7B">
        <w:t xml:space="preserve"> (VNCDR), lai attiecībā uz tirdzniecības vietās veiktiem darījumiem ar pārvedamiem vērtspapīriem norēķinu ciklu ES saīsinātu no divām dienām (T+2) līdz vienai dienai (T+1); norāda, ka šī iniciatīva ļaus ES panākt citas jurisdikcijas, kas jau ir pabeigušas pāreju uz T+1, un izvairīties no neatbilstības; gaida, ka šis priekšlikums palielinās ES kapitāla tirgu efektivitāti un noturību, cita starpā, mazinot norēķinu neizpildes risku, paātrinot vērtspapīru un līdzekļu pieejamību un pazeminot drošības rezerves prasības; ar bažām atzīmē, ka citas jurisdikcijas, piemēram, ASV un Indija, pašlaik apsver iespēju pāriet uz T+0 norēķinu cikliem vai pat jau izmēģina šādu pāriešanu; aicina Komisiju ciešā sadarbībā ar tirgus infrastruktūras vienībām, centrālajām bankām un tirgus dalībniekiem steidzami sākt iespējas pāriet uz T+0 norēķinu ciklu tehnisku un regulatīvu izvērtēšanu; uzsver, ka norēķinu cikla saīsināšana mazinātu sistēmisko risku, palielinātu tirgus darbības efektivitāti un stiprinātu ES kapitāla tirgu pievilcību pasaulē;</w:t>
      </w:r>
    </w:p>
    <w:p w14:paraId="3AB9078F" w14:textId="77777777" w:rsidR="009B2E3A" w:rsidRPr="00912A7B" w:rsidRDefault="009B2E3A" w:rsidP="009B2E3A">
      <w:pPr>
        <w:pStyle w:val="NormalHanging12a"/>
        <w:rPr>
          <w:rStyle w:val="BoldItalic"/>
          <w:b w:val="0"/>
          <w:i w:val="0"/>
        </w:rPr>
      </w:pPr>
      <w:r w:rsidRPr="00912A7B">
        <w:t>34.</w:t>
      </w:r>
      <w:r w:rsidRPr="00912A7B">
        <w:tab/>
        <w:t xml:space="preserve">atzīmē, ka administratīvo procedūru racionalizēšana var palielināt ES kā investīciju galamērķa pievilcību; uzskata, ka dalībvalstu tiesiskā regulējuma saskaņošana, vienlaikus saglabājot valsts kompetenci un minimālos standartus, būtu jāiekļauj vienkāršošanas programmā, lai atvieglotu pārrobežu darbības; atgādina, ka paļaušanās uz regulām, nevis direktīvām, mazinātu diverģenci ES tiesību aktu īstenošanā, tostarp pārmērīgu reglamentēšanu, un līdz ar to veicinātu pašlaik notiekošo vienkāršošanu; aicina Komisiju piemērot labāka regulējuma principu, garantējot saskaņošanu gadījumos, kad ietekmes </w:t>
      </w:r>
      <w:proofErr w:type="spellStart"/>
      <w:r w:rsidRPr="00912A7B">
        <w:t>izvērtējumi</w:t>
      </w:r>
      <w:proofErr w:type="spellEnd"/>
      <w:r w:rsidRPr="00912A7B">
        <w:t xml:space="preserve"> liecina par tās skaidru pievienoto vērtību, un mazinot sadrumstalotību;</w:t>
      </w:r>
      <w:r w:rsidRPr="00912A7B">
        <w:rPr>
          <w:rStyle w:val="BoldItalic"/>
        </w:rPr>
        <w:t xml:space="preserve"> </w:t>
      </w:r>
      <w:r w:rsidRPr="00912A7B">
        <w:t xml:space="preserve">uzsver iespējamos ieguvumus no ES ilgtspējīgas finansēšanas satvara racionalizēšanas — kā uzsvērts </w:t>
      </w:r>
      <w:proofErr w:type="spellStart"/>
      <w:r w:rsidRPr="00912A7B">
        <w:rPr>
          <w:i/>
          <w:iCs/>
        </w:rPr>
        <w:t>Draghi</w:t>
      </w:r>
      <w:proofErr w:type="spellEnd"/>
      <w:r w:rsidRPr="00912A7B">
        <w:t xml:space="preserve"> ziņojumā —, it īpaši, nodrošinot lielāku skaidrību, konsekvenci un norādījumus; šajā sakarā atzīmē Komisijas </w:t>
      </w:r>
      <w:proofErr w:type="spellStart"/>
      <w:r w:rsidRPr="00912A7B">
        <w:rPr>
          <w:i/>
          <w:iCs/>
        </w:rPr>
        <w:t>Omnibus</w:t>
      </w:r>
      <w:proofErr w:type="spellEnd"/>
      <w:r w:rsidRPr="00912A7B">
        <w:t xml:space="preserve"> paketi ilgtspējas jomā;</w:t>
      </w:r>
    </w:p>
    <w:p w14:paraId="6763CA65" w14:textId="77777777" w:rsidR="009B2E3A" w:rsidRPr="00912A7B" w:rsidRDefault="009B2E3A" w:rsidP="009B2E3A">
      <w:pPr>
        <w:pStyle w:val="NormalHanging12a"/>
      </w:pPr>
      <w:r w:rsidRPr="00912A7B">
        <w:t>35.</w:t>
      </w:r>
      <w:r w:rsidRPr="00912A7B">
        <w:tab/>
        <w:t xml:space="preserve">uzskata, ka pirmais solis ceļā uz vienkāršošanu ir efektīvi tiesību akti; aicina Komisiju nodrošināt EUI iesaisti lēmumu pieņemšanas procesā attiecībā uz 2. un 3. līmeņa pilnvarām, lai garantētu, ka šīs pilnvaras ir balstītas uz pierādījumiem, samērīgas un </w:t>
      </w:r>
      <w:r w:rsidRPr="00912A7B">
        <w:lastRenderedPageBreak/>
        <w:t>pielāgotas finanšu nozares vajadzībām; aicina Komisiju un EUI izvērtēt iespējas, kā samazināt gaidāmo deleģēto aktu, īstenošanas aktu, jautājumu un atbilžu un pamatnostādņu skaitu un sarežģītību; uzsver, ka EUI būtu stingri jāievēro Eiropas likumdevēja piešķirtās pilnvaras;</w:t>
      </w:r>
    </w:p>
    <w:p w14:paraId="7A586F89" w14:textId="77777777" w:rsidR="009B2E3A" w:rsidRPr="00912A7B" w:rsidRDefault="009B2E3A" w:rsidP="009B2E3A">
      <w:pPr>
        <w:pStyle w:val="NormalHanging12a"/>
      </w:pPr>
      <w:r w:rsidRPr="00912A7B">
        <w:t>36.</w:t>
      </w:r>
      <w:r w:rsidRPr="00912A7B">
        <w:tab/>
        <w:t>atzinīgi vērtē neseno Tiesību akta par iekļaušanu biržas sarakstā pieņemšanu, kas atvieglos visu lielumu uzņēmumiem, to skaitā MVU, iespējas tikt iekļautiem Eiropas biržu sarakstos; uzsver, ka šī tiesību akta 2. līmeņa noteikumiem būtu jāveicina pieejamāka un izmaksu ziņā efektīvāka iekļaušana biržas sarakstā visā Savienībā;</w:t>
      </w:r>
    </w:p>
    <w:p w14:paraId="2DBBDBB9" w14:textId="77777777" w:rsidR="009B2E3A" w:rsidRPr="00912A7B" w:rsidRDefault="009B2E3A" w:rsidP="009B2E3A">
      <w:pPr>
        <w:pStyle w:val="NormalHanging12a"/>
      </w:pPr>
      <w:r w:rsidRPr="00912A7B">
        <w:t>37.</w:t>
      </w:r>
      <w:r w:rsidRPr="00912A7B">
        <w:tab/>
        <w:t>aicina Komisiju pievērsties valstu maksātnespējas satvaru sadrumstalotībai un izveidot efektīvus mehānismus pārrobežu strīdu izšķiršanai; uzsver, ka augstāka juridiskās konverģences pakāpe un lielāka ar procedūru saistītā skaidrība ir ļoti svarīgas, lai samazinātu šķēršļus pārrobežu investēšanai un veicinātu ES kapitāla tirgu dziļāku integrāciju;</w:t>
      </w:r>
    </w:p>
    <w:p w14:paraId="1AE912EA" w14:textId="77777777" w:rsidR="009B2E3A" w:rsidRPr="00912A7B" w:rsidRDefault="009B2E3A" w:rsidP="009B2E3A">
      <w:pPr>
        <w:pStyle w:val="NormalHanging12a"/>
        <w:rPr>
          <w:snapToGrid/>
        </w:rPr>
      </w:pPr>
      <w:r w:rsidRPr="00912A7B">
        <w:t>38.</w:t>
      </w:r>
      <w:r w:rsidRPr="00912A7B">
        <w:tab/>
        <w:t>saglabā apņemšanos sasniegt ilgtspējīgas finansēšanas satvara vispārējos mērķus un mobilizēt publiskās un privātās investīcijas pārkārtošanās īstenošanā;</w:t>
      </w:r>
      <w:r w:rsidRPr="00912A7B">
        <w:rPr>
          <w:rStyle w:val="BoldItalic"/>
        </w:rPr>
        <w:t xml:space="preserve"> </w:t>
      </w:r>
      <w:r w:rsidRPr="00912A7B">
        <w:t>atgādina, ka ieņēmumiem no emisijas kvotu tirdzniecības sistēmas būs liela nozīme, lai atbalstītu investīcijas ar klimatu un enerģiju saistītu mērķu īstenošanā gan dalībvalstu, gan Savienības budžeta ietvaros; pieņem zināšanai, ka Komisija sava pašreizējā pilnvaru laika sākumā no jauna apstiprināja apņemšanos saglabāt globālo līderību ilgtspējīgā finansēšanā; atzīmē, ka Komisija pašlaik kritiski izvērtē visus ilgtspējīgas finansēšanas satvara elementus un, iespējams, nāks klajā ar vienkāršošanas priekšlikumiem;</w:t>
      </w:r>
    </w:p>
    <w:p w14:paraId="7A875227" w14:textId="77777777" w:rsidR="009B2E3A" w:rsidRPr="00912A7B" w:rsidRDefault="009B2E3A" w:rsidP="009B2E3A">
      <w:pPr>
        <w:pStyle w:val="NormalHanging12a"/>
      </w:pPr>
      <w:r w:rsidRPr="00912A7B">
        <w:t>39.</w:t>
      </w:r>
      <w:r w:rsidRPr="00912A7B">
        <w:tab/>
        <w:t>aicina Komisiju pieņemt priekšlikumu pārskatīt Ar ilgtspēju saistītās finanšu informācijas atklāšanas regulu</w:t>
      </w:r>
      <w:r w:rsidRPr="00912A7B">
        <w:rPr>
          <w:rStyle w:val="FootnoteReference"/>
        </w:rPr>
        <w:footnoteReference w:id="23"/>
      </w:r>
      <w:r w:rsidRPr="00912A7B">
        <w:t xml:space="preserve"> (</w:t>
      </w:r>
      <w:r w:rsidRPr="00912A7B">
        <w:rPr>
          <w:i/>
          <w:iCs/>
        </w:rPr>
        <w:t>SFDR</w:t>
      </w:r>
      <w:r w:rsidRPr="00912A7B">
        <w:t xml:space="preserve">), tostarp, lai risinātu ar </w:t>
      </w:r>
      <w:proofErr w:type="spellStart"/>
      <w:r w:rsidRPr="00912A7B">
        <w:t>zaļmaldināšanas</w:t>
      </w:r>
      <w:proofErr w:type="spellEnd"/>
      <w:r w:rsidRPr="00912A7B">
        <w:t xml:space="preserve"> risku saistīto problēmu;</w:t>
      </w:r>
    </w:p>
    <w:p w14:paraId="34679662" w14:textId="77777777" w:rsidR="009B2E3A" w:rsidRPr="00912A7B" w:rsidRDefault="009B2E3A" w:rsidP="009B2E3A">
      <w:pPr>
        <w:pStyle w:val="NormalHanging12a"/>
      </w:pPr>
      <w:r w:rsidRPr="00912A7B">
        <w:t>40.</w:t>
      </w:r>
      <w:r w:rsidRPr="00912A7B">
        <w:tab/>
        <w:t xml:space="preserve">uzsver, ka augstas enerģijas cenas negatīvi ietekmē ES konkurētspēju; šajā sakarā atzinīgi vērtē </w:t>
      </w:r>
      <w:proofErr w:type="spellStart"/>
      <w:r w:rsidRPr="00912A7B">
        <w:rPr>
          <w:i/>
          <w:iCs/>
        </w:rPr>
        <w:t>Draghi</w:t>
      </w:r>
      <w:proofErr w:type="spellEnd"/>
      <w:r w:rsidRPr="00912A7B">
        <w:t xml:space="preserve"> ziņojumā iekļauto priekšlikumu; prasa piemērot principu “vienāda darbība, vienādi noteikumi” un pārskatīt palīgdarbību atbrīvojumu, kas ļauj </w:t>
      </w:r>
      <w:proofErr w:type="spellStart"/>
      <w:r w:rsidRPr="00912A7B">
        <w:t>nefinanšu</w:t>
      </w:r>
      <w:proofErr w:type="spellEnd"/>
      <w:r w:rsidRPr="00912A7B">
        <w:t xml:space="preserve"> uzņēmumiem veikt tirdzniecību enerģijas atvasināto instrumentu tirgos, neesot pakļautiem tādai pašai rūpīgai pārbaudei, kādai ir pakļautas finanšu vienības;</w:t>
      </w:r>
    </w:p>
    <w:p w14:paraId="0500FCF4" w14:textId="77777777" w:rsidR="009B2E3A" w:rsidRPr="00912A7B" w:rsidRDefault="009B2E3A" w:rsidP="009B2E3A">
      <w:pPr>
        <w:pStyle w:val="NormalHanging12a"/>
      </w:pPr>
      <w:r w:rsidRPr="00912A7B">
        <w:t>41.</w:t>
      </w:r>
      <w:r w:rsidRPr="00912A7B">
        <w:tab/>
        <w:t>uzsver, ka uzņēmumi, kuriem ir piekļuve kapitāla tirgiem, pieredz būtisku izaugsmi, jo šāda piekļuve ļauj tiem finansēt paplašināšanos, inovāciju un attīstības projektus; pauž pārliecību, ka, iegūstot līdzekļus no plašākas investoru bāzes, šie uzņēmumi var dažādot savus finansējuma avotus; uzskata, ka sākotnējā publiskā piedāvājuma (SPP) stimulēšana ir ļoti svarīga Eiropas uzņēmumu izaugsmei un ES kapitāla tirgu turpmākai integrācijai; prasa īstenot pasākumus, kas samazina regulatīvos šķēršļus un uzlabo piekļuvi kapitālam, nodrošinot, ka MVU var viegli piekļūt kapitāla tirgiem, nesaskaroties ar pārmērīgām izmaksām vai sarežģītību;</w:t>
      </w:r>
    </w:p>
    <w:p w14:paraId="11F4DDD5" w14:textId="77777777" w:rsidR="009B2E3A" w:rsidRPr="00912A7B" w:rsidRDefault="009B2E3A" w:rsidP="009B2E3A">
      <w:pPr>
        <w:pStyle w:val="NormalHanging12a"/>
      </w:pPr>
      <w:r w:rsidRPr="00912A7B">
        <w:lastRenderedPageBreak/>
        <w:t>42.</w:t>
      </w:r>
      <w:r w:rsidRPr="00912A7B">
        <w:tab/>
        <w:t>pauž bažas par to, ka bez skaidras un koordinētas stratēģijas SPP skaits ES saglabāsies neliels, tādējādi mazinot Eiropas uzņēmumu izaugsmes iespējas un ES tirgus pievilcību globāliem investoriem;</w:t>
      </w:r>
    </w:p>
    <w:p w14:paraId="79EEE8E7" w14:textId="77777777" w:rsidR="009B2E3A" w:rsidRPr="00912A7B" w:rsidRDefault="009B2E3A" w:rsidP="009B2E3A">
      <w:pPr>
        <w:pStyle w:val="NormalHanging12a"/>
      </w:pPr>
      <w:r w:rsidRPr="00912A7B">
        <w:t>43.</w:t>
      </w:r>
      <w:r w:rsidRPr="00912A7B">
        <w:tab/>
        <w:t xml:space="preserve">atgādina, ka ES regulas, tādas kā Prospektu regula un FITD II, ir būtiski uzlabojušas </w:t>
      </w:r>
      <w:proofErr w:type="spellStart"/>
      <w:r w:rsidRPr="00912A7B">
        <w:t>pārredzamību</w:t>
      </w:r>
      <w:proofErr w:type="spellEnd"/>
      <w:r w:rsidRPr="00912A7B">
        <w:t xml:space="preserve"> un tirgus darbības efektivitāti, tomēr ir iespējams darīt vēl vairāk, lai racionalizētu procedūras uzņēmumiem, kuri vēlas tik iekļauti biržas sarakstā; vērš uzmanību uz nepieciešamību vēl vairāk saskaņot tirgus praksi dalībvalstīs, lai izveidotu patiesi vienotu kapitāla tirgu; atbalsta </w:t>
      </w:r>
      <w:proofErr w:type="spellStart"/>
      <w:r w:rsidRPr="00912A7B">
        <w:t>paraugprakses</w:t>
      </w:r>
      <w:proofErr w:type="spellEnd"/>
      <w:r w:rsidRPr="00912A7B">
        <w:t xml:space="preserve"> piemērošanu ES līmenī;</w:t>
      </w:r>
    </w:p>
    <w:p w14:paraId="5D69CC6B" w14:textId="77777777" w:rsidR="009B2E3A" w:rsidRPr="00912A7B" w:rsidRDefault="009B2E3A" w:rsidP="009B2E3A">
      <w:pPr>
        <w:pStyle w:val="NormalHanging12a"/>
        <w:rPr>
          <w:snapToGrid/>
        </w:rPr>
      </w:pPr>
      <w:r w:rsidRPr="00912A7B">
        <w:t>44.</w:t>
      </w:r>
      <w:r w:rsidRPr="00912A7B">
        <w:tab/>
        <w:t>atzīmē, ka Savienības pašreizējais nodokļu satvars ar 27 dažādām uzņēmumu ienākuma nodokļa sistēmām var radīt šķēršļus uzņēmumiem un pārrobežu investēšanai iekšējā tirgū</w:t>
      </w:r>
      <w:r w:rsidRPr="00912A7B">
        <w:rPr>
          <w:rStyle w:val="FootnoteReference"/>
        </w:rPr>
        <w:footnoteReference w:id="24"/>
      </w:r>
      <w:r w:rsidRPr="00912A7B">
        <w:t>; uzskata, ka inovatīvi uzņēmumi varētu gūt labumu no vienota ES līmeņa noteikumu kopuma — attiecīgā gadījumā — un no kopējas prakses; šajā sakarā atzīmē priekšlikumu direktīvai “Uzņēmējdarbība Eiropā: ienākuma nodokļu sistēma (</w:t>
      </w:r>
      <w:r w:rsidRPr="00912A7B">
        <w:rPr>
          <w:i/>
          <w:iCs/>
        </w:rPr>
        <w:t>BEFIT</w:t>
      </w:r>
      <w:r w:rsidRPr="00912A7B">
        <w:t xml:space="preserve">)”, ar ko izveido vienotu noteikumu kopumu uzņēmumu ienākuma nodokļa bāzes aprēķināšanai; atgādina, ka vairākas likumdošanas iniciatīvas nodokļu uzlikšanas jomā joprojām ir apturētas un ka ir svarīgi garantēt noteiktību, </w:t>
      </w:r>
      <w:proofErr w:type="spellStart"/>
      <w:r w:rsidRPr="00912A7B">
        <w:t>paredzamību</w:t>
      </w:r>
      <w:proofErr w:type="spellEnd"/>
      <w:r w:rsidRPr="00912A7B">
        <w:t xml:space="preserve"> un stabilitāti; pieņem zināšanai Komisiju precizējumu par to, kuras iniciatīvas nodokļu uzlikšanas jomā ir jāatsauc;</w:t>
      </w:r>
    </w:p>
    <w:p w14:paraId="3ED4114B" w14:textId="77777777" w:rsidR="009B2E3A" w:rsidRPr="00912A7B" w:rsidRDefault="009B2E3A" w:rsidP="009B2E3A">
      <w:pPr>
        <w:pStyle w:val="NormalHanging12a"/>
      </w:pPr>
      <w:r w:rsidRPr="00912A7B">
        <w:t>45.</w:t>
      </w:r>
      <w:r w:rsidRPr="00912A7B">
        <w:tab/>
        <w:t>atgādina, ka lielākā daļa ar nodokļu uzlikšanu saistīto jautājumu ir dalībvalstu kompetencē; tomēr uzsver, ka ciešāk koordinēts satvars uzņēmumu ienākuma nodokļa uzlikšanai varētu palīdzēt samazināt atbilstības nodrošināšanas izmaksas un administratīvo slogu, kā arī radīt vienlīdzīgus konkurences apstākļus uzņēmumiem, kas darbojas visā iekšējā tirgū, veicināt darbības paplašināšanu, palielināt juridisko noteiktību un stimulēt investīcijas un izaugsmi Savienībā; mudina dalībvalstis it īpaši paātrināt sarunas par amortizācijas noteikumiem; aicina Komisiju izpētīt iespēju piemērot 28. režīmu un izvērtēt tā piemērošanas priekšrocības un trūkumus;</w:t>
      </w:r>
    </w:p>
    <w:p w14:paraId="68A83DB7" w14:textId="77777777" w:rsidR="009B2E3A" w:rsidRPr="00912A7B" w:rsidRDefault="009B2E3A" w:rsidP="009B2E3A">
      <w:pPr>
        <w:pStyle w:val="NormalHanging12a"/>
      </w:pPr>
      <w:r w:rsidRPr="00912A7B">
        <w:t>46.</w:t>
      </w:r>
      <w:r w:rsidRPr="00912A7B">
        <w:tab/>
        <w:t>aicina Komisiju īstenot pasākumus, kas stimulētu gan iekšzemes, gan ārējos investorus piedalīties Eiropas kapitāla tirgos; aicina Komisiju sniegt dalībvalstīm tehnisku atbalstu investēšanu motivējošas nodokļu politikas izstrādē un īstenošanā;</w:t>
      </w:r>
    </w:p>
    <w:p w14:paraId="19547CA9" w14:textId="77777777" w:rsidR="009B2E3A" w:rsidRPr="00912A7B" w:rsidRDefault="009B2E3A" w:rsidP="009B2E3A">
      <w:pPr>
        <w:pStyle w:val="NormalHanging12a"/>
      </w:pPr>
      <w:r w:rsidRPr="00912A7B">
        <w:t>47.</w:t>
      </w:r>
      <w:r w:rsidRPr="00912A7B">
        <w:tab/>
        <w:t xml:space="preserve">pieņem zināšanai </w:t>
      </w:r>
      <w:proofErr w:type="spellStart"/>
      <w:r w:rsidRPr="00912A7B">
        <w:rPr>
          <w:i/>
          <w:iCs/>
        </w:rPr>
        <w:t>Draghi</w:t>
      </w:r>
      <w:proofErr w:type="spellEnd"/>
      <w:r w:rsidRPr="00912A7B">
        <w:t xml:space="preserve"> ziņojumā iekļauto ieteikumu nodrošināt nodokļu stimulus, lai atbalstītu stratēģisku nozaru attīstību; uzskata — lai atbalstītu Eiropas konkurētspēju, ar investīciju produktiem saistītu nodokļu stimulu izstrādē prioritāte būtu jāpiešķir Eiropā veiktām investīcijām;</w:t>
      </w:r>
    </w:p>
    <w:p w14:paraId="593F1771" w14:textId="77777777" w:rsidR="009B2E3A" w:rsidRPr="00912A7B" w:rsidRDefault="009B2E3A" w:rsidP="009B2E3A">
      <w:pPr>
        <w:pStyle w:val="NormalHanging12a"/>
      </w:pPr>
      <w:r w:rsidRPr="00912A7B">
        <w:t>48.</w:t>
      </w:r>
      <w:r w:rsidRPr="00912A7B">
        <w:tab/>
        <w:t>atzinīgi vērtē Komisijas pamatnostādnes par nodokļu stimulu izstrādi kā pirmo soli iekšējā tirgus sarežģītības un sadrumstalotības mazināšanā, vienlaikus ievērojot dalībvalstu kompetenci;</w:t>
      </w:r>
    </w:p>
    <w:p w14:paraId="64731ECB" w14:textId="77777777" w:rsidR="009B2E3A" w:rsidRPr="00912A7B" w:rsidRDefault="009B2E3A" w:rsidP="009B2E3A">
      <w:pPr>
        <w:pStyle w:val="NormalHanging12a"/>
      </w:pPr>
      <w:r w:rsidRPr="00912A7B">
        <w:t>49.</w:t>
      </w:r>
      <w:r w:rsidRPr="00912A7B">
        <w:tab/>
        <w:t xml:space="preserve">aicina Komisiju pievērsties esošajiem šķēršļiem, kas kavē pārrobežu privātās investīcijas, piemēram, pārāk sarežģītām pārmērīga ieturējuma nodokļa atgūšanas </w:t>
      </w:r>
      <w:r w:rsidRPr="00912A7B">
        <w:lastRenderedPageBreak/>
        <w:t>procedūrām un akcionāru pilnsapulcēm piemērojamu ES mēroga minimālo standartu trūkumam;</w:t>
      </w:r>
    </w:p>
    <w:p w14:paraId="2F713C4C" w14:textId="77777777" w:rsidR="009B2E3A" w:rsidRPr="00912A7B" w:rsidRDefault="009B2E3A" w:rsidP="009B2E3A">
      <w:pPr>
        <w:pStyle w:val="Normal12a24b"/>
        <w:spacing w:before="0"/>
        <w:ind w:left="567" w:hanging="567"/>
      </w:pPr>
      <w:r w:rsidRPr="00912A7B">
        <w:t>50.</w:t>
      </w:r>
      <w:r w:rsidRPr="00912A7B">
        <w:tab/>
        <w:t>uzsver, ka kapitāla tirgu integrācija ir nepieciešams Savienības investēšanas stratēģijas pīlārs, ko attiecīgā gadījumā, lai maksimāli palielinātu ietekmi, var papildināt ar rūpīgi izstrādātiem stimuliem attiecībā uz ilgtermiņa produktiem;</w:t>
      </w:r>
    </w:p>
    <w:p w14:paraId="2622EE54" w14:textId="77777777" w:rsidR="009B2E3A" w:rsidRPr="00912A7B" w:rsidRDefault="009B2E3A" w:rsidP="009B2E3A">
      <w:pPr>
        <w:pStyle w:val="NormalHanging12a"/>
        <w:rPr>
          <w:snapToGrid/>
        </w:rPr>
      </w:pPr>
      <w:r w:rsidRPr="00912A7B">
        <w:t>51.</w:t>
      </w:r>
      <w:r w:rsidRPr="00912A7B">
        <w:tab/>
        <w:t>aicina Komisiju izstrādāt priekšlikumus, kuru mērķis ir atvieglot uzkrājumu novirzīšanu uz produktīvām investīcijām ar ilgtermiņa uzkrājumu produktu palīdzību, un šo priekšlikumu izstrādē balstīties uz to valstu pieredzi, kurās šajā jomā ir augsts minēto produktu pieņemšanas līmenis privātpersonu vidū; prasa Komisijai izpētīt risinājumus un idejas, piemēram, iespēju izveidot visiem ES iedzīvotājiem pieejamu ES investīciju krājkontu vai ES līmeņa marķējumu investīciju produktiem, kas ir piemēroti privātiem investoriem, balstoties uz kopīgiem kritērijiem vai iezīmēm, tādiem kā “nekompleksi produkti”, samērīgas izmaksas, koncentrēšanās uz ilgtermiņa investīcijām, aktīvu sadale un riska mazināšanas paņēmieni; mudina Komisiju ieviest vienkāršotu un racionalizētu konsultēšanas segmentu vai segmentu “izpilde tikai, vadoties pēc norādījumiem” attiecībā uz produktiem, kas marķēti kā vienkārši pamatprodukti; it īpaši prasa, lai Komisija izvērtētu tāda investīciju marķējuma pievienoto vērtību un efektivitāti, kas piedāvā atlīdzības iespējas investoriem globālā mērogā vai kas ir ilgtspējīgas un galvenokārt izvietotas ES (</w:t>
      </w:r>
      <w:proofErr w:type="spellStart"/>
      <w:r w:rsidRPr="00912A7B">
        <w:rPr>
          <w:i/>
          <w:iCs/>
        </w:rPr>
        <w:t>Invest</w:t>
      </w:r>
      <w:proofErr w:type="spellEnd"/>
      <w:r w:rsidRPr="00912A7B">
        <w:t xml:space="preserve"> vai </w:t>
      </w:r>
      <w:r w:rsidRPr="00912A7B">
        <w:rPr>
          <w:i/>
          <w:iCs/>
        </w:rPr>
        <w:t xml:space="preserve">Made </w:t>
      </w:r>
      <w:proofErr w:type="spellStart"/>
      <w:r w:rsidRPr="00912A7B">
        <w:rPr>
          <w:i/>
          <w:iCs/>
        </w:rPr>
        <w:t>In</w:t>
      </w:r>
      <w:proofErr w:type="spellEnd"/>
      <w:r w:rsidRPr="00912A7B">
        <w:rPr>
          <w:i/>
          <w:iCs/>
        </w:rPr>
        <w:t xml:space="preserve"> </w:t>
      </w:r>
      <w:proofErr w:type="spellStart"/>
      <w:r w:rsidRPr="00912A7B">
        <w:rPr>
          <w:i/>
          <w:iCs/>
        </w:rPr>
        <w:t>Europe</w:t>
      </w:r>
      <w:proofErr w:type="spellEnd"/>
      <w:r w:rsidRPr="00912A7B">
        <w:t xml:space="preserve"> marķējums), un izvērtēt uzņēmumu un iedzīvotāju vēlmi pēc šāda marķējuma; uzsver, ka šādas iniciatīvas mērķim vajadzētu būt papildu uzkrājumu radīšanai, vienlaikus aizsargājot un, kad vien iespējams, uzlabojot produktu, izplatītāju un tirgus struktūru daudzveidību Savienībā; atzīmē, ka dažas dalībvalstis īsteno iniciatīvu “Eiropa ir gatava rīkoties”; mudina Komisiju un dalībvalstis izvirzīt pēc iespējas vērienīgākus mērķus un tos īstenot kā vienotam blokam;</w:t>
      </w:r>
    </w:p>
    <w:p w14:paraId="251DC144" w14:textId="77777777" w:rsidR="009B2E3A" w:rsidRPr="00912A7B" w:rsidRDefault="009B2E3A" w:rsidP="009B2E3A">
      <w:pPr>
        <w:pStyle w:val="NormalHanging12a"/>
      </w:pPr>
      <w:r w:rsidRPr="00912A7B">
        <w:t>52.</w:t>
      </w:r>
      <w:r w:rsidRPr="00912A7B">
        <w:tab/>
        <w:t>pieņem zināšanai to, ka septiņas dalībvalstis sadarbībā ar savas finanšu nozares dalībniekiem ir ieviesušas Eiropas ilgtermiņa uzkrājumu marķējumu “</w:t>
      </w:r>
      <w:r w:rsidRPr="00912A7B">
        <w:rPr>
          <w:i/>
          <w:iCs/>
        </w:rPr>
        <w:t xml:space="preserve">Finance </w:t>
      </w:r>
      <w:proofErr w:type="spellStart"/>
      <w:r w:rsidRPr="00912A7B">
        <w:rPr>
          <w:i/>
          <w:iCs/>
        </w:rPr>
        <w:t>Europe</w:t>
      </w:r>
      <w:proofErr w:type="spellEnd"/>
      <w:r w:rsidRPr="00912A7B">
        <w:t>”</w:t>
      </w:r>
      <w:r w:rsidRPr="00912A7B">
        <w:rPr>
          <w:rStyle w:val="FootnoteReference"/>
        </w:rPr>
        <w:footnoteReference w:id="25"/>
      </w:r>
      <w:r w:rsidRPr="00912A7B">
        <w:t xml:space="preserve"> (finansē Eiropu); atzīmē, ka šāda marķējuma izmantošanas kritēriji ietver tādu portfeļa sadalījumu, kurā vismaz 70 % ir investīcijas Eiropas uzņēmumos, 5 gadu minimālo investēšanas ilgumu, būtiskas daļas investēšanu pašu kapitālā un, iespējams, valstu izstrādātus nodokļu stimulus;</w:t>
      </w:r>
    </w:p>
    <w:p w14:paraId="018C22C0" w14:textId="77777777" w:rsidR="009B2E3A" w:rsidRPr="00912A7B" w:rsidRDefault="009B2E3A" w:rsidP="009B2E3A">
      <w:pPr>
        <w:pStyle w:val="NormalHanging12a"/>
      </w:pPr>
      <w:r w:rsidRPr="00912A7B">
        <w:t>53.</w:t>
      </w:r>
      <w:r w:rsidRPr="00912A7B">
        <w:tab/>
        <w:t>atgādina, ka pašreizējiem Eiropas mēroga produktiem, tādiem kā Eiropas ilgtermiņa ieguldījumu fonds (</w:t>
      </w:r>
      <w:r w:rsidRPr="00912A7B">
        <w:rPr>
          <w:i/>
          <w:iCs/>
        </w:rPr>
        <w:t>ELTIF</w:t>
      </w:r>
      <w:r w:rsidRPr="00912A7B">
        <w:t xml:space="preserve">) un </w:t>
      </w:r>
      <w:proofErr w:type="spellStart"/>
      <w:r w:rsidRPr="00912A7B">
        <w:t>Pan</w:t>
      </w:r>
      <w:proofErr w:type="spellEnd"/>
      <w:r w:rsidRPr="00912A7B">
        <w:t>-Eiropas privāto pensiju produkts (</w:t>
      </w:r>
      <w:r w:rsidRPr="00912A7B">
        <w:rPr>
          <w:i/>
          <w:iCs/>
        </w:rPr>
        <w:t>PEPP</w:t>
      </w:r>
      <w:r w:rsidRPr="00912A7B">
        <w:t>), līdz šim ir bijis grūti piesaistīt būtisku uzmanību privāto investoru vidū; atzīst, ka, reformas, kas pašlaik tiek veiktas ar mērķi uzlabot šo produktu pievilcību, ir svarīgas, taču uzsver, ka, ņemot vērā gūto pieredzi, ar regulatīvo satvaru vien ir par maz, lai veicinātu kāda produkta plašu izmantošanu;</w:t>
      </w:r>
    </w:p>
    <w:p w14:paraId="781DD971" w14:textId="77777777" w:rsidR="009B2E3A" w:rsidRPr="00912A7B" w:rsidRDefault="009B2E3A" w:rsidP="009B2E3A">
      <w:pPr>
        <w:pStyle w:val="NormalHanging12a"/>
      </w:pPr>
      <w:r w:rsidRPr="00912A7B">
        <w:t>54.</w:t>
      </w:r>
      <w:r w:rsidRPr="00912A7B">
        <w:tab/>
        <w:t xml:space="preserve">uzsver — lai veicinātu uzticēšanos Eiropas investīciju produktiem un dalību tajos, liela nozīme ir spēcīgai patērētāju aizsardzībai; uzsver arī nepieciešamību pēc skaidras informācijas atklāšanas, pārredzamām struktūrām ar zemu maksu, piekļuves finanšu </w:t>
      </w:r>
      <w:r w:rsidRPr="00912A7B">
        <w:lastRenderedPageBreak/>
        <w:t xml:space="preserve">pamatpakalpojumiem, lai veicinātu finansiālu iekļaušanu, stingra regulējuma attiecībā uz digitālajiem rīkiem, tādiem kā mākslīgais intelekts (MI), ko finanšu iestādes izmanto Eiropas finanšu produktu pārdošanā un konsultēšanā par tiem, un stingra finanšu produktu regulējuma un standartizācijas, to visu papildinot ar </w:t>
      </w:r>
      <w:proofErr w:type="spellStart"/>
      <w:r w:rsidRPr="00912A7B">
        <w:t>mērķvirzītām</w:t>
      </w:r>
      <w:proofErr w:type="spellEnd"/>
      <w:r w:rsidRPr="00912A7B">
        <w:t xml:space="preserve"> finansiālās izglītības iniciatīvām;</w:t>
      </w:r>
    </w:p>
    <w:p w14:paraId="2C2BBF03" w14:textId="77777777" w:rsidR="009B2E3A" w:rsidRPr="00912A7B" w:rsidRDefault="009B2E3A" w:rsidP="009B2E3A">
      <w:pPr>
        <w:pStyle w:val="NormalHanging12a"/>
      </w:pPr>
      <w:r w:rsidRPr="00912A7B">
        <w:t>55.</w:t>
      </w:r>
      <w:r w:rsidRPr="00912A7B">
        <w:tab/>
        <w:t>mudina Komisiju atbalstīt Eiropas kapitāla tirgu savienības indeksu kopuma izstrādi</w:t>
      </w:r>
      <w:r w:rsidRPr="00912A7B">
        <w:rPr>
          <w:rStyle w:val="FootnoteReference"/>
        </w:rPr>
        <w:footnoteReference w:id="26"/>
      </w:r>
      <w:r w:rsidRPr="00912A7B">
        <w:t xml:space="preserve">, pamatojoties uz datiem, kurus darīs pieejamus saskaņā ar gaidāmo ES mēroga konsolidētu datu lenti, kas nodrošinās lielāku </w:t>
      </w:r>
      <w:proofErr w:type="spellStart"/>
      <w:r w:rsidRPr="00912A7B">
        <w:t>pamanāmību</w:t>
      </w:r>
      <w:proofErr w:type="spellEnd"/>
      <w:r w:rsidRPr="00912A7B">
        <w:t xml:space="preserve"> mazākiem un mazāk likvīdiem valstu tirgiem ES un ļaus Eiropas iedzīvotājiem viegli investēt biržas sarakstā iekļautu vidējas un mazas kapitalizācijas uzņēmumu akcijās visās ES dalībvalstīs; uzskata, ka šim indeksu kopumam būtu jāietver visu ES biržas sarakstā iekļauto uzņēmumu akcijas un jāļauj atsevišķu valstu, reģionu un nozaru </w:t>
      </w:r>
      <w:proofErr w:type="spellStart"/>
      <w:r w:rsidRPr="00912A7B">
        <w:t>apakšindeksiem</w:t>
      </w:r>
      <w:proofErr w:type="spellEnd"/>
      <w:r w:rsidRPr="00912A7B">
        <w:t xml:space="preserve"> apmierināt investoru, emitentu un to biržu dažādās vajadzības; uzsver, ka minēto indeksu izstrādei un pārvaldībai, kā arī veidam, kā tos izmanto tirgus dalībnieki, vajadzētu būt izmaksu ziņā efektīvam, lai līdz minimumam samazinātu slogu tirgus dalībniekiem un maksimāli palielinātu pozitīvu sekundāro ietekmi, tādu kā biržas sarakstā iekļautu uzņēmumu skaita palielināšanās un jaunu finanšu produktu piedāvāšana;</w:t>
      </w:r>
    </w:p>
    <w:p w14:paraId="254B97F4" w14:textId="77777777" w:rsidR="009B2E3A" w:rsidRPr="00912A7B" w:rsidRDefault="009B2E3A" w:rsidP="009B2E3A">
      <w:pPr>
        <w:pStyle w:val="NormalHanging12a"/>
      </w:pPr>
      <w:r w:rsidRPr="00912A7B">
        <w:t>56.</w:t>
      </w:r>
      <w:r w:rsidRPr="00912A7B">
        <w:tab/>
        <w:t>vērš uzmanību uz to, ka ir svarīgi uzlabot privāto investoru piekļuvi jaunākajai informācijai par cenām un produktiem, kā arī to iespējas saņemt savām vajadzībām pielāgotu piedāvājumu; prasa veikt pasākumus, lai padarītu šādu informāciju vieglāk pieejamu;</w:t>
      </w:r>
    </w:p>
    <w:p w14:paraId="60113884" w14:textId="77777777" w:rsidR="009B2E3A" w:rsidRPr="00912A7B" w:rsidRDefault="009B2E3A" w:rsidP="009B2E3A">
      <w:pPr>
        <w:pStyle w:val="NormalHanging12a"/>
      </w:pPr>
      <w:r w:rsidRPr="00912A7B">
        <w:t>57.</w:t>
      </w:r>
      <w:r w:rsidRPr="00912A7B">
        <w:tab/>
        <w:t>atgādina, ka pensiju sistēma un tās finansēšanas modelis lielā mērā ir atkarīgi no konkrētās valsts īpatnībām; uzsver, ka pensijas palīdz aizsargāt pensionārus, veidot kapitāla tirgus un mobilizēt investīciju sistēmas un ka pensiju sistēmām prioritāte ir jāpiešķir stabilitātei, solidaritātei un atbilstošu un prognozējamu ienākumu nodrošināšanai, kad cilvēks ir aizgājis pensijā; vērš uzmanību uz to, ka 2. un 3. pīlāra pensijas produktu izstrādē būtu jāpievērš uzmanība stingriem privāto noguldītāju aizsardzības pasākumiem;</w:t>
      </w:r>
    </w:p>
    <w:p w14:paraId="0FB207BB" w14:textId="77777777" w:rsidR="009B2E3A" w:rsidRPr="00912A7B" w:rsidRDefault="009B2E3A" w:rsidP="009B2E3A">
      <w:pPr>
        <w:pStyle w:val="NormalHanging12a"/>
      </w:pPr>
      <w:r w:rsidRPr="00912A7B">
        <w:t>58.</w:t>
      </w:r>
      <w:r w:rsidRPr="00912A7B">
        <w:tab/>
        <w:t>uzskata, ka pensijas izsekošanas sistēma var sniegt Eiropas iedzīvotājiem skaidrāku pārskatu par tiesībām uz pensiju, ko viņi var sagaidīt, aizejot pensijā; mudina Komisiju nodrošināt, ka visas dalībvalstis ievieš vienkāršu un pārredzamu pensiju izsekošanas sistēmu, kas ir viegli un brīvi pieejama iedzīvotājiem;</w:t>
      </w:r>
    </w:p>
    <w:p w14:paraId="3BDF5A5D" w14:textId="77777777" w:rsidR="009B2E3A" w:rsidRPr="00912A7B" w:rsidRDefault="009B2E3A" w:rsidP="009B2E3A">
      <w:pPr>
        <w:pStyle w:val="NormalHanging12a"/>
      </w:pPr>
      <w:r w:rsidRPr="00912A7B">
        <w:t>59.</w:t>
      </w:r>
      <w:r w:rsidRPr="00912A7B">
        <w:tab/>
        <w:t>norāda, ka starpniekiem, tādiem kā pensiju fondi un apdrošināšanas sabiedrības, ir būtiska loma privāto uzkrājumu novirzīšanā uz produktīvām investīcijām; gaida, ka Komisija pieņems tādu vērienīgu deleģēto aktu par ilgtermiņa garantijām un ilgtermiņa pašu kapitālu saskaņā ar direktīvu “Maksātspēja II”, kurš pilnvērtīgi atspoguļos likumdevēju panākto vienošanos par direktīvu, ar ko groza direktīvu “Maksātspēja II”, un kurā būs ņemti vērā attiecīgie EAAPI ieteikumi;</w:t>
      </w:r>
    </w:p>
    <w:p w14:paraId="029A7BEE" w14:textId="77777777" w:rsidR="009B2E3A" w:rsidRPr="00912A7B" w:rsidRDefault="009B2E3A" w:rsidP="009B2E3A">
      <w:pPr>
        <w:pStyle w:val="NormalHanging12a"/>
        <w:rPr>
          <w:snapToGrid/>
        </w:rPr>
      </w:pPr>
      <w:r w:rsidRPr="00912A7B">
        <w:t>60.</w:t>
      </w:r>
      <w:r w:rsidRPr="00912A7B">
        <w:tab/>
        <w:t xml:space="preserve">gaida, ka Komisija izstrādās risinājumus, kas ļaus uzņēmumiem, to skaitā augošiem </w:t>
      </w:r>
      <w:proofErr w:type="spellStart"/>
      <w:r w:rsidRPr="00912A7B">
        <w:t>jaunuzņēmumiem</w:t>
      </w:r>
      <w:proofErr w:type="spellEnd"/>
      <w:r w:rsidRPr="00912A7B">
        <w:t xml:space="preserve">, </w:t>
      </w:r>
      <w:proofErr w:type="spellStart"/>
      <w:r w:rsidRPr="00912A7B">
        <w:t>mikrouzņēmumiem</w:t>
      </w:r>
      <w:proofErr w:type="spellEnd"/>
      <w:r w:rsidRPr="00912A7B">
        <w:t xml:space="preserve"> un MVU, paplašināt darbību un kotēt savas </w:t>
      </w:r>
      <w:r w:rsidRPr="00912A7B">
        <w:lastRenderedPageBreak/>
        <w:t xml:space="preserve">akcijas biržā ES teritorijā; tādēļ prasa gaidāmajā ES </w:t>
      </w:r>
      <w:proofErr w:type="spellStart"/>
      <w:r w:rsidRPr="00912A7B">
        <w:t>jaunuzņēmumu</w:t>
      </w:r>
      <w:proofErr w:type="spellEnd"/>
      <w:r w:rsidRPr="00912A7B">
        <w:t xml:space="preserve"> un augošo uzņēmumu stratēģijā iekļaut sadaļu par finansēšanu, it īpaši par </w:t>
      </w:r>
      <w:proofErr w:type="spellStart"/>
      <w:r w:rsidRPr="00912A7B">
        <w:t>iespējkapitālu</w:t>
      </w:r>
      <w:proofErr w:type="spellEnd"/>
      <w:r w:rsidRPr="00912A7B">
        <w:t xml:space="preserve">, izklāstot pareizos stimulus Eiropas </w:t>
      </w:r>
      <w:proofErr w:type="spellStart"/>
      <w:r w:rsidRPr="00912A7B">
        <w:t>jaunuzņēmumiem</w:t>
      </w:r>
      <w:proofErr w:type="spellEnd"/>
      <w:r w:rsidRPr="00912A7B">
        <w:t xml:space="preserve"> un augošajiem uzņēmumiem, lai tie nepārceltu savu darbību uz </w:t>
      </w:r>
      <w:proofErr w:type="spellStart"/>
      <w:r w:rsidRPr="00912A7B">
        <w:t>trešām</w:t>
      </w:r>
      <w:proofErr w:type="spellEnd"/>
      <w:r w:rsidRPr="00912A7B">
        <w:t xml:space="preserve"> valstīm; šādu stimulu mērķim vajadzētu būt tādas pievilcīgas un atvērtas investīciju vides izveidei, kas ir labvēlīga gan ES, gan globālajiem investoriem, kuri vēlas investēt ES; vērš uzmanību uz to, ka ir svarīgi piesaistīt Eiropas Savienībai talantus, lai nodrošinātu ilgtermiņa ekonomikas izaugsmi, inovāciju un globālo konkurētspēju; uzsver nepieciešamību padziļināt ES primāro tirgu integrāciju, turpinot regulatīvo konverģenci un atvieglojot uzņēmumu akciju pārrobežu iekļaušanu biržas sarakstā; atzīst, ka MVU izaugsmes tirgi MVU ir ļoti svarīgs ienākšanas kapitāla tirgos punkts un ka tie būtu jāpadara pieejamāki, racionalizējot prasības;</w:t>
      </w:r>
    </w:p>
    <w:p w14:paraId="7B90FA47" w14:textId="77777777" w:rsidR="009B2E3A" w:rsidRPr="00912A7B" w:rsidRDefault="009B2E3A" w:rsidP="009B2E3A">
      <w:pPr>
        <w:pStyle w:val="NormalHanging12a"/>
      </w:pPr>
      <w:r w:rsidRPr="00912A7B">
        <w:t>61.</w:t>
      </w:r>
      <w:r w:rsidRPr="00912A7B">
        <w:tab/>
        <w:t xml:space="preserve">prasa sniegt </w:t>
      </w:r>
      <w:proofErr w:type="spellStart"/>
      <w:r w:rsidRPr="00912A7B">
        <w:t>mērķvirzītu</w:t>
      </w:r>
      <w:proofErr w:type="spellEnd"/>
      <w:r w:rsidRPr="00912A7B">
        <w:t xml:space="preserve"> atbalstu ES līmenī, lai nodrošinātu, ka pētniecības rezultāti efektīvāk sasniedz tirgu, it īpaši dalībvalstīs ar vājāku inovācijas ekosistēmu; uzsver, ka ir svarīgi izveidot saikni starp pētniecības institūcijām, no vienas puses, un </w:t>
      </w:r>
      <w:proofErr w:type="spellStart"/>
      <w:r w:rsidRPr="00912A7B">
        <w:t>jaunuzņēmumiem</w:t>
      </w:r>
      <w:proofErr w:type="spellEnd"/>
      <w:r w:rsidRPr="00912A7B">
        <w:t xml:space="preserve"> un industriju, no otras puses;</w:t>
      </w:r>
    </w:p>
    <w:p w14:paraId="03DE6511" w14:textId="77777777" w:rsidR="009B2E3A" w:rsidRPr="00912A7B" w:rsidRDefault="009B2E3A" w:rsidP="009B2E3A">
      <w:pPr>
        <w:pStyle w:val="NormalHanging12a"/>
      </w:pPr>
      <w:r w:rsidRPr="00912A7B">
        <w:t>62.</w:t>
      </w:r>
      <w:r w:rsidRPr="00912A7B">
        <w:tab/>
        <w:t xml:space="preserve">atbalsta investoru iziešanu no privātiem uzņēmumiem, veicinot tādu mehānismu izmantošanu kā privāti turētu akciju daudzpusēja neregulāra tirdzniecība un tādējādi uzlabojot likviditāti un </w:t>
      </w:r>
      <w:proofErr w:type="spellStart"/>
      <w:r w:rsidRPr="00912A7B">
        <w:t>pārredzamību</w:t>
      </w:r>
      <w:proofErr w:type="spellEnd"/>
      <w:r w:rsidRPr="00912A7B">
        <w:t xml:space="preserve"> un dodot iespēju agrīnā posma investoriem gūt peļņu; uzskata, ka šādi mehānismi būtu jāizstrādā īpaši nolūkā atvieglot pārrobežu tirdzniecību starp ES dalībvalstīm, vienlaikus saglabājot akcionāru, it īpaši mazākuma akcionāru, tiesības;</w:t>
      </w:r>
    </w:p>
    <w:p w14:paraId="05D7FD8B" w14:textId="77777777" w:rsidR="009B2E3A" w:rsidRPr="00912A7B" w:rsidRDefault="009B2E3A" w:rsidP="009B2E3A">
      <w:pPr>
        <w:pStyle w:val="NormalHanging12a"/>
      </w:pPr>
      <w:r w:rsidRPr="00912A7B">
        <w:t>63.</w:t>
      </w:r>
      <w:r w:rsidRPr="00912A7B">
        <w:tab/>
        <w:t xml:space="preserve">aicina Komisiju prioritāti piešķirt tādai vērienīgai uzkrājumu un investīciju savienības programmai, kas stimulētu privāto investēšanu, atbalstītu finanšu stabilitāti un patērētāju aizsardzību, veicinātu piekļuvi </w:t>
      </w:r>
      <w:proofErr w:type="spellStart"/>
      <w:r w:rsidRPr="00912A7B">
        <w:t>iespējkapitālam</w:t>
      </w:r>
      <w:proofErr w:type="spellEnd"/>
      <w:r w:rsidRPr="00912A7B">
        <w:t xml:space="preserve"> un investīcijām pašu kapitālā — lai MVU varētu gūt labumu no dziļākas tirgus integrācijas —, nodrošinātu privātiem investoriem piekļuvi tirgiem, uzlabotu </w:t>
      </w:r>
      <w:proofErr w:type="spellStart"/>
      <w:r w:rsidRPr="00912A7B">
        <w:t>finanšpratību</w:t>
      </w:r>
      <w:proofErr w:type="spellEnd"/>
      <w:r w:rsidRPr="00912A7B">
        <w:t xml:space="preserve"> un mazinātu pārmērīgo paļaušanos uz banku aizdevumiem un papildinātu tos, vienlaikus nodrošinot stimulus ilgtspējīgām darbībām;</w:t>
      </w:r>
    </w:p>
    <w:p w14:paraId="4A267218" w14:textId="77777777" w:rsidR="009B2E3A" w:rsidRPr="00912A7B" w:rsidRDefault="009B2E3A" w:rsidP="009B2E3A">
      <w:pPr>
        <w:pStyle w:val="NormalHanging12a"/>
      </w:pPr>
      <w:r w:rsidRPr="00912A7B">
        <w:t>64.</w:t>
      </w:r>
      <w:r w:rsidRPr="00912A7B">
        <w:tab/>
        <w:t xml:space="preserve">uzskata, ka finansiālās izpratnes un uzticēšanās palielināšana ir ļoti svarīga, lai izveidotu sekmīgi funkcionējošu KTS un mobilizētu privātās investīcijas; ar bažām atzīmē, ka vispārējais </w:t>
      </w:r>
      <w:proofErr w:type="spellStart"/>
      <w:r w:rsidRPr="00912A7B">
        <w:t>finanšpratības</w:t>
      </w:r>
      <w:proofErr w:type="spellEnd"/>
      <w:r w:rsidRPr="00912A7B">
        <w:t xml:space="preserve"> līmenis Savienībā joprojām ir zems — tas ir augsts tikai 18 % ES iedzīvotāju; uzsver, ka zināšanu līmenis ievērojami atšķiras starp dalībvalstīm un demogrāfiskajām grupām; prasa skaidrāk veltīt īpašu uzmanību </w:t>
      </w:r>
      <w:proofErr w:type="spellStart"/>
      <w:r w:rsidRPr="00912A7B">
        <w:t>finanšpratībai</w:t>
      </w:r>
      <w:proofErr w:type="spellEnd"/>
      <w:r w:rsidRPr="00912A7B">
        <w:t>, jo ir jāuzlabo ES iedzīvotāju izpratne par investīciju produktiem;</w:t>
      </w:r>
    </w:p>
    <w:p w14:paraId="3FF3F030" w14:textId="77777777" w:rsidR="009B2E3A" w:rsidRPr="00912A7B" w:rsidRDefault="009B2E3A" w:rsidP="009B2E3A">
      <w:pPr>
        <w:pStyle w:val="NormalHanging12a"/>
      </w:pPr>
      <w:r w:rsidRPr="00912A7B">
        <w:t>65.</w:t>
      </w:r>
      <w:r w:rsidRPr="00912A7B">
        <w:tab/>
        <w:t xml:space="preserve">uzskata, ka Eiropas Savienībā būtu jāatbalsta finansiālās izglītības līmeņa paaugstināšanas iniciatīvas, lai uzlabotu iedzīvotāju izpratni par labumu, ko sniedz dalība kapitāla tirgos, un palīdzētu privātajiem investoriem pieņemt uz labu informētību balstītus investēšanas lēmumus; atzinīgi vērtē Komisijas priekšlikumu jaunai stratēģijai un prasa, lai tā būtu pietiekami vērienīga nolūkā būtiski uzlabot finansiālās izglītības līmeni visā Eiropā, nodrošinot ilgstošas pārmaiņas; vērš uzmanību uz nepieciešamību steidzami pieņemt pasākumus pieejamākas un objektīvākas finansiālās izglītības veicināšanai visā ES, ievērojot valstu kompetences jomas; uzskata, ka Komisijai un dalībvalstīm būtu jāfinansē patērētāju organizāciju, individuālo investoru asociāciju un akcionāru organizāciju iniciatīvas, kas veicina izpratni un sekmē privāto investoru dalību kapitāla tirgos; mudina Komisiju atbalstīt tādu neatkarīgu un lietotājdraudzīgu </w:t>
      </w:r>
      <w:r w:rsidRPr="00912A7B">
        <w:lastRenderedPageBreak/>
        <w:t>digitālo rīku izstrādi, kuri varētu sniegt iedzīvotājiem iespēju viegli salīdzināt tirgū pieejamo investīciju produktu dažādās raksturīgās iezīmes;</w:t>
      </w:r>
    </w:p>
    <w:p w14:paraId="0C5249BE" w14:textId="77777777" w:rsidR="009B2E3A" w:rsidRPr="00912A7B" w:rsidRDefault="009B2E3A" w:rsidP="009B2E3A">
      <w:pPr>
        <w:pStyle w:val="NormalHanging12a"/>
      </w:pPr>
      <w:r w:rsidRPr="00912A7B">
        <w:t>66.</w:t>
      </w:r>
      <w:r w:rsidRPr="00912A7B">
        <w:tab/>
        <w:t xml:space="preserve">uzsver, ka finansiālās izglītības iniciatīvas nevar aizstāt spēcīgu investoru aizsardzības satvaru; norāda, ka </w:t>
      </w:r>
      <w:proofErr w:type="spellStart"/>
      <w:r w:rsidRPr="00912A7B">
        <w:t>finanšpratības</w:t>
      </w:r>
      <w:proofErr w:type="spellEnd"/>
      <w:r w:rsidRPr="00912A7B">
        <w:t xml:space="preserve"> iniciatīvu ietekme var būt ierobežota, ņemot vērā nenovēršamos uzvedības ierobežojumus un kognitīvos aizspriedumus, kas ietekmē individuālos investorus, un inovācijas ātrumu un finanšu tirgu lielo sarežģītību; uzskata, ka ES un dalībvalstu līmeņa iniciatīvas atbalstīt finanšu produktu standartizāciju un vienkāršību varētu palielināt ES iedzīvotāju izpratni par investīciju produktiem un uzlabot to salīdzināmību;</w:t>
      </w:r>
    </w:p>
    <w:p w14:paraId="4BE3AB81" w14:textId="77777777" w:rsidR="009B2E3A" w:rsidRPr="00912A7B" w:rsidRDefault="009B2E3A" w:rsidP="009B2E3A">
      <w:pPr>
        <w:pStyle w:val="NormalHanging12a"/>
      </w:pPr>
      <w:r w:rsidRPr="00912A7B">
        <w:t>67.</w:t>
      </w:r>
      <w:r w:rsidRPr="00912A7B">
        <w:tab/>
        <w:t xml:space="preserve">aicina Komisiju un dalībvalstis veltīt pastiprinātu uzmanību </w:t>
      </w:r>
      <w:proofErr w:type="spellStart"/>
      <w:r w:rsidRPr="00912A7B">
        <w:t>digitalizācijai</w:t>
      </w:r>
      <w:proofErr w:type="spellEnd"/>
      <w:r w:rsidRPr="00912A7B">
        <w:t xml:space="preserve"> finanšu pakalpojumu nozarē, lai izmantotu MI, datu kopīgošanas un jauno tehnoloģiju sniegtās iespējas un saglabātu konkurētspēju starptautiskā līmenī;</w:t>
      </w:r>
    </w:p>
    <w:p w14:paraId="78375784" w14:textId="77777777" w:rsidR="009B2E3A" w:rsidRPr="00912A7B" w:rsidRDefault="009B2E3A" w:rsidP="009B2E3A">
      <w:pPr>
        <w:pStyle w:val="NormalHanging12a"/>
      </w:pPr>
      <w:r w:rsidRPr="00912A7B">
        <w:t>68.</w:t>
      </w:r>
      <w:r w:rsidRPr="00912A7B">
        <w:tab/>
        <w:t>aicina Komisiju atvieglot institucionālo investoru, to skaitā banku, apdrošinātāju, pensiju fondu un investīciju fondu, ilgtermiņa investēšanu pašu kapitālā;</w:t>
      </w:r>
    </w:p>
    <w:p w14:paraId="7E25531E" w14:textId="77777777" w:rsidR="009B2E3A" w:rsidRPr="00912A7B" w:rsidRDefault="009B2E3A" w:rsidP="009B2E3A">
      <w:pPr>
        <w:pStyle w:val="NormalHanging12a"/>
      </w:pPr>
      <w:r w:rsidRPr="00912A7B">
        <w:t>69.</w:t>
      </w:r>
      <w:r w:rsidRPr="00912A7B">
        <w:tab/>
        <w:t>atbalsta pilnībā darboties spējīgas Eiropas noguldījumu apdrošināšanas shēmas izveidi; atzīst, ka riska dalīšana un riska mazināšana ir savstarpēji saistītas;</w:t>
      </w:r>
    </w:p>
    <w:p w14:paraId="78F2A2F3" w14:textId="72635565" w:rsidR="009B2E3A" w:rsidRPr="00912A7B" w:rsidRDefault="009B2E3A" w:rsidP="009B2E3A">
      <w:pPr>
        <w:pStyle w:val="NormalHanging12a"/>
      </w:pPr>
      <w:r w:rsidRPr="00912A7B">
        <w:t>70.</w:t>
      </w:r>
      <w:r w:rsidRPr="00912A7B">
        <w:tab/>
      </w:r>
      <w:r w:rsidR="00253052" w:rsidRPr="00912A7B">
        <w:t xml:space="preserve">atzīmē </w:t>
      </w:r>
      <w:proofErr w:type="spellStart"/>
      <w:r w:rsidR="00253052" w:rsidRPr="00912A7B">
        <w:t>vērtspapīrošanas</w:t>
      </w:r>
      <w:proofErr w:type="spellEnd"/>
      <w:r w:rsidR="00253052" w:rsidRPr="00912A7B">
        <w:t xml:space="preserve"> satvara pārskatīšanu, ar kuru Komisija iepazīstināja 2025. gada 17. jūnijā, un norāda, ka tā varētu veicināt finansiālo integrāciju, izveidojot saikni starp banku veikto aizdošanu un kapitāla tirgiem; uzskata, ka </w:t>
      </w:r>
      <w:proofErr w:type="spellStart"/>
      <w:r w:rsidR="00253052" w:rsidRPr="00912A7B">
        <w:t>vērtspapīrošanas</w:t>
      </w:r>
      <w:proofErr w:type="spellEnd"/>
      <w:r w:rsidR="00253052" w:rsidRPr="00912A7B">
        <w:t xml:space="preserve"> atdzīvināšanā īpaša uzmanību būtu jāpievērš informācijas atklāšanai piemēroto regulatīvo prasību racionalizēšanai un vienkāršiem, pārredzamiem un standartizētiem kritērijiem, neapdraudot finanšu stabilitāti;</w:t>
      </w:r>
      <w:r w:rsidRPr="00912A7B">
        <w:t>;</w:t>
      </w:r>
    </w:p>
    <w:p w14:paraId="0F624AA1" w14:textId="77777777" w:rsidR="009B2E3A" w:rsidRPr="00912A7B" w:rsidRDefault="009B2E3A" w:rsidP="009B2E3A">
      <w:pPr>
        <w:pStyle w:val="Normal12a24b"/>
      </w:pPr>
      <w:r w:rsidRPr="00912A7B">
        <w:rPr>
          <w:rStyle w:val="BoldItalic"/>
        </w:rPr>
        <w:t>Publisko resursu optimāla izmantošana ražīguma celšanai</w:t>
      </w:r>
    </w:p>
    <w:p w14:paraId="48D5A9D3" w14:textId="77777777" w:rsidR="009B2E3A" w:rsidRPr="00912A7B" w:rsidRDefault="009B2E3A" w:rsidP="009B2E3A">
      <w:pPr>
        <w:widowControl/>
        <w:spacing w:after="240"/>
        <w:ind w:left="567" w:hanging="567"/>
      </w:pPr>
      <w:r w:rsidRPr="00912A7B">
        <w:t>71.</w:t>
      </w:r>
      <w:r w:rsidRPr="00912A7B">
        <w:tab/>
        <w:t>atgādina par fiskālo rezervju nozīmi publiskās investēšanas atbalstīšanā; it īpaši atzīst, ka saskaņā ar fiskālo noteikumu satvaru dalībvalstīm būtu sava vidēja termiņa strukturālā plāna darbības laikā jāuztur vismaz tāds valsts finansētu publisko investīciju līmenis, kas atbilst vidēja termiņa līmenim pirms šī plāna īstenošanas sākšanas;</w:t>
      </w:r>
    </w:p>
    <w:p w14:paraId="47E0EB5A" w14:textId="77777777" w:rsidR="009B2E3A" w:rsidRPr="00912A7B" w:rsidRDefault="009B2E3A" w:rsidP="009B2E3A">
      <w:pPr>
        <w:pStyle w:val="NormalHanging12a"/>
      </w:pPr>
      <w:r w:rsidRPr="00912A7B">
        <w:t>72.</w:t>
      </w:r>
      <w:r w:rsidRPr="00912A7B">
        <w:tab/>
        <w:t xml:space="preserve">atzīmē, ka privātais sektors, visticamāk, nespēs finansēt lielāko daļu no investīcijām, kas nepieciešamas, lai </w:t>
      </w:r>
      <w:proofErr w:type="spellStart"/>
      <w:r w:rsidRPr="00912A7B">
        <w:t>digitalizētu</w:t>
      </w:r>
      <w:proofErr w:type="spellEnd"/>
      <w:r w:rsidRPr="00912A7B">
        <w:t xml:space="preserve"> un </w:t>
      </w:r>
      <w:proofErr w:type="spellStart"/>
      <w:r w:rsidRPr="00912A7B">
        <w:t>dekarbonizētu</w:t>
      </w:r>
      <w:proofErr w:type="spellEnd"/>
      <w:r w:rsidRPr="00912A7B">
        <w:t xml:space="preserve"> ekonomiku bez publiskā sektora atbalsta; uzskata, ka, ņemot vērā nepieciešamību steidzami veikt pasākumus konkurētspējas, aizsardzības, enerģētikas un dekarbonizācijas jomā, būs jāmobilizē ievērojamas privātās un publiskās investīcijas, tostarp, attiecīgā gadījumā izmantojot publiskā un privātā sektora partnerības;</w:t>
      </w:r>
    </w:p>
    <w:p w14:paraId="1AB1C486" w14:textId="77777777" w:rsidR="009B2E3A" w:rsidRPr="00912A7B" w:rsidRDefault="009B2E3A" w:rsidP="009B2E3A">
      <w:pPr>
        <w:widowControl/>
        <w:spacing w:after="240"/>
        <w:ind w:left="567" w:hanging="567"/>
      </w:pPr>
      <w:r w:rsidRPr="00912A7B">
        <w:t>73.</w:t>
      </w:r>
      <w:r w:rsidRPr="00912A7B">
        <w:tab/>
        <w:t xml:space="preserve">tomēr norāda, ka visā ES ir augsts valsts parāda līmenis un ka fiskālā telpa ir ierobežota; tādēļ uzsver, ka jebkādiem publiskā atbalsta pasākumiem, kuru mērķis ir mobilizēt privātās investīcijas, ir jābūt precīzi </w:t>
      </w:r>
      <w:proofErr w:type="spellStart"/>
      <w:r w:rsidRPr="00912A7B">
        <w:t>mērķvirzītiem</w:t>
      </w:r>
      <w:proofErr w:type="spellEnd"/>
      <w:r w:rsidRPr="00912A7B">
        <w:t>; norāda, ka minētā mērķa sasniegšanā ir izrādījušās veiksmīgas riska mazināšanas iniciatīvas, piemēram, izmantojot publiskās garantijas;</w:t>
      </w:r>
    </w:p>
    <w:p w14:paraId="30CD0094" w14:textId="77777777" w:rsidR="009B2E3A" w:rsidRPr="00912A7B" w:rsidRDefault="009B2E3A" w:rsidP="009B2E3A">
      <w:pPr>
        <w:widowControl/>
        <w:spacing w:after="240"/>
        <w:ind w:left="567" w:hanging="567"/>
      </w:pPr>
      <w:r w:rsidRPr="00912A7B">
        <w:t>74.</w:t>
      </w:r>
      <w:r w:rsidRPr="00912A7B">
        <w:tab/>
        <w:t xml:space="preserve">uzsver, ka pieaugošais dabas katastrofu biežums un ietekme rada milzīgu slogu publiskajām finansēm; atzīmē, ka parāda </w:t>
      </w:r>
      <w:proofErr w:type="spellStart"/>
      <w:r w:rsidRPr="00912A7B">
        <w:t>atmaksājamības</w:t>
      </w:r>
      <w:proofErr w:type="spellEnd"/>
      <w:r w:rsidRPr="00912A7B">
        <w:t xml:space="preserve"> analīzē šie nākotnes izdevumi pašlaik netiek ņemti vērā;</w:t>
      </w:r>
    </w:p>
    <w:p w14:paraId="439BF493" w14:textId="77777777" w:rsidR="009B2E3A" w:rsidRPr="00912A7B" w:rsidRDefault="009B2E3A" w:rsidP="009B2E3A">
      <w:pPr>
        <w:widowControl/>
        <w:spacing w:after="240"/>
        <w:ind w:left="567" w:hanging="567"/>
      </w:pPr>
      <w:r w:rsidRPr="00912A7B">
        <w:lastRenderedPageBreak/>
        <w:t>75.</w:t>
      </w:r>
      <w:r w:rsidRPr="00912A7B">
        <w:tab/>
        <w:t xml:space="preserve">gaida, ka Komisija un dalībvalstis noteiks vērienīgus mērķus un konkrētus pasākumus, lai izvairītos no pēkšņas publisko investīciju samazināšanās pēc 2026. gada, kad, pastāvot plaša tirdzniecības kara iespējamībai, kurš var ietekmēt investīciju piešķiršanu, ir jābeidzas Atveseļošanas un noturības mehānisma (ANM) un programmas </w:t>
      </w:r>
      <w:proofErr w:type="spellStart"/>
      <w:r w:rsidRPr="00912A7B">
        <w:rPr>
          <w:i/>
          <w:iCs/>
        </w:rPr>
        <w:t>InvestEU</w:t>
      </w:r>
      <w:proofErr w:type="spellEnd"/>
      <w:r w:rsidRPr="00912A7B">
        <w:t xml:space="preserve"> darbībai; pieņem zināšanai ANM būtiskos trūkumus, piemēram, reģionālo un vietējo pašpārvaldes iestāžu neiesaistīšanu no izstrādes līdz rezultātu sniegšanai, izmantojot vietējiem apstākļiem pielāgotu </w:t>
      </w:r>
      <w:proofErr w:type="spellStart"/>
      <w:r w:rsidRPr="00912A7B">
        <w:t>daudzlīmeņu</w:t>
      </w:r>
      <w:proofErr w:type="spellEnd"/>
      <w:r w:rsidRPr="00912A7B">
        <w:t xml:space="preserve"> pārvaldības pieeju; uzsver nepieciešamību atbalstīt publiskās investīcijas gan valsts, gan Eiropas līmenī, lai maksimāli izmantotu privātās investēšanas iespējas un finansētu kvalitatīvus sabiedriskos pakalpojumus un infrastruktūru; uzskata, ka šis satvars attiecīgā gadījumā būtu jāpastiprina ar ES līmeņa investīciju instrumentiem un rīkiem, kuri izstrādāti, lai līdz minimumam samazinātu izmaksas ES nodokļu maksātājiem un maksimāli palielinātu efektivitāti Eiropas sabiedriskā labuma nodrošināšanā, kas varētu būt arī solis ceļā uz kopīga droša aktīva ieviešanu; tādēļ atzinīgi vērtē priekšlikumu par </w:t>
      </w:r>
      <w:proofErr w:type="spellStart"/>
      <w:r w:rsidRPr="00912A7B">
        <w:rPr>
          <w:i/>
          <w:iCs/>
        </w:rPr>
        <w:t>Omnibus</w:t>
      </w:r>
      <w:proofErr w:type="spellEnd"/>
      <w:r w:rsidRPr="00912A7B">
        <w:t xml:space="preserve"> paketi programmai </w:t>
      </w:r>
      <w:proofErr w:type="spellStart"/>
      <w:r w:rsidRPr="00912A7B">
        <w:rPr>
          <w:i/>
          <w:iCs/>
        </w:rPr>
        <w:t>InvestEU</w:t>
      </w:r>
      <w:proofErr w:type="spellEnd"/>
      <w:r w:rsidRPr="00912A7B">
        <w:t>, kas mobilizēs papildu investīcijas par ievērojamu summu atlikušajam pašreizējās daudzgadu finanšu shēmas darbības laikam;</w:t>
      </w:r>
    </w:p>
    <w:p w14:paraId="510277D4" w14:textId="77777777" w:rsidR="009B2E3A" w:rsidRPr="00912A7B" w:rsidRDefault="009B2E3A" w:rsidP="009B2E3A">
      <w:pPr>
        <w:widowControl/>
        <w:spacing w:after="240"/>
        <w:ind w:left="567" w:hanging="567"/>
      </w:pPr>
      <w:r w:rsidRPr="00912A7B">
        <w:t>76.</w:t>
      </w:r>
      <w:r w:rsidRPr="00912A7B">
        <w:tab/>
        <w:t>norāda uz nepieciešamību efektīvi koordinēt valstu fiskālās politikas, lai ES saglabātu pietiekamu publisko investīciju līmeni;</w:t>
      </w:r>
    </w:p>
    <w:p w14:paraId="66BBE458" w14:textId="77777777" w:rsidR="009B2E3A" w:rsidRPr="00912A7B" w:rsidRDefault="009B2E3A" w:rsidP="009B2E3A">
      <w:pPr>
        <w:widowControl/>
        <w:spacing w:after="240"/>
        <w:ind w:left="567" w:hanging="567"/>
      </w:pPr>
      <w:r w:rsidRPr="00912A7B">
        <w:t>77.</w:t>
      </w:r>
      <w:r w:rsidRPr="00912A7B">
        <w:tab/>
        <w:t>atzīmē — lai ievērotu ES fiskālo satvaru, ir sagaidāms, ka ES valstu valdības 2025. gadā ieņems ierobežojošu fiskālo nostāju, kas varētu būt pretrunā ES vajadzībai investēt; uzsver — tā kā ES valstu valdības cenšas tikt galā katra ar savu fiskālo slogu, investīciju trūkuma novēršanai ir nepieciešami ES mēroga investīciju instrumenti;</w:t>
      </w:r>
    </w:p>
    <w:p w14:paraId="5133E620" w14:textId="77777777" w:rsidR="009B2E3A" w:rsidRPr="00912A7B" w:rsidRDefault="009B2E3A" w:rsidP="009B2E3A">
      <w:pPr>
        <w:widowControl/>
        <w:spacing w:after="240"/>
        <w:ind w:left="567" w:hanging="567"/>
      </w:pPr>
      <w:r w:rsidRPr="00912A7B">
        <w:t>78.</w:t>
      </w:r>
      <w:r w:rsidRPr="00912A7B">
        <w:tab/>
        <w:t xml:space="preserve">atgādina, ka atveseļošanas fonds </w:t>
      </w:r>
      <w:proofErr w:type="spellStart"/>
      <w:r w:rsidRPr="00912A7B">
        <w:rPr>
          <w:i/>
          <w:iCs/>
        </w:rPr>
        <w:t>NextGenerationEU</w:t>
      </w:r>
      <w:proofErr w:type="spellEnd"/>
      <w:r w:rsidRPr="00912A7B">
        <w:t xml:space="preserve"> ir vislielākais stimulu kopums, ko ES jebkad ir finansējusi, lai atbalstītu ekonomikas atveseļošanu un zaļo un digitālo pārkārtošanos; norāda, ka joprojām nav atrisināti svarīgi jautājumi attiecībā uz </w:t>
      </w:r>
      <w:proofErr w:type="spellStart"/>
      <w:r w:rsidRPr="00912A7B">
        <w:rPr>
          <w:i/>
          <w:iCs/>
        </w:rPr>
        <w:t>NextGenerationEU</w:t>
      </w:r>
      <w:proofErr w:type="spellEnd"/>
      <w:r w:rsidRPr="00912A7B">
        <w:t xml:space="preserve"> refinansēšanu; aicina Padomi steidzamības kārtā pieņemt jaunus pašu resursus, lai darītu iespējamu ar </w:t>
      </w:r>
      <w:proofErr w:type="spellStart"/>
      <w:r w:rsidRPr="00912A7B">
        <w:rPr>
          <w:i/>
          <w:iCs/>
        </w:rPr>
        <w:t>NextGenerationEU</w:t>
      </w:r>
      <w:proofErr w:type="spellEnd"/>
      <w:r w:rsidRPr="00912A7B">
        <w:t xml:space="preserve"> saistīto aizņēmumu ilgtspējīgu atmaksu; uzskata, ka būtu jāizpēta visi instrumenti un rīki, lai nodrošinātu ES nepieciešamos līdzekļus;</w:t>
      </w:r>
    </w:p>
    <w:p w14:paraId="4F103184" w14:textId="77777777" w:rsidR="009B2E3A" w:rsidRPr="00912A7B" w:rsidRDefault="009B2E3A" w:rsidP="009B2E3A">
      <w:pPr>
        <w:widowControl/>
        <w:spacing w:after="240"/>
        <w:ind w:left="567" w:hanging="567"/>
      </w:pPr>
      <w:r w:rsidRPr="00912A7B">
        <w:t>79.</w:t>
      </w:r>
      <w:r w:rsidRPr="00912A7B">
        <w:tab/>
        <w:t xml:space="preserve">atzīmē, ka kopīga droša aktīva emitēšana varētu radīt atskaites punktu, kas atvieglotu KTS izveides pabeigšanu, uzlabotu monetārās politikas transmisiju </w:t>
      </w:r>
      <w:proofErr w:type="spellStart"/>
      <w:r w:rsidRPr="00912A7B">
        <w:t>eurozonā</w:t>
      </w:r>
      <w:proofErr w:type="spellEnd"/>
      <w:r w:rsidRPr="00912A7B">
        <w:t xml:space="preserve">, pastiprinātu </w:t>
      </w:r>
      <w:proofErr w:type="spellStart"/>
      <w:r w:rsidRPr="00912A7B">
        <w:t>euro</w:t>
      </w:r>
      <w:proofErr w:type="spellEnd"/>
      <w:r w:rsidRPr="00912A7B">
        <w:t xml:space="preserve"> starptautisko lomu un apmierinātu dažas no </w:t>
      </w:r>
      <w:proofErr w:type="spellStart"/>
      <w:r w:rsidRPr="00912A7B">
        <w:rPr>
          <w:i/>
          <w:iCs/>
        </w:rPr>
        <w:t>Draghi</w:t>
      </w:r>
      <w:proofErr w:type="spellEnd"/>
      <w:r w:rsidRPr="00912A7B">
        <w:t xml:space="preserve"> ziņojumā konstatētajām vajadzībām pēc investīcijām; šajā sakarā atkārtoti norāda, ka kopīga aizņemšanās, emitējot ES obligācijas, ir dzīvotspējīgs risinājums, lai nodrošinātu to, ka ES rīcībā ir pietiekami līdzekļi reaģēšanai uz akūtām ES mēroga krīzēm, tādām kā pašreizējā krīze drošības un aizsardzības jomā; aicina Komisiju turpināt diskusijas par to, kā novērst ievērojamo investīciju trūkumu ES, kas konstatēts </w:t>
      </w:r>
      <w:proofErr w:type="spellStart"/>
      <w:r w:rsidRPr="00912A7B">
        <w:rPr>
          <w:i/>
          <w:iCs/>
        </w:rPr>
        <w:t>Draghi</w:t>
      </w:r>
      <w:proofErr w:type="spellEnd"/>
      <w:r w:rsidRPr="00912A7B">
        <w:t xml:space="preserve"> ziņojumā, un iesniegt konkrētus priekšlikumus par finansēšanas iespējām;</w:t>
      </w:r>
    </w:p>
    <w:p w14:paraId="3B487144" w14:textId="77777777" w:rsidR="009B2E3A" w:rsidRPr="00912A7B" w:rsidRDefault="009B2E3A" w:rsidP="009B2E3A">
      <w:pPr>
        <w:widowControl/>
        <w:spacing w:after="240"/>
        <w:ind w:left="567" w:hanging="567"/>
      </w:pPr>
      <w:r w:rsidRPr="00912A7B">
        <w:t>80.</w:t>
      </w:r>
      <w:r w:rsidRPr="00912A7B">
        <w:tab/>
        <w:t>atzinīgi vērtē Komisijas nodomu pastiprināt privāto investoru līdzdalību Eiropas finanšu produktos sadarbībā ar Eiropas Investīciju bankas (EIB) grupu, Eiropas Stabilitātes mehānismu un valstu attīstību veicinošajām bankām; iesaka ES līmenī emitētus drošos aktīvus integrēt uzkrājumu produktos, kas paredzēti darba ņēmējiem;</w:t>
      </w:r>
    </w:p>
    <w:p w14:paraId="652E0F26" w14:textId="77777777" w:rsidR="009B2E3A" w:rsidRPr="00912A7B" w:rsidRDefault="009B2E3A" w:rsidP="009B2E3A">
      <w:pPr>
        <w:widowControl/>
        <w:spacing w:after="240"/>
        <w:ind w:left="567" w:hanging="567"/>
      </w:pPr>
      <w:r w:rsidRPr="00912A7B">
        <w:t>81.</w:t>
      </w:r>
      <w:r w:rsidRPr="00912A7B">
        <w:tab/>
        <w:t xml:space="preserve">uzskata — lai apmierinātu ģeopolitisko saspīlējumu izraisītās paaugstinātās vajadzības aizsardzības jomā, ir nekavējoties jāmobilizē finansiāls atbalsts, neskarot noteiktu dalībvalstu, it īpaši to, kuras ir ieņēmušas neitralitātes statusu, drošības un aizsardzības </w:t>
      </w:r>
      <w:r w:rsidRPr="00912A7B">
        <w:lastRenderedPageBreak/>
        <w:t xml:space="preserve">politikas īpašo raksturu; atzinīgi vērtē gaidāmo Komisijas priekšlikumu par jaunu finanšu instrumentu </w:t>
      </w:r>
      <w:r w:rsidRPr="00912A7B">
        <w:rPr>
          <w:i/>
          <w:iCs/>
        </w:rPr>
        <w:t>SAFE</w:t>
      </w:r>
      <w:r w:rsidRPr="00912A7B">
        <w:t xml:space="preserve"> līdz 150 miljardu EUR apjomā, kas paredzēts tam, lai plāna </w:t>
      </w:r>
      <w:proofErr w:type="spellStart"/>
      <w:r w:rsidRPr="00912A7B">
        <w:rPr>
          <w:i/>
          <w:iCs/>
        </w:rPr>
        <w:t>ReArm</w:t>
      </w:r>
      <w:proofErr w:type="spellEnd"/>
      <w:r w:rsidRPr="00912A7B">
        <w:rPr>
          <w:i/>
          <w:iCs/>
        </w:rPr>
        <w:t xml:space="preserve"> </w:t>
      </w:r>
      <w:proofErr w:type="spellStart"/>
      <w:r w:rsidRPr="00912A7B">
        <w:rPr>
          <w:i/>
          <w:iCs/>
        </w:rPr>
        <w:t>Europe</w:t>
      </w:r>
      <w:proofErr w:type="spellEnd"/>
      <w:r w:rsidRPr="00912A7B">
        <w:t xml:space="preserve"> ietvaros palielinātu ES aizsardzības spēju; tomēr pauž nožēlu par to, ka Komisija ir izvēlējusies savu tiesību akta priekšlikumu balstīt uz LESD 122. pantu, kas neparedz apspriešanos ar Parlamentu; atgādina, ka efektīva aizsardzības spējas attīstīšana ir atkarīga no kopīgas ES līmeņa investēšanas, kas nodrošina </w:t>
      </w:r>
      <w:proofErr w:type="spellStart"/>
      <w:r w:rsidRPr="00912A7B">
        <w:t>sadarbspēju</w:t>
      </w:r>
      <w:proofErr w:type="spellEnd"/>
      <w:r w:rsidRPr="00912A7B">
        <w:t xml:space="preserve"> un sniedz ieguvumus efektivitātes ziņā, nevis no paļaušanās galvenokārt uz sadrumstalotiem valstu izdevumiem, koordinēti aktivizējot valstu izņēmuma klauzulas, lai būtu iespējams veikt ar aizsardzību saistītas investīcijas;</w:t>
      </w:r>
    </w:p>
    <w:p w14:paraId="33080FA7" w14:textId="77777777" w:rsidR="009B2E3A" w:rsidRPr="00912A7B" w:rsidRDefault="009B2E3A" w:rsidP="009B2E3A">
      <w:pPr>
        <w:widowControl/>
        <w:spacing w:after="240"/>
        <w:ind w:left="567" w:hanging="567"/>
      </w:pPr>
      <w:r w:rsidRPr="00912A7B">
        <w:t>82.</w:t>
      </w:r>
      <w:r w:rsidRPr="00912A7B">
        <w:tab/>
        <w:t xml:space="preserve">atzinīgi vērtē Komisijas un EIB grupas kopīgo iniciatīvu izveidot fondu </w:t>
      </w:r>
      <w:proofErr w:type="spellStart"/>
      <w:r w:rsidRPr="00912A7B">
        <w:t>fondu</w:t>
      </w:r>
      <w:proofErr w:type="spellEnd"/>
      <w:r w:rsidRPr="00912A7B">
        <w:t xml:space="preserve"> “Aizsardzības kapitāla mehānisms”, kura budžets laikposmam no 2024. gada līdz 2027. gadam ir 175 miljoni EUR un kura mērķis ir atbalstīt privātās investīcijas Eiropas MVU, kuri izstrādā inovatīvas divējāda lietojuma aizsardzības tehnoloģijas;</w:t>
      </w:r>
    </w:p>
    <w:p w14:paraId="574D5441" w14:textId="77777777" w:rsidR="009B2E3A" w:rsidRPr="00912A7B" w:rsidRDefault="009B2E3A" w:rsidP="009B2E3A">
      <w:pPr>
        <w:widowControl/>
        <w:spacing w:after="240"/>
        <w:ind w:left="567" w:hanging="567"/>
        <w:rPr>
          <w:bCs/>
          <w:iCs/>
        </w:rPr>
      </w:pPr>
      <w:r w:rsidRPr="00912A7B">
        <w:t>83.</w:t>
      </w:r>
      <w:r w:rsidRPr="00912A7B">
        <w:tab/>
        <w:t xml:space="preserve">atzinīgi vērtē EIB grupas apņemšanos, kas izklāstīta tās 2024.–2027. gada stratēģiskajā ceļvedī, palīdzēt panākt progresu KTS izveidē, mobilizējot privāto kapitālu produktīvām investīcijām un atbalstot ieguvumus svarīgākajās ES politikas jomās, inovāciju visā uzņēmumu dzīves ciklā, </w:t>
      </w:r>
      <w:proofErr w:type="spellStart"/>
      <w:r w:rsidRPr="00912A7B">
        <w:t>iespējkapitāla</w:t>
      </w:r>
      <w:proofErr w:type="spellEnd"/>
      <w:r w:rsidRPr="00912A7B">
        <w:t xml:space="preserve"> finansēšanu un augstāka riska pašu kapitāla finansēšanu </w:t>
      </w:r>
      <w:proofErr w:type="spellStart"/>
      <w:r w:rsidRPr="00912A7B">
        <w:t>jaunuzņēmumu</w:t>
      </w:r>
      <w:proofErr w:type="spellEnd"/>
      <w:r w:rsidRPr="00912A7B">
        <w:t xml:space="preserve"> un augošu uzņēmumu vajadzībām; atgādina ES publiskās bankas pienākumu atbalstīt ilgtermiņa pārkārtošanās projektus, kuru īstenošanai ir grūti iegūt privātā sektora finansējumu;</w:t>
      </w:r>
    </w:p>
    <w:p w14:paraId="4CA6329B" w14:textId="77777777" w:rsidR="009B2E3A" w:rsidRPr="00912A7B" w:rsidRDefault="009B2E3A" w:rsidP="009B2E3A">
      <w:pPr>
        <w:widowControl/>
        <w:spacing w:after="240"/>
        <w:ind w:left="567" w:hanging="567"/>
        <w:rPr>
          <w:bCs/>
          <w:iCs/>
        </w:rPr>
      </w:pPr>
      <w:r w:rsidRPr="00912A7B">
        <w:t>84.</w:t>
      </w:r>
      <w:r w:rsidRPr="00912A7B">
        <w:tab/>
        <w:t>uzsver nepieciešamību vienkāršot, racionalizēt, optimizēt un konsolidēt EIB procesus un pilnvaras, lai palielinātu sinerģiju un efektivitāti, uzlabotu izmantoto līdzekļu atbilstību mērķu sasniegšanai un samazinātu administratīvo slogu, ziņošanas izmaksas un sarežģītību uzņēmumiem un projektiem, jo pretējā gadījumā uzņēmumiem nebūs motivācijas meklēt finansējumu sarežģīto procedūru, augsto atbilstības nodrošināšanas izmaksu un regulatīvās nenoteiktības dēļ;</w:t>
      </w:r>
    </w:p>
    <w:p w14:paraId="1EF03ADA" w14:textId="77777777" w:rsidR="009B2E3A" w:rsidRPr="00912A7B" w:rsidRDefault="009B2E3A" w:rsidP="009B2E3A">
      <w:pPr>
        <w:widowControl/>
        <w:spacing w:after="240"/>
        <w:ind w:left="567" w:hanging="567"/>
        <w:rPr>
          <w:bCs/>
          <w:iCs/>
        </w:rPr>
      </w:pPr>
      <w:r w:rsidRPr="00912A7B">
        <w:t>85.</w:t>
      </w:r>
      <w:r w:rsidRPr="00912A7B">
        <w:tab/>
        <w:t xml:space="preserve">atbalsta to, ka aizvien vairāk tiek izmantoti augstāka riska instrumenti, tādi kā EIB veiktā tiešā un netiešā pašu kapitāla un </w:t>
      </w:r>
      <w:proofErr w:type="spellStart"/>
      <w:r w:rsidRPr="00912A7B">
        <w:t>kvazikapitāla</w:t>
      </w:r>
      <w:proofErr w:type="spellEnd"/>
      <w:r w:rsidRPr="00912A7B">
        <w:t xml:space="preserve"> finansēšana, tostarp ar Eiropas Investīciju fonda palīdzību, lai veicinātu investēšanu uzņēmumos un fondos, it īpaši, izmantojot </w:t>
      </w:r>
      <w:proofErr w:type="spellStart"/>
      <w:r w:rsidRPr="00912A7B">
        <w:t>iespējkapitālu</w:t>
      </w:r>
      <w:proofErr w:type="spellEnd"/>
      <w:r w:rsidRPr="00912A7B">
        <w:t xml:space="preserve"> un riska parādu, vienlaikus uzsverot, ka, izmantojot augstāka riska instrumentus, ir jābūt skaidram riska satvaram un izmērāmiem snieguma rādītājiem;</w:t>
      </w:r>
    </w:p>
    <w:p w14:paraId="010E8F2C" w14:textId="77777777" w:rsidR="009B2E3A" w:rsidRPr="00912A7B" w:rsidRDefault="009B2E3A" w:rsidP="009B2E3A">
      <w:pPr>
        <w:widowControl/>
        <w:spacing w:after="240"/>
        <w:ind w:left="567" w:hanging="567"/>
      </w:pPr>
      <w:r w:rsidRPr="00912A7B">
        <w:t>86.</w:t>
      </w:r>
      <w:r w:rsidRPr="00912A7B">
        <w:tab/>
        <w:t xml:space="preserve">uzskata, ka publiskais atbalsts investēšanai neaprobežojas ar piekļuvi finansējumam un ka tam būtu jāietver arī tehniskā palīdzība, projektu vadība, spējas veidošana, pētījumu </w:t>
      </w:r>
      <w:proofErr w:type="spellStart"/>
      <w:r w:rsidRPr="00912A7B">
        <w:t>komercializācija</w:t>
      </w:r>
      <w:proofErr w:type="spellEnd"/>
      <w:r w:rsidRPr="00912A7B">
        <w:t xml:space="preserve">, atbalsts piekļuvei privātajam finansējumam un universitāšu un </w:t>
      </w:r>
      <w:proofErr w:type="spellStart"/>
      <w:r w:rsidRPr="00912A7B">
        <w:t>iespējkapitālu</w:t>
      </w:r>
      <w:proofErr w:type="spellEnd"/>
      <w:r w:rsidRPr="00912A7B">
        <w:t xml:space="preserve"> nodrošinošo vienību sadarbības veicināšana, lai sekmētu inovāciju un konkurētspēju;</w:t>
      </w:r>
    </w:p>
    <w:p w14:paraId="26973386" w14:textId="77777777" w:rsidR="009B2E3A" w:rsidRPr="00912A7B" w:rsidRDefault="009B2E3A" w:rsidP="009B2E3A">
      <w:pPr>
        <w:pStyle w:val="NormalHanging12a"/>
      </w:pPr>
      <w:r w:rsidRPr="00912A7B">
        <w:t>87.</w:t>
      </w:r>
      <w:r w:rsidRPr="00912A7B">
        <w:tab/>
        <w:t>aicina Komisiju ierosināt konkurētspējas koordinēšanas instrumentu, kas arī palīdzētu noteikt Eiropas industriālās vajadzības, trūkumus un tirgus iespējas, un sagatavot atbilstošus ieteikumus; uzsver, ka šim instrumentam vajadzētu būt saistītam ar gaidāmo Konkurētspējas fondu, lai nodrošinātu efektīvus risinājumus industriāliem izaicinājumiem visā ES;</w:t>
      </w:r>
    </w:p>
    <w:p w14:paraId="11A0596D" w14:textId="77777777" w:rsidR="009B2E3A" w:rsidRPr="00912A7B" w:rsidRDefault="009B2E3A" w:rsidP="009B2E3A">
      <w:pPr>
        <w:widowControl/>
        <w:spacing w:after="240"/>
        <w:ind w:left="567" w:hanging="567"/>
      </w:pPr>
      <w:r w:rsidRPr="00912A7B">
        <w:lastRenderedPageBreak/>
        <w:t>88.</w:t>
      </w:r>
      <w:r w:rsidRPr="00912A7B">
        <w:tab/>
        <w:t>aicina Komisiju Eiropas pusgadā likt lielāku uzsvaru uz uzkrājumu un investīciju savienības prioritātēm, nodrošinot, ka tiek pastāvīgi veicinātas, uzraudzītas un izvērtētas strukturālas reformas un pasākumi ES kapitāla tirgu padziļināšanai un integrēšanai;</w:t>
      </w:r>
    </w:p>
    <w:p w14:paraId="4F935CFC" w14:textId="77777777" w:rsidR="009B2E3A" w:rsidRPr="00912A7B" w:rsidRDefault="009B2E3A" w:rsidP="009B2E3A">
      <w:pPr>
        <w:widowControl/>
        <w:spacing w:after="240"/>
        <w:ind w:left="567" w:hanging="567"/>
      </w:pPr>
      <w:r w:rsidRPr="00912A7B">
        <w:t>89.</w:t>
      </w:r>
      <w:r w:rsidRPr="00912A7B">
        <w:tab/>
        <w:t xml:space="preserve">prasa Komisijai gaidāmajā Konkurētspējas fondā, programmā </w:t>
      </w:r>
      <w:proofErr w:type="spellStart"/>
      <w:r w:rsidRPr="00912A7B">
        <w:rPr>
          <w:i/>
          <w:iCs/>
        </w:rPr>
        <w:t>TechEU</w:t>
      </w:r>
      <w:proofErr w:type="spellEnd"/>
      <w:r w:rsidRPr="00912A7B">
        <w:t xml:space="preserve"> un visās līdzīgajās iniciatīvās iekļaut īpašus pasākumus </w:t>
      </w:r>
      <w:proofErr w:type="spellStart"/>
      <w:r w:rsidRPr="00912A7B">
        <w:t>iespējkapitāla</w:t>
      </w:r>
      <w:proofErr w:type="spellEnd"/>
      <w:r w:rsidRPr="00912A7B">
        <w:t xml:space="preserve"> popularizēšanai;</w:t>
      </w:r>
    </w:p>
    <w:p w14:paraId="63632273" w14:textId="77777777" w:rsidR="009B2E3A" w:rsidRPr="00912A7B" w:rsidRDefault="009B2E3A" w:rsidP="009B2E3A">
      <w:pPr>
        <w:widowControl/>
        <w:spacing w:after="240"/>
        <w:ind w:left="567" w:hanging="567"/>
      </w:pPr>
      <w:r w:rsidRPr="00912A7B">
        <w:t>90.</w:t>
      </w:r>
      <w:r w:rsidRPr="00912A7B">
        <w:tab/>
        <w:t>atzīst konkurences politikas un valsts atbalsta lomu Eiropas rūpniecības attīstības atbalstīšanā; tomēr uzskata, ka valsts atbalsts var izraisīt vēl lielāku vienotā tirgus sadrumstalotību;</w:t>
      </w:r>
    </w:p>
    <w:p w14:paraId="6D2D7156" w14:textId="77777777" w:rsidR="009B2E3A" w:rsidRPr="00912A7B" w:rsidRDefault="009B2E3A" w:rsidP="009B2E3A">
      <w:pPr>
        <w:widowControl/>
        <w:spacing w:after="240"/>
        <w:ind w:left="567" w:hanging="567"/>
      </w:pPr>
      <w:r w:rsidRPr="00912A7B">
        <w:t>91.</w:t>
      </w:r>
      <w:r w:rsidRPr="00912A7B">
        <w:tab/>
        <w:t xml:space="preserve">atzīmē, ka Komisija līdz 2027. gada 2. ceturksnim publicēs termiņa </w:t>
      </w:r>
      <w:proofErr w:type="spellStart"/>
      <w:r w:rsidRPr="00912A7B">
        <w:t>vidusposma</w:t>
      </w:r>
      <w:proofErr w:type="spellEnd"/>
      <w:r w:rsidRPr="00912A7B">
        <w:t xml:space="preserve"> pārskatu par uzkrājumu un investīciju savienību;</w:t>
      </w:r>
    </w:p>
    <w:p w14:paraId="0361EF1A" w14:textId="77777777" w:rsidR="009B2E3A" w:rsidRPr="00912A7B" w:rsidRDefault="009B2E3A" w:rsidP="009B2E3A">
      <w:pPr>
        <w:widowControl/>
        <w:spacing w:after="240"/>
        <w:ind w:left="567" w:hanging="567"/>
      </w:pPr>
      <w:r w:rsidRPr="00912A7B">
        <w:t>92.</w:t>
      </w:r>
      <w:r w:rsidRPr="00912A7B">
        <w:tab/>
        <w:t>uzsver, ka Parlaments būtu pienācīgi jāiesaista uzkrājumu un investīciju savienības izveidē; aicina Komisiju pirms jaunu priekšlikumu iesniegšanas un jebkādu pielāgojumu veikšanas esošajos priekšlikumos iesaistīties agrīnās diskusijās KTS un finanšu pakalpojumu jomā;</w:t>
      </w:r>
    </w:p>
    <w:p w14:paraId="5F1E597D" w14:textId="77777777" w:rsidR="009B2E3A" w:rsidRPr="00912A7B" w:rsidRDefault="009B2E3A" w:rsidP="009B2E3A">
      <w:pPr>
        <w:pStyle w:val="NormalCenter12a"/>
      </w:pPr>
      <w:r w:rsidRPr="00912A7B">
        <w:t>°</w:t>
      </w:r>
    </w:p>
    <w:p w14:paraId="2A5BEE39" w14:textId="77777777" w:rsidR="009B2E3A" w:rsidRPr="00912A7B" w:rsidRDefault="009B2E3A" w:rsidP="009B2E3A">
      <w:pPr>
        <w:pStyle w:val="NormalCenter12a"/>
      </w:pPr>
      <w:r w:rsidRPr="00912A7B">
        <w:t>°</w:t>
      </w:r>
      <w:r w:rsidRPr="00912A7B">
        <w:tab/>
        <w:t>°</w:t>
      </w:r>
    </w:p>
    <w:p w14:paraId="23CEC412" w14:textId="18281CCE" w:rsidR="000E046B" w:rsidRPr="00912A7B" w:rsidRDefault="009B2E3A" w:rsidP="000E046B">
      <w:pPr>
        <w:pStyle w:val="EPComma"/>
      </w:pPr>
      <w:r w:rsidRPr="00912A7B">
        <w:t>93.</w:t>
      </w:r>
      <w:r w:rsidRPr="00912A7B">
        <w:tab/>
        <w:t>uzdod priekšsēdētājai šo rezolūciju nosūtīt Padomei un Komisijai.</w:t>
      </w:r>
    </w:p>
    <w:p w14:paraId="019095F3" w14:textId="51E889F7" w:rsidR="00E365E1" w:rsidRPr="00912A7B" w:rsidRDefault="00E365E1" w:rsidP="00876D17"/>
    <w:sectPr w:rsidR="00E365E1" w:rsidRPr="00912A7B" w:rsidSect="000E04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B9C50" w14:textId="77777777" w:rsidR="00876D17" w:rsidRPr="000E046B" w:rsidRDefault="00876D17">
      <w:r w:rsidRPr="000E046B">
        <w:separator/>
      </w:r>
    </w:p>
  </w:endnote>
  <w:endnote w:type="continuationSeparator" w:id="0">
    <w:p w14:paraId="38E3DE69" w14:textId="77777777" w:rsidR="00876D17" w:rsidRPr="000E046B" w:rsidRDefault="00876D17">
      <w:r w:rsidRPr="000E04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2B5A5" w14:textId="77777777" w:rsidR="00064002" w:rsidRPr="000E04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07BDA" w14:textId="77777777" w:rsidR="00064002" w:rsidRPr="000E04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CF380" w14:textId="77777777" w:rsidR="00064002" w:rsidRPr="000E04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7AFDB" w14:textId="77777777" w:rsidR="00876D17" w:rsidRPr="000E046B" w:rsidRDefault="00876D17">
      <w:r w:rsidRPr="000E046B">
        <w:separator/>
      </w:r>
    </w:p>
  </w:footnote>
  <w:footnote w:type="continuationSeparator" w:id="0">
    <w:p w14:paraId="62BC3B2A" w14:textId="77777777" w:rsidR="00876D17" w:rsidRPr="000E046B" w:rsidRDefault="00876D17">
      <w:r w:rsidRPr="000E046B">
        <w:continuationSeparator/>
      </w:r>
    </w:p>
  </w:footnote>
  <w:footnote w:id="1">
    <w:p w14:paraId="3A876999" w14:textId="31393C88"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OV C 395, 29.9.2021., 89. lpp.</w:t>
      </w:r>
    </w:p>
  </w:footnote>
  <w:footnote w:id="2">
    <w:p w14:paraId="77EAE380" w14:textId="0C5B3946"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OV C 265, 11.8.2017., 76. lpp.</w:t>
      </w:r>
    </w:p>
  </w:footnote>
  <w:footnote w:id="3">
    <w:p w14:paraId="0926AC4D" w14:textId="7925B34B"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i/>
          <w:iCs/>
          <w:sz w:val="24"/>
          <w:lang w:val="lv-LV"/>
        </w:rPr>
        <w:t xml:space="preserve"> </w:t>
      </w:r>
      <w:r w:rsidR="000E046B" w:rsidRPr="000E046B">
        <w:rPr>
          <w:i/>
          <w:iCs/>
          <w:sz w:val="24"/>
          <w:lang w:val="lv-LV"/>
        </w:rPr>
        <w:tab/>
      </w:r>
      <w:proofErr w:type="spellStart"/>
      <w:r w:rsidRPr="000E046B">
        <w:rPr>
          <w:i/>
          <w:iCs/>
          <w:sz w:val="24"/>
          <w:lang w:val="lv-LV"/>
        </w:rPr>
        <w:t>Draghi</w:t>
      </w:r>
      <w:proofErr w:type="spellEnd"/>
      <w:r w:rsidRPr="000E046B">
        <w:rPr>
          <w:sz w:val="24"/>
          <w:lang w:val="lv-LV"/>
        </w:rPr>
        <w:t xml:space="preserve"> ziņojums.</w:t>
      </w:r>
    </w:p>
  </w:footnote>
  <w:footnote w:id="4">
    <w:p w14:paraId="2BACB0C2" w14:textId="0AC69808"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i/>
          <w:iCs/>
          <w:sz w:val="24"/>
          <w:lang w:val="lv-LV"/>
        </w:rPr>
        <w:t xml:space="preserve"> </w:t>
      </w:r>
      <w:r w:rsidR="000E046B" w:rsidRPr="000E046B">
        <w:rPr>
          <w:i/>
          <w:iCs/>
          <w:sz w:val="24"/>
          <w:lang w:val="lv-LV"/>
        </w:rPr>
        <w:tab/>
      </w:r>
      <w:proofErr w:type="spellStart"/>
      <w:r w:rsidRPr="000E046B">
        <w:rPr>
          <w:i/>
          <w:iCs/>
          <w:sz w:val="24"/>
          <w:lang w:val="lv-LV"/>
        </w:rPr>
        <w:t>Draghi</w:t>
      </w:r>
      <w:proofErr w:type="spellEnd"/>
      <w:r w:rsidRPr="000E046B">
        <w:rPr>
          <w:sz w:val="24"/>
          <w:lang w:val="lv-LV"/>
        </w:rPr>
        <w:t xml:space="preserve"> ziņojums.</w:t>
      </w:r>
    </w:p>
  </w:footnote>
  <w:footnote w:id="5">
    <w:p w14:paraId="1B05D174" w14:textId="7AA55074"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i/>
          <w:iCs/>
          <w:sz w:val="24"/>
          <w:lang w:val="lv-LV"/>
        </w:rPr>
        <w:t xml:space="preserve"> </w:t>
      </w:r>
      <w:r w:rsidR="000E046B" w:rsidRPr="000E046B">
        <w:rPr>
          <w:i/>
          <w:iCs/>
          <w:sz w:val="24"/>
          <w:lang w:val="lv-LV"/>
        </w:rPr>
        <w:tab/>
      </w:r>
      <w:proofErr w:type="spellStart"/>
      <w:r w:rsidRPr="000E046B">
        <w:rPr>
          <w:i/>
          <w:iCs/>
          <w:sz w:val="24"/>
          <w:lang w:val="lv-LV"/>
        </w:rPr>
        <w:t>Draghi</w:t>
      </w:r>
      <w:proofErr w:type="spellEnd"/>
      <w:r w:rsidRPr="000E046B">
        <w:rPr>
          <w:sz w:val="24"/>
          <w:lang w:val="lv-LV"/>
        </w:rPr>
        <w:t xml:space="preserve"> ziņojums.</w:t>
      </w:r>
    </w:p>
  </w:footnote>
  <w:footnote w:id="6">
    <w:p w14:paraId="494113DA" w14:textId="7D58050F"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ASV Ekonomiskās analīzes birojs, </w:t>
      </w:r>
      <w:proofErr w:type="spellStart"/>
      <w:r w:rsidRPr="000E046B">
        <w:rPr>
          <w:i/>
          <w:iCs/>
          <w:sz w:val="24"/>
          <w:lang w:val="lv-LV"/>
        </w:rPr>
        <w:t>Personal</w:t>
      </w:r>
      <w:proofErr w:type="spellEnd"/>
      <w:r w:rsidRPr="000E046B">
        <w:rPr>
          <w:i/>
          <w:iCs/>
          <w:sz w:val="24"/>
          <w:lang w:val="lv-LV"/>
        </w:rPr>
        <w:t xml:space="preserve"> </w:t>
      </w:r>
      <w:proofErr w:type="spellStart"/>
      <w:r w:rsidRPr="000E046B">
        <w:rPr>
          <w:i/>
          <w:iCs/>
          <w:sz w:val="24"/>
          <w:lang w:val="lv-LV"/>
        </w:rPr>
        <w:t>Income</w:t>
      </w:r>
      <w:proofErr w:type="spellEnd"/>
      <w:r w:rsidRPr="000E046B">
        <w:rPr>
          <w:i/>
          <w:iCs/>
          <w:sz w:val="24"/>
          <w:lang w:val="lv-LV"/>
        </w:rPr>
        <w:t xml:space="preserve"> </w:t>
      </w:r>
      <w:proofErr w:type="spellStart"/>
      <w:r w:rsidRPr="000E046B">
        <w:rPr>
          <w:i/>
          <w:iCs/>
          <w:sz w:val="24"/>
          <w:lang w:val="lv-LV"/>
        </w:rPr>
        <w:t>and</w:t>
      </w:r>
      <w:proofErr w:type="spellEnd"/>
      <w:r w:rsidRPr="000E046B">
        <w:rPr>
          <w:i/>
          <w:iCs/>
          <w:sz w:val="24"/>
          <w:lang w:val="lv-LV"/>
        </w:rPr>
        <w:t xml:space="preserve"> </w:t>
      </w:r>
      <w:proofErr w:type="spellStart"/>
      <w:r w:rsidRPr="000E046B">
        <w:rPr>
          <w:i/>
          <w:iCs/>
          <w:sz w:val="24"/>
          <w:lang w:val="lv-LV"/>
        </w:rPr>
        <w:t>Its</w:t>
      </w:r>
      <w:proofErr w:type="spellEnd"/>
      <w:r w:rsidRPr="000E046B">
        <w:rPr>
          <w:i/>
          <w:iCs/>
          <w:sz w:val="24"/>
          <w:lang w:val="lv-LV"/>
        </w:rPr>
        <w:t xml:space="preserve"> </w:t>
      </w:r>
      <w:proofErr w:type="spellStart"/>
      <w:r w:rsidRPr="000E046B">
        <w:rPr>
          <w:i/>
          <w:iCs/>
          <w:sz w:val="24"/>
          <w:lang w:val="lv-LV"/>
        </w:rPr>
        <w:t>Disposition</w:t>
      </w:r>
      <w:proofErr w:type="spellEnd"/>
      <w:r w:rsidRPr="000E046B">
        <w:rPr>
          <w:sz w:val="24"/>
          <w:lang w:val="lv-LV"/>
        </w:rPr>
        <w:t xml:space="preserve"> (ikmēneša izdevums), 2025. g.</w:t>
      </w:r>
    </w:p>
  </w:footnote>
  <w:footnote w:id="7">
    <w:p w14:paraId="60A35B53" w14:textId="34C71945" w:rsidR="009B2E3A" w:rsidRPr="000E046B" w:rsidRDefault="009B2E3A" w:rsidP="00912A7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Eiropas Savienības Statistikas birojs (</w:t>
      </w:r>
      <w:proofErr w:type="spellStart"/>
      <w:r w:rsidRPr="000E046B">
        <w:rPr>
          <w:i/>
          <w:iCs/>
          <w:sz w:val="24"/>
          <w:lang w:val="lv-LV"/>
        </w:rPr>
        <w:t>Eurostat</w:t>
      </w:r>
      <w:proofErr w:type="spellEnd"/>
      <w:r w:rsidRPr="000E046B">
        <w:rPr>
          <w:sz w:val="24"/>
          <w:lang w:val="lv-LV"/>
        </w:rPr>
        <w:t xml:space="preserve">), </w:t>
      </w:r>
      <w:proofErr w:type="spellStart"/>
      <w:r w:rsidRPr="000E046B">
        <w:rPr>
          <w:i/>
          <w:iCs/>
          <w:sz w:val="24"/>
          <w:lang w:val="lv-LV"/>
        </w:rPr>
        <w:t>Financial</w:t>
      </w:r>
      <w:proofErr w:type="spellEnd"/>
      <w:r w:rsidRPr="000E046B">
        <w:rPr>
          <w:i/>
          <w:iCs/>
          <w:sz w:val="24"/>
          <w:lang w:val="lv-LV"/>
        </w:rPr>
        <w:t xml:space="preserve"> </w:t>
      </w:r>
      <w:proofErr w:type="spellStart"/>
      <w:r w:rsidRPr="000E046B">
        <w:rPr>
          <w:i/>
          <w:iCs/>
          <w:sz w:val="24"/>
          <w:lang w:val="lv-LV"/>
        </w:rPr>
        <w:t>flows</w:t>
      </w:r>
      <w:proofErr w:type="spellEnd"/>
      <w:r w:rsidRPr="000E046B">
        <w:rPr>
          <w:i/>
          <w:iCs/>
          <w:sz w:val="24"/>
          <w:lang w:val="lv-LV"/>
        </w:rPr>
        <w:t xml:space="preserve"> </w:t>
      </w:r>
      <w:proofErr w:type="spellStart"/>
      <w:r w:rsidRPr="000E046B">
        <w:rPr>
          <w:i/>
          <w:iCs/>
          <w:sz w:val="24"/>
          <w:lang w:val="lv-LV"/>
        </w:rPr>
        <w:t>and</w:t>
      </w:r>
      <w:proofErr w:type="spellEnd"/>
      <w:r w:rsidRPr="000E046B">
        <w:rPr>
          <w:i/>
          <w:iCs/>
          <w:sz w:val="24"/>
          <w:lang w:val="lv-LV"/>
        </w:rPr>
        <w:t xml:space="preserve"> </w:t>
      </w:r>
      <w:proofErr w:type="spellStart"/>
      <w:r w:rsidRPr="000E046B">
        <w:rPr>
          <w:i/>
          <w:iCs/>
          <w:sz w:val="24"/>
          <w:lang w:val="lv-LV"/>
        </w:rPr>
        <w:t>stocks</w:t>
      </w:r>
      <w:proofErr w:type="spellEnd"/>
      <w:r w:rsidRPr="000E046B">
        <w:rPr>
          <w:sz w:val="24"/>
          <w:lang w:val="lv-LV"/>
        </w:rPr>
        <w:t xml:space="preserve">, 2023. </w:t>
      </w:r>
      <w:r w:rsidRPr="000E046B">
        <w:rPr>
          <w:sz w:val="24"/>
          <w:lang w:val="lv-LV"/>
        </w:rPr>
        <w:t xml:space="preserve">g., </w:t>
      </w:r>
      <w:hyperlink r:id="rId1" w:history="1">
        <w:r w:rsidRPr="000E046B">
          <w:rPr>
            <w:rStyle w:val="Hyperlink"/>
            <w:sz w:val="24"/>
            <w:lang w:val="lv-LV"/>
          </w:rPr>
          <w:t>https://ec.europa.eu/eurostat/databrowser/view/NASA_10_F_BS__custom_13650774/default/table?lang=en</w:t>
        </w:r>
      </w:hyperlink>
      <w:r w:rsidRPr="000E046B">
        <w:rPr>
          <w:sz w:val="24"/>
          <w:lang w:val="lv-LV"/>
        </w:rPr>
        <w:t>.</w:t>
      </w:r>
    </w:p>
  </w:footnote>
  <w:footnote w:id="8">
    <w:p w14:paraId="75F363C7" w14:textId="76AC3C29"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Eiropas Centrālā banka, </w:t>
      </w:r>
      <w:proofErr w:type="spellStart"/>
      <w:r w:rsidRPr="000E046B">
        <w:rPr>
          <w:i/>
          <w:iCs/>
          <w:sz w:val="24"/>
          <w:lang w:val="lv-LV"/>
        </w:rPr>
        <w:t>Follow</w:t>
      </w:r>
      <w:proofErr w:type="spellEnd"/>
      <w:r w:rsidRPr="000E046B">
        <w:rPr>
          <w:i/>
          <w:iCs/>
          <w:sz w:val="24"/>
          <w:lang w:val="lv-LV"/>
        </w:rPr>
        <w:t xml:space="preserve"> </w:t>
      </w:r>
      <w:proofErr w:type="spellStart"/>
      <w:r w:rsidRPr="000E046B">
        <w:rPr>
          <w:i/>
          <w:iCs/>
          <w:sz w:val="24"/>
          <w:lang w:val="lv-LV"/>
        </w:rPr>
        <w:t>the</w:t>
      </w:r>
      <w:proofErr w:type="spellEnd"/>
      <w:r w:rsidRPr="000E046B">
        <w:rPr>
          <w:i/>
          <w:iCs/>
          <w:sz w:val="24"/>
          <w:lang w:val="lv-LV"/>
        </w:rPr>
        <w:t xml:space="preserve"> </w:t>
      </w:r>
      <w:proofErr w:type="spellStart"/>
      <w:r w:rsidRPr="000E046B">
        <w:rPr>
          <w:i/>
          <w:iCs/>
          <w:sz w:val="24"/>
          <w:lang w:val="lv-LV"/>
        </w:rPr>
        <w:t>money</w:t>
      </w:r>
      <w:proofErr w:type="spellEnd"/>
      <w:r w:rsidRPr="000E046B">
        <w:rPr>
          <w:i/>
          <w:iCs/>
          <w:sz w:val="24"/>
          <w:lang w:val="lv-LV"/>
        </w:rPr>
        <w:t>:</w:t>
      </w:r>
      <w:r w:rsidRPr="000E046B">
        <w:rPr>
          <w:i/>
          <w:sz w:val="24"/>
          <w:lang w:val="lv-LV"/>
        </w:rPr>
        <w:t xml:space="preserve"> </w:t>
      </w:r>
      <w:proofErr w:type="spellStart"/>
      <w:r w:rsidRPr="000E046B">
        <w:rPr>
          <w:i/>
          <w:iCs/>
          <w:sz w:val="24"/>
          <w:lang w:val="lv-LV"/>
        </w:rPr>
        <w:t>channelling</w:t>
      </w:r>
      <w:proofErr w:type="spellEnd"/>
      <w:r w:rsidRPr="000E046B">
        <w:rPr>
          <w:i/>
          <w:iCs/>
          <w:sz w:val="24"/>
          <w:lang w:val="lv-LV"/>
        </w:rPr>
        <w:t xml:space="preserve"> </w:t>
      </w:r>
      <w:proofErr w:type="spellStart"/>
      <w:r w:rsidRPr="000E046B">
        <w:rPr>
          <w:i/>
          <w:iCs/>
          <w:sz w:val="24"/>
          <w:lang w:val="lv-LV"/>
        </w:rPr>
        <w:t>savings</w:t>
      </w:r>
      <w:proofErr w:type="spellEnd"/>
      <w:r w:rsidRPr="000E046B">
        <w:rPr>
          <w:i/>
          <w:iCs/>
          <w:sz w:val="24"/>
          <w:lang w:val="lv-LV"/>
        </w:rPr>
        <w:t xml:space="preserve"> </w:t>
      </w:r>
      <w:proofErr w:type="spellStart"/>
      <w:r w:rsidRPr="000E046B">
        <w:rPr>
          <w:i/>
          <w:iCs/>
          <w:sz w:val="24"/>
          <w:lang w:val="lv-LV"/>
        </w:rPr>
        <w:t>into</w:t>
      </w:r>
      <w:proofErr w:type="spellEnd"/>
      <w:r w:rsidRPr="000E046B">
        <w:rPr>
          <w:i/>
          <w:iCs/>
          <w:sz w:val="24"/>
          <w:lang w:val="lv-LV"/>
        </w:rPr>
        <w:t xml:space="preserve"> </w:t>
      </w:r>
      <w:proofErr w:type="spellStart"/>
      <w:r w:rsidRPr="000E046B">
        <w:rPr>
          <w:i/>
          <w:iCs/>
          <w:sz w:val="24"/>
          <w:lang w:val="lv-LV"/>
        </w:rPr>
        <w:t>investment</w:t>
      </w:r>
      <w:proofErr w:type="spellEnd"/>
      <w:r w:rsidRPr="000E046B">
        <w:rPr>
          <w:i/>
          <w:iCs/>
          <w:sz w:val="24"/>
          <w:lang w:val="lv-LV"/>
        </w:rPr>
        <w:t xml:space="preserve"> </w:t>
      </w:r>
      <w:proofErr w:type="spellStart"/>
      <w:r w:rsidRPr="000E046B">
        <w:rPr>
          <w:i/>
          <w:iCs/>
          <w:sz w:val="24"/>
          <w:lang w:val="lv-LV"/>
        </w:rPr>
        <w:t>and</w:t>
      </w:r>
      <w:proofErr w:type="spellEnd"/>
      <w:r w:rsidRPr="000E046B">
        <w:rPr>
          <w:i/>
          <w:iCs/>
          <w:sz w:val="24"/>
          <w:lang w:val="lv-LV"/>
        </w:rPr>
        <w:t xml:space="preserve"> </w:t>
      </w:r>
      <w:proofErr w:type="spellStart"/>
      <w:r w:rsidRPr="000E046B">
        <w:rPr>
          <w:i/>
          <w:iCs/>
          <w:sz w:val="24"/>
          <w:lang w:val="lv-LV"/>
        </w:rPr>
        <w:t>innovation</w:t>
      </w:r>
      <w:proofErr w:type="spellEnd"/>
      <w:r w:rsidRPr="000E046B">
        <w:rPr>
          <w:i/>
          <w:iCs/>
          <w:sz w:val="24"/>
          <w:lang w:val="lv-LV"/>
        </w:rPr>
        <w:t xml:space="preserve"> </w:t>
      </w:r>
      <w:proofErr w:type="spellStart"/>
      <w:r w:rsidRPr="000E046B">
        <w:rPr>
          <w:i/>
          <w:iCs/>
          <w:sz w:val="24"/>
          <w:lang w:val="lv-LV"/>
        </w:rPr>
        <w:t>in</w:t>
      </w:r>
      <w:proofErr w:type="spellEnd"/>
      <w:r w:rsidRPr="000E046B">
        <w:rPr>
          <w:i/>
          <w:iCs/>
          <w:sz w:val="24"/>
          <w:lang w:val="lv-LV"/>
        </w:rPr>
        <w:t xml:space="preserve"> </w:t>
      </w:r>
      <w:proofErr w:type="spellStart"/>
      <w:r w:rsidRPr="000E046B">
        <w:rPr>
          <w:i/>
          <w:iCs/>
          <w:sz w:val="24"/>
          <w:lang w:val="lv-LV"/>
        </w:rPr>
        <w:t>Europe</w:t>
      </w:r>
      <w:proofErr w:type="spellEnd"/>
      <w:r w:rsidRPr="000E046B">
        <w:rPr>
          <w:sz w:val="24"/>
          <w:lang w:val="lv-LV"/>
        </w:rPr>
        <w:t xml:space="preserve">, Eiropas Centrālās bankas prezidentes </w:t>
      </w:r>
      <w:r w:rsidRPr="000E046B">
        <w:rPr>
          <w:i/>
          <w:iCs/>
          <w:sz w:val="24"/>
          <w:lang w:val="lv-LV"/>
        </w:rPr>
        <w:t>C. </w:t>
      </w:r>
      <w:proofErr w:type="spellStart"/>
      <w:r w:rsidRPr="000E046B">
        <w:rPr>
          <w:i/>
          <w:iCs/>
          <w:sz w:val="24"/>
          <w:lang w:val="lv-LV"/>
        </w:rPr>
        <w:t>Lagarde</w:t>
      </w:r>
      <w:proofErr w:type="spellEnd"/>
      <w:r w:rsidRPr="000E046B">
        <w:rPr>
          <w:sz w:val="24"/>
          <w:lang w:val="lv-LV"/>
        </w:rPr>
        <w:t xml:space="preserve"> 2024. gada 22. novembra runa.</w:t>
      </w:r>
    </w:p>
  </w:footnote>
  <w:footnote w:id="9">
    <w:p w14:paraId="1547C753" w14:textId="5FC577F3"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i/>
          <w:iCs/>
          <w:sz w:val="24"/>
          <w:lang w:val="lv-LV"/>
        </w:rPr>
        <w:t xml:space="preserve"> </w:t>
      </w:r>
      <w:r w:rsidR="000E046B" w:rsidRPr="000E046B">
        <w:rPr>
          <w:i/>
          <w:iCs/>
          <w:sz w:val="24"/>
          <w:lang w:val="lv-LV"/>
        </w:rPr>
        <w:tab/>
      </w:r>
      <w:proofErr w:type="spellStart"/>
      <w:r w:rsidRPr="000E046B">
        <w:rPr>
          <w:i/>
          <w:iCs/>
          <w:sz w:val="24"/>
          <w:lang w:val="lv-LV"/>
        </w:rPr>
        <w:t>Letta</w:t>
      </w:r>
      <w:proofErr w:type="spellEnd"/>
      <w:r w:rsidRPr="000E046B">
        <w:rPr>
          <w:sz w:val="24"/>
          <w:lang w:val="lv-LV"/>
        </w:rPr>
        <w:t xml:space="preserve"> ziņojums.</w:t>
      </w:r>
    </w:p>
  </w:footnote>
  <w:footnote w:id="10">
    <w:p w14:paraId="7DB682B5" w14:textId="45AF3717"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SVF, </w:t>
      </w:r>
      <w:proofErr w:type="spellStart"/>
      <w:r w:rsidRPr="000E046B">
        <w:rPr>
          <w:i/>
          <w:iCs/>
          <w:sz w:val="24"/>
          <w:lang w:val="lv-LV"/>
        </w:rPr>
        <w:t>Europe’s</w:t>
      </w:r>
      <w:proofErr w:type="spellEnd"/>
      <w:r w:rsidRPr="000E046B">
        <w:rPr>
          <w:i/>
          <w:iCs/>
          <w:sz w:val="24"/>
          <w:lang w:val="lv-LV"/>
        </w:rPr>
        <w:t xml:space="preserve"> </w:t>
      </w:r>
      <w:proofErr w:type="spellStart"/>
      <w:r w:rsidRPr="000E046B">
        <w:rPr>
          <w:i/>
          <w:iCs/>
          <w:sz w:val="24"/>
          <w:lang w:val="lv-LV"/>
        </w:rPr>
        <w:t>Declining</w:t>
      </w:r>
      <w:proofErr w:type="spellEnd"/>
      <w:r w:rsidRPr="000E046B">
        <w:rPr>
          <w:i/>
          <w:iCs/>
          <w:sz w:val="24"/>
          <w:lang w:val="lv-LV"/>
        </w:rPr>
        <w:t xml:space="preserve"> </w:t>
      </w:r>
      <w:proofErr w:type="spellStart"/>
      <w:r w:rsidRPr="000E046B">
        <w:rPr>
          <w:i/>
          <w:iCs/>
          <w:sz w:val="24"/>
          <w:lang w:val="lv-LV"/>
        </w:rPr>
        <w:t>Productivity</w:t>
      </w:r>
      <w:proofErr w:type="spellEnd"/>
      <w:r w:rsidRPr="000E046B">
        <w:rPr>
          <w:i/>
          <w:iCs/>
          <w:sz w:val="24"/>
          <w:lang w:val="lv-LV"/>
        </w:rPr>
        <w:t xml:space="preserve"> </w:t>
      </w:r>
      <w:proofErr w:type="spellStart"/>
      <w:r w:rsidRPr="000E046B">
        <w:rPr>
          <w:i/>
          <w:iCs/>
          <w:sz w:val="24"/>
          <w:lang w:val="lv-LV"/>
        </w:rPr>
        <w:t>Growth</w:t>
      </w:r>
      <w:proofErr w:type="spellEnd"/>
      <w:r w:rsidRPr="000E046B">
        <w:rPr>
          <w:i/>
          <w:iCs/>
          <w:sz w:val="24"/>
          <w:lang w:val="lv-LV"/>
        </w:rPr>
        <w:t>:</w:t>
      </w:r>
      <w:r w:rsidRPr="000E046B">
        <w:rPr>
          <w:sz w:val="24"/>
          <w:lang w:val="lv-LV"/>
        </w:rPr>
        <w:t xml:space="preserve"> </w:t>
      </w:r>
      <w:proofErr w:type="spellStart"/>
      <w:r w:rsidRPr="000E046B">
        <w:rPr>
          <w:i/>
          <w:iCs/>
          <w:sz w:val="24"/>
          <w:lang w:val="lv-LV"/>
        </w:rPr>
        <w:t>Diagnoses</w:t>
      </w:r>
      <w:proofErr w:type="spellEnd"/>
      <w:r w:rsidRPr="000E046B">
        <w:rPr>
          <w:i/>
          <w:iCs/>
          <w:sz w:val="24"/>
          <w:lang w:val="lv-LV"/>
        </w:rPr>
        <w:t xml:space="preserve"> </w:t>
      </w:r>
      <w:proofErr w:type="spellStart"/>
      <w:r w:rsidRPr="000E046B">
        <w:rPr>
          <w:i/>
          <w:iCs/>
          <w:sz w:val="24"/>
          <w:lang w:val="lv-LV"/>
        </w:rPr>
        <w:t>and</w:t>
      </w:r>
      <w:proofErr w:type="spellEnd"/>
      <w:r w:rsidRPr="000E046B">
        <w:rPr>
          <w:i/>
          <w:iCs/>
          <w:sz w:val="24"/>
          <w:lang w:val="lv-LV"/>
        </w:rPr>
        <w:t xml:space="preserve"> </w:t>
      </w:r>
      <w:proofErr w:type="spellStart"/>
      <w:r w:rsidRPr="000E046B">
        <w:rPr>
          <w:i/>
          <w:iCs/>
          <w:sz w:val="24"/>
          <w:lang w:val="lv-LV"/>
        </w:rPr>
        <w:t>Remedies</w:t>
      </w:r>
      <w:proofErr w:type="spellEnd"/>
      <w:r w:rsidRPr="000E046B">
        <w:rPr>
          <w:i/>
          <w:sz w:val="24"/>
          <w:lang w:val="lv-LV"/>
        </w:rPr>
        <w:t xml:space="preserve">, </w:t>
      </w:r>
      <w:proofErr w:type="spellStart"/>
      <w:r w:rsidRPr="000E046B">
        <w:rPr>
          <w:i/>
          <w:sz w:val="24"/>
          <w:lang w:val="lv-LV"/>
        </w:rPr>
        <w:t>Regional</w:t>
      </w:r>
      <w:proofErr w:type="spellEnd"/>
      <w:r w:rsidRPr="000E046B">
        <w:rPr>
          <w:i/>
          <w:sz w:val="24"/>
          <w:lang w:val="lv-LV"/>
        </w:rPr>
        <w:t xml:space="preserve"> </w:t>
      </w:r>
      <w:proofErr w:type="spellStart"/>
      <w:r w:rsidRPr="000E046B">
        <w:rPr>
          <w:i/>
          <w:sz w:val="24"/>
          <w:lang w:val="lv-LV"/>
        </w:rPr>
        <w:t>Economic</w:t>
      </w:r>
      <w:proofErr w:type="spellEnd"/>
      <w:r w:rsidRPr="000E046B">
        <w:rPr>
          <w:i/>
          <w:sz w:val="24"/>
          <w:lang w:val="lv-LV"/>
        </w:rPr>
        <w:t xml:space="preserve"> Outlook </w:t>
      </w:r>
      <w:proofErr w:type="spellStart"/>
      <w:r w:rsidRPr="000E046B">
        <w:rPr>
          <w:i/>
          <w:sz w:val="24"/>
          <w:lang w:val="lv-LV"/>
        </w:rPr>
        <w:t>Notes</w:t>
      </w:r>
      <w:proofErr w:type="spellEnd"/>
      <w:r w:rsidRPr="000E046B">
        <w:rPr>
          <w:i/>
          <w:sz w:val="24"/>
          <w:lang w:val="lv-LV"/>
        </w:rPr>
        <w:t xml:space="preserve"> – </w:t>
      </w:r>
      <w:proofErr w:type="spellStart"/>
      <w:r w:rsidRPr="000E046B">
        <w:rPr>
          <w:i/>
          <w:sz w:val="24"/>
          <w:lang w:val="lv-LV"/>
        </w:rPr>
        <w:t>Europe</w:t>
      </w:r>
      <w:proofErr w:type="spellEnd"/>
      <w:r w:rsidRPr="000E046B">
        <w:rPr>
          <w:sz w:val="24"/>
          <w:lang w:val="lv-LV"/>
        </w:rPr>
        <w:t xml:space="preserve">, 2024. </w:t>
      </w:r>
      <w:r w:rsidRPr="000E046B">
        <w:rPr>
          <w:sz w:val="24"/>
          <w:lang w:val="lv-LV"/>
        </w:rPr>
        <w:t xml:space="preserve">gada novembris, </w:t>
      </w:r>
      <w:hyperlink r:id="rId2" w:history="1">
        <w:r w:rsidR="00A069E9" w:rsidRPr="00253052">
          <w:rPr>
            <w:rStyle w:val="Hyperlink"/>
            <w:sz w:val="24"/>
            <w:lang w:val="lv-LV"/>
          </w:rPr>
          <w:t>https://www.elibrary.imf.org/supplemental/book/9798400287312/9798400287312.xml/REOEUREA2024002-S001_SOURCE_PDF.pdf</w:t>
        </w:r>
      </w:hyperlink>
      <w:r w:rsidRPr="000E046B">
        <w:rPr>
          <w:sz w:val="24"/>
          <w:lang w:val="lv-LV"/>
        </w:rPr>
        <w:t>.</w:t>
      </w:r>
    </w:p>
  </w:footnote>
  <w:footnote w:id="11">
    <w:p w14:paraId="5DC14580" w14:textId="26D3916B"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Komisijas 2025. gada 29. janvāra paziņojums “25. gada ziņojums par vienoto tirgu un konkurētspēju” (COM(2025)0026).</w:t>
      </w:r>
    </w:p>
  </w:footnote>
  <w:footnote w:id="12">
    <w:p w14:paraId="5A942121" w14:textId="1A1CF926"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ECB, </w:t>
      </w:r>
      <w:proofErr w:type="spellStart"/>
      <w:r w:rsidRPr="000E046B">
        <w:rPr>
          <w:i/>
          <w:iCs/>
          <w:sz w:val="24"/>
          <w:lang w:val="lv-LV"/>
        </w:rPr>
        <w:t>Occasional</w:t>
      </w:r>
      <w:proofErr w:type="spellEnd"/>
      <w:r w:rsidRPr="000E046B">
        <w:rPr>
          <w:i/>
          <w:iCs/>
          <w:sz w:val="24"/>
          <w:lang w:val="lv-LV"/>
        </w:rPr>
        <w:t xml:space="preserve"> Paper </w:t>
      </w:r>
      <w:proofErr w:type="spellStart"/>
      <w:r w:rsidRPr="000E046B">
        <w:rPr>
          <w:i/>
          <w:iCs/>
          <w:sz w:val="24"/>
          <w:lang w:val="lv-LV"/>
        </w:rPr>
        <w:t>Series</w:t>
      </w:r>
      <w:proofErr w:type="spellEnd"/>
      <w:r w:rsidRPr="000E046B">
        <w:rPr>
          <w:sz w:val="24"/>
          <w:lang w:val="lv-LV"/>
        </w:rPr>
        <w:t>, Nr. 369.</w:t>
      </w:r>
    </w:p>
  </w:footnote>
  <w:footnote w:id="13">
    <w:p w14:paraId="7FC7E2D3" w14:textId="56D773A6"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i/>
          <w:iCs/>
          <w:sz w:val="24"/>
          <w:lang w:val="lv-LV"/>
        </w:rPr>
        <w:t xml:space="preserve"> </w:t>
      </w:r>
      <w:r w:rsidR="000E046B" w:rsidRPr="000E046B">
        <w:rPr>
          <w:i/>
          <w:iCs/>
          <w:sz w:val="24"/>
          <w:lang w:val="lv-LV"/>
        </w:rPr>
        <w:tab/>
      </w:r>
      <w:proofErr w:type="spellStart"/>
      <w:r w:rsidRPr="000E046B">
        <w:rPr>
          <w:i/>
          <w:iCs/>
          <w:sz w:val="24"/>
          <w:lang w:val="lv-LV"/>
        </w:rPr>
        <w:t>Letta</w:t>
      </w:r>
      <w:proofErr w:type="spellEnd"/>
      <w:r w:rsidRPr="000E046B">
        <w:rPr>
          <w:sz w:val="24"/>
          <w:lang w:val="lv-LV"/>
        </w:rPr>
        <w:t xml:space="preserve"> ziņojums, 91. un 111. lpp.</w:t>
      </w:r>
    </w:p>
  </w:footnote>
  <w:footnote w:id="14">
    <w:p w14:paraId="3255B1D0" w14:textId="1C6DA5E2"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Banku aizdevumi bija 50,43 % no </w:t>
      </w:r>
      <w:proofErr w:type="spellStart"/>
      <w:r w:rsidRPr="000E046B">
        <w:rPr>
          <w:sz w:val="24"/>
          <w:lang w:val="lv-LV"/>
        </w:rPr>
        <w:t>nefinanšu</w:t>
      </w:r>
      <w:proofErr w:type="spellEnd"/>
      <w:r w:rsidRPr="000E046B">
        <w:rPr>
          <w:sz w:val="24"/>
          <w:lang w:val="lv-LV"/>
        </w:rPr>
        <w:t xml:space="preserve"> sabiedrību finansējuma (</w:t>
      </w:r>
      <w:proofErr w:type="spellStart"/>
      <w:r w:rsidRPr="000E046B">
        <w:rPr>
          <w:i/>
          <w:iCs/>
          <w:sz w:val="24"/>
          <w:lang w:val="lv-LV"/>
        </w:rPr>
        <w:t>Eurostat</w:t>
      </w:r>
      <w:proofErr w:type="spellEnd"/>
      <w:r w:rsidRPr="000E046B">
        <w:rPr>
          <w:sz w:val="24"/>
          <w:lang w:val="lv-LV"/>
        </w:rPr>
        <w:t>, ECB un FISMA ĢD aprēķini attiecībā uz 2023. gadu). Sk. Komisijas uzaicinājumu sniegt atsauksmes, ņemot vērā tās paziņojumu par uzkrājumu un investīciju savienību.</w:t>
      </w:r>
    </w:p>
  </w:footnote>
  <w:footnote w:id="15">
    <w:p w14:paraId="1C934777" w14:textId="6DE1441F"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Eiropas Stabilitātes mehānisma finanšu direktors, </w:t>
      </w:r>
      <w:proofErr w:type="spellStart"/>
      <w:r w:rsidRPr="000E046B">
        <w:rPr>
          <w:i/>
          <w:iCs/>
          <w:sz w:val="24"/>
          <w:lang w:val="lv-LV"/>
        </w:rPr>
        <w:t>Developing</w:t>
      </w:r>
      <w:proofErr w:type="spellEnd"/>
      <w:r w:rsidRPr="000E046B">
        <w:rPr>
          <w:i/>
          <w:iCs/>
          <w:sz w:val="24"/>
          <w:lang w:val="lv-LV"/>
        </w:rPr>
        <w:t xml:space="preserve"> </w:t>
      </w:r>
      <w:proofErr w:type="spellStart"/>
      <w:r w:rsidRPr="000E046B">
        <w:rPr>
          <w:i/>
          <w:iCs/>
          <w:sz w:val="24"/>
          <w:lang w:val="lv-LV"/>
        </w:rPr>
        <w:t>European</w:t>
      </w:r>
      <w:proofErr w:type="spellEnd"/>
      <w:r w:rsidRPr="000E046B">
        <w:rPr>
          <w:i/>
          <w:iCs/>
          <w:sz w:val="24"/>
          <w:lang w:val="lv-LV"/>
        </w:rPr>
        <w:t xml:space="preserve"> </w:t>
      </w:r>
      <w:proofErr w:type="spellStart"/>
      <w:r w:rsidRPr="000E046B">
        <w:rPr>
          <w:i/>
          <w:iCs/>
          <w:sz w:val="24"/>
          <w:lang w:val="lv-LV"/>
        </w:rPr>
        <w:t>safe</w:t>
      </w:r>
      <w:proofErr w:type="spellEnd"/>
      <w:r w:rsidRPr="000E046B">
        <w:rPr>
          <w:i/>
          <w:iCs/>
          <w:sz w:val="24"/>
          <w:lang w:val="lv-LV"/>
        </w:rPr>
        <w:t xml:space="preserve"> </w:t>
      </w:r>
      <w:proofErr w:type="spellStart"/>
      <w:r w:rsidRPr="000E046B">
        <w:rPr>
          <w:i/>
          <w:iCs/>
          <w:sz w:val="24"/>
          <w:lang w:val="lv-LV"/>
        </w:rPr>
        <w:t>assets</w:t>
      </w:r>
      <w:proofErr w:type="spellEnd"/>
      <w:r w:rsidRPr="000E046B">
        <w:rPr>
          <w:sz w:val="24"/>
          <w:lang w:val="lv-LV"/>
        </w:rPr>
        <w:t xml:space="preserve">, </w:t>
      </w:r>
      <w:proofErr w:type="spellStart"/>
      <w:r w:rsidRPr="000E046B">
        <w:rPr>
          <w:rStyle w:val="Italic"/>
          <w:sz w:val="24"/>
          <w:lang w:val="lv-LV"/>
        </w:rPr>
        <w:t>Intereconomics</w:t>
      </w:r>
      <w:proofErr w:type="spellEnd"/>
      <w:r w:rsidRPr="000E046B">
        <w:rPr>
          <w:sz w:val="24"/>
          <w:lang w:val="lv-LV"/>
        </w:rPr>
        <w:t>, 2023. </w:t>
      </w:r>
      <w:r w:rsidRPr="000E046B">
        <w:rPr>
          <w:sz w:val="24"/>
          <w:lang w:val="lv-LV"/>
        </w:rPr>
        <w:t xml:space="preserve">gada decembris, </w:t>
      </w:r>
      <w:hyperlink r:id="rId3" w:history="1">
        <w:r w:rsidR="00A069E9" w:rsidRPr="00253052">
          <w:rPr>
            <w:rStyle w:val="Hyperlink"/>
            <w:sz w:val="24"/>
            <w:lang w:val="lv-LV"/>
          </w:rPr>
          <w:t>https://www.esm.europa.eu/articles-and-op-eds/developing-european-safe-assets-article-intereconomics</w:t>
        </w:r>
      </w:hyperlink>
      <w:r w:rsidRPr="000E046B">
        <w:rPr>
          <w:sz w:val="24"/>
          <w:lang w:val="lv-LV"/>
        </w:rPr>
        <w:t>.</w:t>
      </w:r>
    </w:p>
  </w:footnote>
  <w:footnote w:id="16">
    <w:p w14:paraId="59295DF8" w14:textId="2942E7C6"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SVF, </w:t>
      </w:r>
      <w:proofErr w:type="spellStart"/>
      <w:r w:rsidRPr="000E046B">
        <w:rPr>
          <w:i/>
          <w:iCs/>
          <w:sz w:val="24"/>
          <w:lang w:val="lv-LV"/>
        </w:rPr>
        <w:t>World</w:t>
      </w:r>
      <w:proofErr w:type="spellEnd"/>
      <w:r w:rsidRPr="000E046B">
        <w:rPr>
          <w:i/>
          <w:iCs/>
          <w:sz w:val="24"/>
          <w:lang w:val="lv-LV"/>
        </w:rPr>
        <w:t xml:space="preserve"> </w:t>
      </w:r>
      <w:proofErr w:type="spellStart"/>
      <w:r w:rsidRPr="000E046B">
        <w:rPr>
          <w:i/>
          <w:iCs/>
          <w:sz w:val="24"/>
          <w:lang w:val="lv-LV"/>
        </w:rPr>
        <w:t>Economic</w:t>
      </w:r>
      <w:proofErr w:type="spellEnd"/>
      <w:r w:rsidRPr="000E046B">
        <w:rPr>
          <w:i/>
          <w:iCs/>
          <w:sz w:val="24"/>
          <w:lang w:val="lv-LV"/>
        </w:rPr>
        <w:t xml:space="preserve"> Outlook</w:t>
      </w:r>
      <w:r w:rsidRPr="000E046B">
        <w:rPr>
          <w:sz w:val="24"/>
          <w:lang w:val="lv-LV"/>
        </w:rPr>
        <w:t>, 2025. gada aprīlis.</w:t>
      </w:r>
    </w:p>
  </w:footnote>
  <w:footnote w:id="17">
    <w:p w14:paraId="2306E6B6" w14:textId="6AEEB870"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Eiropas Politikas pētījumu centrs, </w:t>
      </w:r>
      <w:proofErr w:type="spellStart"/>
      <w:r w:rsidRPr="000E046B">
        <w:rPr>
          <w:i/>
          <w:sz w:val="24"/>
          <w:lang w:val="lv-LV"/>
        </w:rPr>
        <w:t>It’s</w:t>
      </w:r>
      <w:proofErr w:type="spellEnd"/>
      <w:r w:rsidRPr="000E046B">
        <w:rPr>
          <w:i/>
          <w:sz w:val="24"/>
          <w:lang w:val="lv-LV"/>
        </w:rPr>
        <w:t xml:space="preserve"> </w:t>
      </w:r>
      <w:proofErr w:type="spellStart"/>
      <w:r w:rsidRPr="000E046B">
        <w:rPr>
          <w:i/>
          <w:sz w:val="24"/>
          <w:lang w:val="lv-LV"/>
        </w:rPr>
        <w:t>finally</w:t>
      </w:r>
      <w:proofErr w:type="spellEnd"/>
      <w:r w:rsidRPr="000E046B">
        <w:rPr>
          <w:i/>
          <w:sz w:val="24"/>
          <w:lang w:val="lv-LV"/>
        </w:rPr>
        <w:t xml:space="preserve"> </w:t>
      </w:r>
      <w:proofErr w:type="spellStart"/>
      <w:r w:rsidRPr="000E046B">
        <w:rPr>
          <w:i/>
          <w:sz w:val="24"/>
          <w:lang w:val="lv-LV"/>
        </w:rPr>
        <w:t>time</w:t>
      </w:r>
      <w:proofErr w:type="spellEnd"/>
      <w:r w:rsidRPr="000E046B">
        <w:rPr>
          <w:i/>
          <w:sz w:val="24"/>
          <w:lang w:val="lv-LV"/>
        </w:rPr>
        <w:t xml:space="preserve"> to </w:t>
      </w:r>
      <w:proofErr w:type="spellStart"/>
      <w:r w:rsidRPr="000E046B">
        <w:rPr>
          <w:i/>
          <w:sz w:val="24"/>
          <w:lang w:val="lv-LV"/>
        </w:rPr>
        <w:t>leverage</w:t>
      </w:r>
      <w:proofErr w:type="spellEnd"/>
      <w:r w:rsidRPr="000E046B">
        <w:rPr>
          <w:i/>
          <w:sz w:val="24"/>
          <w:lang w:val="lv-LV"/>
        </w:rPr>
        <w:t xml:space="preserve"> </w:t>
      </w:r>
      <w:proofErr w:type="spellStart"/>
      <w:r w:rsidRPr="000E046B">
        <w:rPr>
          <w:i/>
          <w:sz w:val="24"/>
          <w:lang w:val="lv-LV"/>
        </w:rPr>
        <w:t>pension</w:t>
      </w:r>
      <w:proofErr w:type="spellEnd"/>
      <w:r w:rsidRPr="000E046B">
        <w:rPr>
          <w:i/>
          <w:sz w:val="24"/>
          <w:lang w:val="lv-LV"/>
        </w:rPr>
        <w:t xml:space="preserve"> </w:t>
      </w:r>
      <w:proofErr w:type="spellStart"/>
      <w:r w:rsidRPr="000E046B">
        <w:rPr>
          <w:i/>
          <w:sz w:val="24"/>
          <w:lang w:val="lv-LV"/>
        </w:rPr>
        <w:t>funds</w:t>
      </w:r>
      <w:proofErr w:type="spellEnd"/>
      <w:r w:rsidRPr="000E046B">
        <w:rPr>
          <w:i/>
          <w:sz w:val="24"/>
          <w:lang w:val="lv-LV"/>
        </w:rPr>
        <w:t xml:space="preserve"> to </w:t>
      </w:r>
      <w:proofErr w:type="spellStart"/>
      <w:r w:rsidRPr="000E046B">
        <w:rPr>
          <w:i/>
          <w:sz w:val="24"/>
          <w:lang w:val="lv-LV"/>
        </w:rPr>
        <w:t>foster</w:t>
      </w:r>
      <w:proofErr w:type="spellEnd"/>
      <w:r w:rsidRPr="000E046B">
        <w:rPr>
          <w:i/>
          <w:sz w:val="24"/>
          <w:lang w:val="lv-LV"/>
        </w:rPr>
        <w:t xml:space="preserve"> EU </w:t>
      </w:r>
      <w:proofErr w:type="spellStart"/>
      <w:r w:rsidRPr="000E046B">
        <w:rPr>
          <w:i/>
          <w:sz w:val="24"/>
          <w:lang w:val="lv-LV"/>
        </w:rPr>
        <w:t>productivity</w:t>
      </w:r>
      <w:proofErr w:type="spellEnd"/>
      <w:r w:rsidRPr="000E046B">
        <w:rPr>
          <w:i/>
          <w:sz w:val="24"/>
          <w:lang w:val="lv-LV"/>
        </w:rPr>
        <w:t xml:space="preserve"> </w:t>
      </w:r>
      <w:proofErr w:type="spellStart"/>
      <w:r w:rsidRPr="000E046B">
        <w:rPr>
          <w:i/>
          <w:sz w:val="24"/>
          <w:lang w:val="lv-LV"/>
        </w:rPr>
        <w:t>and</w:t>
      </w:r>
      <w:proofErr w:type="spellEnd"/>
      <w:r w:rsidRPr="000E046B">
        <w:rPr>
          <w:i/>
          <w:sz w:val="24"/>
          <w:lang w:val="lv-LV"/>
        </w:rPr>
        <w:t xml:space="preserve"> </w:t>
      </w:r>
      <w:proofErr w:type="spellStart"/>
      <w:r w:rsidRPr="000E046B">
        <w:rPr>
          <w:i/>
          <w:sz w:val="24"/>
          <w:lang w:val="lv-LV"/>
        </w:rPr>
        <w:t>benefit</w:t>
      </w:r>
      <w:proofErr w:type="spellEnd"/>
      <w:r w:rsidRPr="000E046B">
        <w:rPr>
          <w:i/>
          <w:sz w:val="24"/>
          <w:lang w:val="lv-LV"/>
        </w:rPr>
        <w:t xml:space="preserve"> </w:t>
      </w:r>
      <w:proofErr w:type="spellStart"/>
      <w:r w:rsidRPr="000E046B">
        <w:rPr>
          <w:i/>
          <w:sz w:val="24"/>
          <w:lang w:val="lv-LV"/>
        </w:rPr>
        <w:t>pensioners</w:t>
      </w:r>
      <w:proofErr w:type="spellEnd"/>
      <w:r w:rsidRPr="000E046B">
        <w:rPr>
          <w:sz w:val="24"/>
          <w:lang w:val="lv-LV"/>
        </w:rPr>
        <w:t xml:space="preserve">, 2025. gada 10. </w:t>
      </w:r>
      <w:r w:rsidRPr="000E046B">
        <w:rPr>
          <w:sz w:val="24"/>
          <w:lang w:val="lv-LV"/>
        </w:rPr>
        <w:t xml:space="preserve">februāris, </w:t>
      </w:r>
      <w:hyperlink r:id="rId4" w:history="1">
        <w:r w:rsidRPr="000E046B">
          <w:rPr>
            <w:rStyle w:val="Hyperlink"/>
            <w:sz w:val="24"/>
            <w:lang w:val="lv-LV"/>
          </w:rPr>
          <w:t>https://www.ceps.eu/its-finally-time-to-leverage-pension-funds-to-foster-eu-productivity-and-benefit-pensioners/</w:t>
        </w:r>
      </w:hyperlink>
      <w:r w:rsidRPr="000E046B">
        <w:rPr>
          <w:sz w:val="24"/>
          <w:lang w:val="lv-LV"/>
        </w:rPr>
        <w:t>.</w:t>
      </w:r>
    </w:p>
  </w:footnote>
  <w:footnote w:id="18">
    <w:p w14:paraId="5ACD9202" w14:textId="57CCAC7B"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i/>
          <w:iCs/>
          <w:sz w:val="24"/>
          <w:lang w:val="lv-LV"/>
        </w:rPr>
        <w:t xml:space="preserve"> </w:t>
      </w:r>
      <w:r w:rsidR="000E046B" w:rsidRPr="000E046B">
        <w:rPr>
          <w:i/>
          <w:iCs/>
          <w:sz w:val="24"/>
          <w:lang w:val="lv-LV"/>
        </w:rPr>
        <w:tab/>
      </w:r>
      <w:proofErr w:type="spellStart"/>
      <w:r w:rsidRPr="000E046B">
        <w:rPr>
          <w:i/>
          <w:iCs/>
          <w:sz w:val="24"/>
          <w:lang w:val="lv-LV"/>
        </w:rPr>
        <w:t>Noyer</w:t>
      </w:r>
      <w:proofErr w:type="spellEnd"/>
      <w:r w:rsidRPr="000E046B">
        <w:rPr>
          <w:sz w:val="24"/>
          <w:lang w:val="lv-LV"/>
        </w:rPr>
        <w:t xml:space="preserve"> ziņojums, 62. lpp.</w:t>
      </w:r>
    </w:p>
  </w:footnote>
  <w:footnote w:id="19">
    <w:p w14:paraId="1B6731EB" w14:textId="75FF4023"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Eiropas Centrālās bankas Regula (ES) Nr. 795/2014 (2014. gada 3. jūlijs) par sistēmiski nozīmīgu maksājumu sistēmu pārraudzību (OV L 217, 23.7.2014., 16. </w:t>
      </w:r>
      <w:r w:rsidRPr="000E046B">
        <w:rPr>
          <w:sz w:val="24"/>
          <w:lang w:val="lv-LV"/>
        </w:rPr>
        <w:t xml:space="preserve">lpp., ELI: </w:t>
      </w:r>
      <w:hyperlink r:id="rId5" w:history="1">
        <w:r w:rsidR="00A069E9" w:rsidRPr="00253052">
          <w:rPr>
            <w:rStyle w:val="Hyperlink"/>
            <w:sz w:val="24"/>
            <w:lang w:val="lv-LV"/>
          </w:rPr>
          <w:t>http://data.europa.eu/eli/reg/2014/795/oj</w:t>
        </w:r>
      </w:hyperlink>
      <w:r w:rsidRPr="000E046B">
        <w:rPr>
          <w:sz w:val="24"/>
          <w:lang w:val="lv-LV"/>
        </w:rPr>
        <w:t>).</w:t>
      </w:r>
    </w:p>
  </w:footnote>
  <w:footnote w:id="20">
    <w:p w14:paraId="60F2BA05" w14:textId="5C4C67B0" w:rsidR="009B2E3A" w:rsidRPr="000E046B" w:rsidRDefault="009B2E3A" w:rsidP="000E046B">
      <w:pPr>
        <w:pStyle w:val="title-bold"/>
        <w:shd w:val="clear" w:color="auto" w:fill="FFFFFF"/>
        <w:spacing w:before="0" w:beforeAutospacing="0" w:after="75" w:afterAutospacing="0"/>
        <w:ind w:left="567" w:hanging="567"/>
        <w:rPr>
          <w:szCs w:val="20"/>
        </w:rPr>
      </w:pPr>
      <w:r w:rsidRPr="000E046B">
        <w:rPr>
          <w:rStyle w:val="FootnoteReference"/>
          <w:szCs w:val="20"/>
        </w:rPr>
        <w:footnoteRef/>
      </w:r>
      <w:r w:rsidR="000E046B" w:rsidRPr="000E046B">
        <w:rPr>
          <w:szCs w:val="20"/>
        </w:rPr>
        <w:t xml:space="preserve"> </w:t>
      </w:r>
      <w:r w:rsidR="000E046B" w:rsidRPr="000E046B">
        <w:rPr>
          <w:szCs w:val="20"/>
        </w:rPr>
        <w:tab/>
      </w:r>
      <w:r w:rsidRPr="000E046B">
        <w:rPr>
          <w:szCs w:val="20"/>
        </w:rPr>
        <w:t>Eiropas Parlamenta un Padomes Regula (ES) Nr. 600/2014 (2014. gada 15. maijs) par finanšu instrumentu tirgiem un ar ko groza Regulu (ES) Nr. 648/2012 (OV L 173, 12.6.2014., 84. lpp., ELI:</w:t>
      </w:r>
      <w:r w:rsidRPr="000E046B">
        <w:rPr>
          <w:snapToGrid w:val="0"/>
          <w:szCs w:val="20"/>
        </w:rPr>
        <w:t xml:space="preserve"> </w:t>
      </w:r>
      <w:hyperlink r:id="rId6" w:history="1">
        <w:r w:rsidR="00A069E9" w:rsidRPr="00182CD4">
          <w:rPr>
            <w:rStyle w:val="Hyperlink"/>
          </w:rPr>
          <w:t>http://data.europa.eu/eli/reg/2014/600/oj</w:t>
        </w:r>
      </w:hyperlink>
      <w:r w:rsidRPr="000E046B">
        <w:rPr>
          <w:szCs w:val="20"/>
        </w:rPr>
        <w:t>)</w:t>
      </w:r>
      <w:r w:rsidRPr="000E046B">
        <w:rPr>
          <w:i/>
          <w:snapToGrid w:val="0"/>
          <w:szCs w:val="20"/>
        </w:rPr>
        <w:t>.</w:t>
      </w:r>
    </w:p>
  </w:footnote>
  <w:footnote w:id="21">
    <w:p w14:paraId="5AD72DC1" w14:textId="7A32B735" w:rsidR="009B2E3A" w:rsidRPr="000E046B" w:rsidRDefault="009B2E3A" w:rsidP="000E046B">
      <w:pPr>
        <w:pStyle w:val="title-bold"/>
        <w:shd w:val="clear" w:color="auto" w:fill="FFFFFF"/>
        <w:spacing w:before="0" w:beforeAutospacing="0" w:after="75" w:afterAutospacing="0"/>
        <w:ind w:left="567" w:hanging="567"/>
      </w:pPr>
      <w:r w:rsidRPr="000E046B">
        <w:rPr>
          <w:rStyle w:val="FootnoteReference"/>
        </w:rPr>
        <w:footnoteRef/>
      </w:r>
      <w:r w:rsidR="000E046B" w:rsidRPr="000E046B">
        <w:rPr>
          <w:snapToGrid w:val="0"/>
        </w:rPr>
        <w:t xml:space="preserve"> </w:t>
      </w:r>
      <w:r w:rsidR="000E046B" w:rsidRPr="000E046B">
        <w:rPr>
          <w:snapToGrid w:val="0"/>
        </w:rPr>
        <w:tab/>
      </w:r>
      <w:r w:rsidRPr="000E046B">
        <w:rPr>
          <w:snapToGrid w:val="0"/>
        </w:rPr>
        <w:t xml:space="preserve">Eiropas Parlamenta un Padomes Regula (ES) Nr. 648/2012 (2012. gada 4. jūlijs) par </w:t>
      </w:r>
      <w:proofErr w:type="spellStart"/>
      <w:r w:rsidRPr="000E046B">
        <w:rPr>
          <w:snapToGrid w:val="0"/>
        </w:rPr>
        <w:t>ārpusbiržas</w:t>
      </w:r>
      <w:proofErr w:type="spellEnd"/>
      <w:r w:rsidRPr="000E046B">
        <w:rPr>
          <w:snapToGrid w:val="0"/>
        </w:rPr>
        <w:t xml:space="preserve"> atvasinātajiem instrumentiem, centrālajiem darījumu partneriem un darījumu reģistriem, OV L 201, 27.7.2012., 1. lpp., ELI: </w:t>
      </w:r>
      <w:hyperlink r:id="rId7" w:history="1">
        <w:r w:rsidR="00A069E9" w:rsidRPr="00182CD4">
          <w:rPr>
            <w:rStyle w:val="Hyperlink"/>
          </w:rPr>
          <w:t>http://data.europa.eu/eli/reg/2012/648/oj</w:t>
        </w:r>
      </w:hyperlink>
      <w:r w:rsidRPr="000E046B">
        <w:rPr>
          <w:snapToGrid w:val="0"/>
        </w:rPr>
        <w:t>).</w:t>
      </w:r>
    </w:p>
  </w:footnote>
  <w:footnote w:id="22">
    <w:p w14:paraId="0C031A16" w14:textId="06AB5828" w:rsidR="009B2E3A" w:rsidRPr="000E046B" w:rsidRDefault="009B2E3A" w:rsidP="000E046B">
      <w:pPr>
        <w:pStyle w:val="FootnoteText"/>
        <w:ind w:left="567" w:hanging="567"/>
        <w:rPr>
          <w:i/>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Eiropas Parlamenta un Padomes Regula (ES) Nr. 909/2014 (2014. gada 23. jūlijs) par vērtspapīru norēķinu uzlabošanu Eiropas Savienībā, centrālajiem vērtspapīru depozitārijiem un grozījumiem Direktīvās 98/26/EK un 2014/65/ES un Regulā (ES) Nr. 236/2012 (OV L 257, 28.8.2014., 1. </w:t>
      </w:r>
      <w:r w:rsidRPr="000E046B">
        <w:rPr>
          <w:sz w:val="24"/>
          <w:lang w:val="lv-LV"/>
        </w:rPr>
        <w:t>lpp., ELI:</w:t>
      </w:r>
      <w:r w:rsidRPr="000E046B">
        <w:rPr>
          <w:sz w:val="24"/>
          <w:u w:val="single"/>
          <w:lang w:val="lv-LV"/>
        </w:rPr>
        <w:t> </w:t>
      </w:r>
      <w:hyperlink r:id="rId8" w:history="1">
        <w:r w:rsidR="00A069E9" w:rsidRPr="00253052">
          <w:rPr>
            <w:rStyle w:val="Hyperlink"/>
            <w:sz w:val="24"/>
            <w:lang w:val="lv-LV"/>
          </w:rPr>
          <w:t>http://data.europa.eu/eli/reg/2014/909/oj</w:t>
        </w:r>
      </w:hyperlink>
      <w:r w:rsidRPr="000E046B">
        <w:rPr>
          <w:sz w:val="24"/>
          <w:lang w:val="lv-LV"/>
        </w:rPr>
        <w:t>).</w:t>
      </w:r>
    </w:p>
  </w:footnote>
  <w:footnote w:id="23">
    <w:p w14:paraId="6E0C70B7" w14:textId="76619938"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Eiropas Parlamenta un Padomes Regula (ES) 2019/2088 (2019. gada 27. novembris) par informācijas atklāšanu, kas saistīta ar ilgtspēju, finanšu pakalpojumu nozarē (OV L 317, 9.12.2019., 1. </w:t>
      </w:r>
      <w:r w:rsidRPr="000E046B">
        <w:rPr>
          <w:sz w:val="24"/>
          <w:lang w:val="lv-LV"/>
        </w:rPr>
        <w:t>lpp., ELI: </w:t>
      </w:r>
      <w:hyperlink r:id="rId9" w:history="1">
        <w:r w:rsidR="00A069E9" w:rsidRPr="00253052">
          <w:rPr>
            <w:rStyle w:val="Hyperlink"/>
            <w:sz w:val="24"/>
            <w:lang w:val="lv-LV"/>
          </w:rPr>
          <w:t>http://data.europa.eu/eli/reg/2019/2088/oj</w:t>
        </w:r>
      </w:hyperlink>
      <w:r w:rsidRPr="000E046B">
        <w:rPr>
          <w:sz w:val="24"/>
          <w:lang w:val="lv-LV"/>
        </w:rPr>
        <w:t>).</w:t>
      </w:r>
    </w:p>
  </w:footnote>
  <w:footnote w:id="24">
    <w:p w14:paraId="6E4D1B8E" w14:textId="0F73C8B5"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Komisijas 2023. gada 12. septembra priekšlikums Padomes direktīvai par uzņēmējdarbību Eiropā: ienākuma nodokļu sistēma </w:t>
      </w:r>
      <w:r w:rsidRPr="000E046B">
        <w:rPr>
          <w:i/>
          <w:iCs/>
          <w:sz w:val="24"/>
          <w:lang w:val="lv-LV"/>
        </w:rPr>
        <w:t>(BEFIT</w:t>
      </w:r>
      <w:r w:rsidRPr="000E046B">
        <w:rPr>
          <w:sz w:val="24"/>
          <w:lang w:val="lv-LV"/>
        </w:rPr>
        <w:t>) (COM(2023)0532), paskaidrojuma raksts, 5. lpp.</w:t>
      </w:r>
    </w:p>
  </w:footnote>
  <w:footnote w:id="25">
    <w:p w14:paraId="1F271930" w14:textId="3716109B"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Francijas Ekonomikas, finanšu un rūpnieciskās un digitālās suverenitātes ministrijas paziņojums presei </w:t>
      </w:r>
      <w:proofErr w:type="spellStart"/>
      <w:r w:rsidRPr="000E046B">
        <w:rPr>
          <w:i/>
          <w:sz w:val="24"/>
          <w:lang w:val="lv-LV"/>
        </w:rPr>
        <w:t>Launch</w:t>
      </w:r>
      <w:proofErr w:type="spellEnd"/>
      <w:r w:rsidRPr="000E046B">
        <w:rPr>
          <w:i/>
          <w:sz w:val="24"/>
          <w:lang w:val="lv-LV"/>
        </w:rPr>
        <w:t xml:space="preserve"> </w:t>
      </w:r>
      <w:proofErr w:type="spellStart"/>
      <w:r w:rsidRPr="000E046B">
        <w:rPr>
          <w:i/>
          <w:sz w:val="24"/>
          <w:lang w:val="lv-LV"/>
        </w:rPr>
        <w:t>of</w:t>
      </w:r>
      <w:proofErr w:type="spellEnd"/>
      <w:r w:rsidRPr="000E046B">
        <w:rPr>
          <w:i/>
          <w:sz w:val="24"/>
          <w:lang w:val="lv-LV"/>
        </w:rPr>
        <w:t xml:space="preserve"> </w:t>
      </w:r>
      <w:proofErr w:type="spellStart"/>
      <w:r w:rsidRPr="000E046B">
        <w:rPr>
          <w:i/>
          <w:sz w:val="24"/>
          <w:lang w:val="lv-LV"/>
        </w:rPr>
        <w:t>the</w:t>
      </w:r>
      <w:proofErr w:type="spellEnd"/>
      <w:r w:rsidRPr="000E046B">
        <w:rPr>
          <w:i/>
          <w:sz w:val="24"/>
          <w:lang w:val="lv-LV"/>
        </w:rPr>
        <w:t xml:space="preserve"> “Finance </w:t>
      </w:r>
      <w:proofErr w:type="spellStart"/>
      <w:r w:rsidRPr="000E046B">
        <w:rPr>
          <w:i/>
          <w:sz w:val="24"/>
          <w:lang w:val="lv-LV"/>
        </w:rPr>
        <w:t>Europe</w:t>
      </w:r>
      <w:proofErr w:type="spellEnd"/>
      <w:r w:rsidRPr="000E046B">
        <w:rPr>
          <w:i/>
          <w:sz w:val="24"/>
          <w:lang w:val="lv-LV"/>
        </w:rPr>
        <w:t xml:space="preserve">” </w:t>
      </w:r>
      <w:proofErr w:type="spellStart"/>
      <w:r w:rsidRPr="000E046B">
        <w:rPr>
          <w:i/>
          <w:sz w:val="24"/>
          <w:lang w:val="lv-LV"/>
        </w:rPr>
        <w:t>Label</w:t>
      </w:r>
      <w:proofErr w:type="spellEnd"/>
      <w:r w:rsidRPr="000E046B">
        <w:rPr>
          <w:i/>
          <w:sz w:val="24"/>
          <w:lang w:val="lv-LV"/>
        </w:rPr>
        <w:t xml:space="preserve">: </w:t>
      </w:r>
      <w:proofErr w:type="spellStart"/>
      <w:r w:rsidRPr="000E046B">
        <w:rPr>
          <w:i/>
          <w:sz w:val="24"/>
          <w:lang w:val="lv-LV"/>
        </w:rPr>
        <w:t>creating</w:t>
      </w:r>
      <w:proofErr w:type="spellEnd"/>
      <w:r w:rsidRPr="000E046B">
        <w:rPr>
          <w:i/>
          <w:sz w:val="24"/>
          <w:lang w:val="lv-LV"/>
        </w:rPr>
        <w:t xml:space="preserve"> </w:t>
      </w:r>
      <w:proofErr w:type="spellStart"/>
      <w:r w:rsidRPr="000E046B">
        <w:rPr>
          <w:i/>
          <w:sz w:val="24"/>
          <w:lang w:val="lv-LV"/>
        </w:rPr>
        <w:t>investment</w:t>
      </w:r>
      <w:proofErr w:type="spellEnd"/>
      <w:r w:rsidRPr="000E046B">
        <w:rPr>
          <w:i/>
          <w:sz w:val="24"/>
          <w:lang w:val="lv-LV"/>
        </w:rPr>
        <w:t xml:space="preserve"> </w:t>
      </w:r>
      <w:proofErr w:type="spellStart"/>
      <w:r w:rsidRPr="000E046B">
        <w:rPr>
          <w:i/>
          <w:sz w:val="24"/>
          <w:lang w:val="lv-LV"/>
        </w:rPr>
        <w:t>opportunities</w:t>
      </w:r>
      <w:proofErr w:type="spellEnd"/>
      <w:r w:rsidRPr="000E046B">
        <w:rPr>
          <w:i/>
          <w:sz w:val="24"/>
          <w:lang w:val="lv-LV"/>
        </w:rPr>
        <w:t xml:space="preserve"> </w:t>
      </w:r>
      <w:proofErr w:type="spellStart"/>
      <w:r w:rsidRPr="000E046B">
        <w:rPr>
          <w:i/>
          <w:sz w:val="24"/>
          <w:lang w:val="lv-LV"/>
        </w:rPr>
        <w:t>for</w:t>
      </w:r>
      <w:proofErr w:type="spellEnd"/>
      <w:r w:rsidRPr="000E046B">
        <w:rPr>
          <w:i/>
          <w:sz w:val="24"/>
          <w:lang w:val="lv-LV"/>
        </w:rPr>
        <w:t xml:space="preserve"> </w:t>
      </w:r>
      <w:proofErr w:type="spellStart"/>
      <w:r w:rsidRPr="000E046B">
        <w:rPr>
          <w:i/>
          <w:sz w:val="24"/>
          <w:lang w:val="lv-LV"/>
        </w:rPr>
        <w:t>financing</w:t>
      </w:r>
      <w:proofErr w:type="spellEnd"/>
      <w:r w:rsidRPr="000E046B">
        <w:rPr>
          <w:i/>
          <w:sz w:val="24"/>
          <w:lang w:val="lv-LV"/>
        </w:rPr>
        <w:t xml:space="preserve"> </w:t>
      </w:r>
      <w:proofErr w:type="spellStart"/>
      <w:r w:rsidRPr="000E046B">
        <w:rPr>
          <w:i/>
          <w:sz w:val="24"/>
          <w:lang w:val="lv-LV"/>
        </w:rPr>
        <w:t>the</w:t>
      </w:r>
      <w:proofErr w:type="spellEnd"/>
      <w:r w:rsidRPr="000E046B">
        <w:rPr>
          <w:i/>
          <w:sz w:val="24"/>
          <w:lang w:val="lv-LV"/>
        </w:rPr>
        <w:t xml:space="preserve"> </w:t>
      </w:r>
      <w:proofErr w:type="spellStart"/>
      <w:r w:rsidRPr="000E046B">
        <w:rPr>
          <w:i/>
          <w:sz w:val="24"/>
          <w:lang w:val="lv-LV"/>
        </w:rPr>
        <w:t>European</w:t>
      </w:r>
      <w:proofErr w:type="spellEnd"/>
      <w:r w:rsidRPr="000E046B">
        <w:rPr>
          <w:i/>
          <w:sz w:val="24"/>
          <w:lang w:val="lv-LV"/>
        </w:rPr>
        <w:t xml:space="preserve"> </w:t>
      </w:r>
      <w:proofErr w:type="spellStart"/>
      <w:r w:rsidRPr="000E046B">
        <w:rPr>
          <w:i/>
          <w:sz w:val="24"/>
          <w:lang w:val="lv-LV"/>
        </w:rPr>
        <w:t>economy</w:t>
      </w:r>
      <w:proofErr w:type="spellEnd"/>
      <w:r w:rsidRPr="000E046B">
        <w:rPr>
          <w:sz w:val="24"/>
          <w:lang w:val="lv-LV"/>
        </w:rPr>
        <w:t>, 2025. gada 6. </w:t>
      </w:r>
      <w:r w:rsidRPr="000E046B">
        <w:rPr>
          <w:sz w:val="24"/>
          <w:lang w:val="lv-LV"/>
        </w:rPr>
        <w:t xml:space="preserve">jūnijs, </w:t>
      </w:r>
      <w:hyperlink r:id="rId10" w:history="1">
        <w:r w:rsidRPr="000E046B">
          <w:rPr>
            <w:rStyle w:val="Hyperlink"/>
            <w:sz w:val="24"/>
            <w:lang w:val="lv-LV"/>
          </w:rPr>
          <w:t>https://presse.economie.gouv.fr/lancement-du-label-europeen-finance-europe-pour-que-lepargne-des-europeens-contribue-au-financement-de-leconomie-europeenne/</w:t>
        </w:r>
      </w:hyperlink>
      <w:r w:rsidRPr="000E046B">
        <w:rPr>
          <w:sz w:val="24"/>
          <w:lang w:val="lv-LV"/>
        </w:rPr>
        <w:t xml:space="preserve">. </w:t>
      </w:r>
    </w:p>
  </w:footnote>
  <w:footnote w:id="26">
    <w:p w14:paraId="39FE10FE" w14:textId="193FFD5F" w:rsidR="009B2E3A" w:rsidRPr="000E046B" w:rsidRDefault="009B2E3A" w:rsidP="000E046B">
      <w:pPr>
        <w:pStyle w:val="FootnoteText"/>
        <w:ind w:left="567" w:hanging="567"/>
        <w:rPr>
          <w:sz w:val="24"/>
          <w:lang w:val="lv-LV"/>
        </w:rPr>
      </w:pPr>
      <w:r w:rsidRPr="000E046B">
        <w:rPr>
          <w:rStyle w:val="FootnoteReference"/>
          <w:sz w:val="24"/>
          <w:lang w:val="lv-LV"/>
        </w:rPr>
        <w:footnoteRef/>
      </w:r>
      <w:r w:rsidR="000E046B" w:rsidRPr="000E046B">
        <w:rPr>
          <w:sz w:val="24"/>
          <w:lang w:val="lv-LV"/>
        </w:rPr>
        <w:t xml:space="preserve"> </w:t>
      </w:r>
      <w:r w:rsidR="000E046B" w:rsidRPr="000E046B">
        <w:rPr>
          <w:sz w:val="24"/>
          <w:lang w:val="lv-LV"/>
        </w:rPr>
        <w:tab/>
      </w:r>
      <w:r w:rsidRPr="000E046B">
        <w:rPr>
          <w:sz w:val="24"/>
          <w:lang w:val="lv-LV"/>
        </w:rPr>
        <w:t xml:space="preserve">Eiropas Komisija, </w:t>
      </w:r>
      <w:proofErr w:type="spellStart"/>
      <w:r w:rsidRPr="000E046B">
        <w:rPr>
          <w:i/>
          <w:sz w:val="24"/>
          <w:lang w:val="lv-LV"/>
        </w:rPr>
        <w:t>Feasibility</w:t>
      </w:r>
      <w:proofErr w:type="spellEnd"/>
      <w:r w:rsidRPr="000E046B">
        <w:rPr>
          <w:i/>
          <w:sz w:val="24"/>
          <w:lang w:val="lv-LV"/>
        </w:rPr>
        <w:t xml:space="preserve"> </w:t>
      </w:r>
      <w:proofErr w:type="spellStart"/>
      <w:r w:rsidRPr="000E046B">
        <w:rPr>
          <w:i/>
          <w:sz w:val="24"/>
          <w:lang w:val="lv-LV"/>
        </w:rPr>
        <w:t>study</w:t>
      </w:r>
      <w:proofErr w:type="spellEnd"/>
      <w:r w:rsidRPr="000E046B">
        <w:rPr>
          <w:i/>
          <w:sz w:val="24"/>
          <w:lang w:val="lv-LV"/>
        </w:rPr>
        <w:t xml:space="preserve"> </w:t>
      </w:r>
      <w:proofErr w:type="spellStart"/>
      <w:r w:rsidRPr="000E046B">
        <w:rPr>
          <w:i/>
          <w:sz w:val="24"/>
          <w:lang w:val="lv-LV"/>
        </w:rPr>
        <w:t>for</w:t>
      </w:r>
      <w:proofErr w:type="spellEnd"/>
      <w:r w:rsidRPr="000E046B">
        <w:rPr>
          <w:i/>
          <w:sz w:val="24"/>
          <w:lang w:val="lv-LV"/>
        </w:rPr>
        <w:t xml:space="preserve"> </w:t>
      </w:r>
      <w:proofErr w:type="spellStart"/>
      <w:r w:rsidRPr="000E046B">
        <w:rPr>
          <w:i/>
          <w:sz w:val="24"/>
          <w:lang w:val="lv-LV"/>
        </w:rPr>
        <w:t>the</w:t>
      </w:r>
      <w:proofErr w:type="spellEnd"/>
      <w:r w:rsidRPr="000E046B">
        <w:rPr>
          <w:i/>
          <w:sz w:val="24"/>
          <w:lang w:val="lv-LV"/>
        </w:rPr>
        <w:t xml:space="preserve"> </w:t>
      </w:r>
      <w:proofErr w:type="spellStart"/>
      <w:r w:rsidRPr="000E046B">
        <w:rPr>
          <w:i/>
          <w:sz w:val="24"/>
          <w:lang w:val="lv-LV"/>
        </w:rPr>
        <w:t>creation</w:t>
      </w:r>
      <w:proofErr w:type="spellEnd"/>
      <w:r w:rsidRPr="000E046B">
        <w:rPr>
          <w:i/>
          <w:sz w:val="24"/>
          <w:lang w:val="lv-LV"/>
        </w:rPr>
        <w:t xml:space="preserve"> </w:t>
      </w:r>
      <w:proofErr w:type="spellStart"/>
      <w:r w:rsidRPr="000E046B">
        <w:rPr>
          <w:i/>
          <w:sz w:val="24"/>
          <w:lang w:val="lv-LV"/>
        </w:rPr>
        <w:t>of</w:t>
      </w:r>
      <w:proofErr w:type="spellEnd"/>
      <w:r w:rsidRPr="000E046B">
        <w:rPr>
          <w:i/>
          <w:sz w:val="24"/>
          <w:lang w:val="lv-LV"/>
        </w:rPr>
        <w:t xml:space="preserve"> a CMU </w:t>
      </w:r>
      <w:proofErr w:type="spellStart"/>
      <w:r w:rsidRPr="000E046B">
        <w:rPr>
          <w:i/>
          <w:sz w:val="24"/>
          <w:lang w:val="lv-LV"/>
        </w:rPr>
        <w:t>Equity</w:t>
      </w:r>
      <w:proofErr w:type="spellEnd"/>
      <w:r w:rsidRPr="000E046B">
        <w:rPr>
          <w:i/>
          <w:sz w:val="24"/>
          <w:lang w:val="lv-LV"/>
        </w:rPr>
        <w:t xml:space="preserve"> </w:t>
      </w:r>
      <w:proofErr w:type="spellStart"/>
      <w:r w:rsidRPr="000E046B">
        <w:rPr>
          <w:i/>
          <w:sz w:val="24"/>
          <w:lang w:val="lv-LV"/>
        </w:rPr>
        <w:t>Market</w:t>
      </w:r>
      <w:proofErr w:type="spellEnd"/>
      <w:r w:rsidRPr="000E046B">
        <w:rPr>
          <w:i/>
          <w:sz w:val="24"/>
          <w:lang w:val="lv-LV"/>
        </w:rPr>
        <w:t xml:space="preserve"> </w:t>
      </w:r>
      <w:proofErr w:type="spellStart"/>
      <w:r w:rsidRPr="000E046B">
        <w:rPr>
          <w:i/>
          <w:sz w:val="24"/>
          <w:lang w:val="lv-LV"/>
        </w:rPr>
        <w:t>Index</w:t>
      </w:r>
      <w:proofErr w:type="spellEnd"/>
      <w:r w:rsidRPr="000E046B">
        <w:rPr>
          <w:i/>
          <w:sz w:val="24"/>
          <w:lang w:val="lv-LV"/>
        </w:rPr>
        <w:t xml:space="preserve"> </w:t>
      </w:r>
      <w:proofErr w:type="spellStart"/>
      <w:r w:rsidRPr="000E046B">
        <w:rPr>
          <w:i/>
          <w:sz w:val="24"/>
          <w:lang w:val="lv-LV"/>
        </w:rPr>
        <w:t>Family</w:t>
      </w:r>
      <w:proofErr w:type="spellEnd"/>
      <w:r w:rsidRPr="000E046B">
        <w:rPr>
          <w:sz w:val="24"/>
          <w:lang w:val="lv-LV"/>
        </w:rPr>
        <w:t>, 2020. </w:t>
      </w:r>
      <w:r w:rsidRPr="000E046B">
        <w:rPr>
          <w:sz w:val="24"/>
          <w:lang w:val="lv-LV"/>
        </w:rPr>
        <w:t xml:space="preserve">g., </w:t>
      </w:r>
      <w:hyperlink r:id="rId11" w:history="1">
        <w:r w:rsidR="00A069E9" w:rsidRPr="00A069E9">
          <w:rPr>
            <w:rStyle w:val="Hyperlink"/>
            <w:sz w:val="24"/>
            <w:lang w:val="en-GB"/>
          </w:rPr>
          <w:t>https://op.europa.eu/en/publication-detail/-/publication/1562efbd-cbc6-11ea-adf7-01aa75ed71a1/language-en/</w:t>
        </w:r>
      </w:hyperlink>
      <w:r w:rsidRPr="000E046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5B156" w14:textId="77777777" w:rsidR="00064002" w:rsidRPr="000E04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D0520" w14:textId="77777777" w:rsidR="00064002" w:rsidRPr="000E04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59BE0" w14:textId="77777777" w:rsidR="00064002" w:rsidRPr="000E04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4305787">
    <w:abstractNumId w:val="9"/>
  </w:num>
  <w:num w:numId="2" w16cid:durableId="760949801">
    <w:abstractNumId w:val="9"/>
  </w:num>
  <w:num w:numId="3" w16cid:durableId="1082214059">
    <w:abstractNumId w:val="7"/>
  </w:num>
  <w:num w:numId="4" w16cid:durableId="1905989578">
    <w:abstractNumId w:val="7"/>
  </w:num>
  <w:num w:numId="5" w16cid:durableId="1991591324">
    <w:abstractNumId w:val="6"/>
  </w:num>
  <w:num w:numId="6" w16cid:durableId="2137750261">
    <w:abstractNumId w:val="6"/>
  </w:num>
  <w:num w:numId="7" w16cid:durableId="665597341">
    <w:abstractNumId w:val="5"/>
  </w:num>
  <w:num w:numId="8" w16cid:durableId="1762800029">
    <w:abstractNumId w:val="5"/>
  </w:num>
  <w:num w:numId="9" w16cid:durableId="883446153">
    <w:abstractNumId w:val="4"/>
  </w:num>
  <w:num w:numId="10" w16cid:durableId="1102988996">
    <w:abstractNumId w:val="4"/>
  </w:num>
  <w:num w:numId="11" w16cid:durableId="318119686">
    <w:abstractNumId w:val="8"/>
  </w:num>
  <w:num w:numId="12" w16cid:durableId="630135663">
    <w:abstractNumId w:val="8"/>
  </w:num>
  <w:num w:numId="13" w16cid:durableId="1128007210">
    <w:abstractNumId w:val="3"/>
  </w:num>
  <w:num w:numId="14" w16cid:durableId="1305891609">
    <w:abstractNumId w:val="3"/>
  </w:num>
  <w:num w:numId="15" w16cid:durableId="2034306283">
    <w:abstractNumId w:val="2"/>
  </w:num>
  <w:num w:numId="16" w16cid:durableId="1110509346">
    <w:abstractNumId w:val="2"/>
  </w:num>
  <w:num w:numId="17" w16cid:durableId="873269951">
    <w:abstractNumId w:val="1"/>
  </w:num>
  <w:num w:numId="18" w16cid:durableId="722950600">
    <w:abstractNumId w:val="1"/>
  </w:num>
  <w:num w:numId="19" w16cid:durableId="1963264338">
    <w:abstractNumId w:val="0"/>
  </w:num>
  <w:num w:numId="20" w16cid:durableId="1794980496">
    <w:abstractNumId w:val="0"/>
  </w:num>
  <w:num w:numId="21" w16cid:durableId="662852417">
    <w:abstractNumId w:val="9"/>
  </w:num>
  <w:num w:numId="22" w16cid:durableId="750008349">
    <w:abstractNumId w:val="7"/>
  </w:num>
  <w:num w:numId="23" w16cid:durableId="314921881">
    <w:abstractNumId w:val="6"/>
  </w:num>
  <w:num w:numId="24" w16cid:durableId="1833330938">
    <w:abstractNumId w:val="5"/>
  </w:num>
  <w:num w:numId="25" w16cid:durableId="858929365">
    <w:abstractNumId w:val="4"/>
  </w:num>
  <w:num w:numId="26" w16cid:durableId="1288198207">
    <w:abstractNumId w:val="8"/>
  </w:num>
  <w:num w:numId="27" w16cid:durableId="1800949642">
    <w:abstractNumId w:val="3"/>
  </w:num>
  <w:num w:numId="28" w16cid:durableId="522323582">
    <w:abstractNumId w:val="2"/>
  </w:num>
  <w:num w:numId="29" w16cid:durableId="1273828990">
    <w:abstractNumId w:val="1"/>
  </w:num>
  <w:num w:numId="30" w16cid:durableId="1553693207">
    <w:abstractNumId w:val="0"/>
  </w:num>
  <w:num w:numId="31" w16cid:durableId="737364986">
    <w:abstractNumId w:val="9"/>
  </w:num>
  <w:num w:numId="32" w16cid:durableId="674572196">
    <w:abstractNumId w:val="7"/>
  </w:num>
  <w:num w:numId="33" w16cid:durableId="131868959">
    <w:abstractNumId w:val="6"/>
  </w:num>
  <w:num w:numId="34" w16cid:durableId="1948655257">
    <w:abstractNumId w:val="5"/>
  </w:num>
  <w:num w:numId="35" w16cid:durableId="1544367501">
    <w:abstractNumId w:val="4"/>
  </w:num>
  <w:num w:numId="36" w16cid:durableId="1865754182">
    <w:abstractNumId w:val="8"/>
  </w:num>
  <w:num w:numId="37" w16cid:durableId="944459518">
    <w:abstractNumId w:val="3"/>
  </w:num>
  <w:num w:numId="38" w16cid:durableId="739716712">
    <w:abstractNumId w:val="2"/>
  </w:num>
  <w:num w:numId="39" w16cid:durableId="1763137680">
    <w:abstractNumId w:val="1"/>
  </w:num>
  <w:num w:numId="40" w16cid:durableId="787625238">
    <w:abstractNumId w:val="0"/>
  </w:num>
  <w:num w:numId="41" w16cid:durableId="495149874">
    <w:abstractNumId w:val="10"/>
  </w:num>
  <w:num w:numId="42" w16cid:durableId="1766875319">
    <w:abstractNumId w:val="10"/>
  </w:num>
  <w:num w:numId="43" w16cid:durableId="250311874">
    <w:abstractNumId w:val="10"/>
  </w:num>
  <w:num w:numId="44" w16cid:durableId="539705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LV"/>
    <w:docVar w:name="dvnumam" w:val="30"/>
    <w:docVar w:name="dvpe" w:val="770.112"/>
    <w:docVar w:name="dvrapporteur" w:val="Referente: "/>
    <w:docVar w:name="dvtitre" w:val="Eiropas Parlamenta 2025. gada XX. XXX  rezolūcija par atvieglotu investīciju un reformu finansēšanu Eiropas konkurētspējas uzlabošanai un kapitāla tirgu savienības izveidi (M. Draghi ziņojums)(2024/2116(INI))"/>
  </w:docVars>
  <w:rsids>
    <w:rsidRoot w:val="00876D17"/>
    <w:rsid w:val="00002272"/>
    <w:rsid w:val="00064002"/>
    <w:rsid w:val="000677B9"/>
    <w:rsid w:val="000831BA"/>
    <w:rsid w:val="000A42CC"/>
    <w:rsid w:val="000E046B"/>
    <w:rsid w:val="000E7DD9"/>
    <w:rsid w:val="0010095E"/>
    <w:rsid w:val="00125B37"/>
    <w:rsid w:val="00187494"/>
    <w:rsid w:val="001F32AE"/>
    <w:rsid w:val="00201B4E"/>
    <w:rsid w:val="0024597B"/>
    <w:rsid w:val="0025305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D17"/>
    <w:rsid w:val="00881A7B"/>
    <w:rsid w:val="008840E5"/>
    <w:rsid w:val="00887B3E"/>
    <w:rsid w:val="008C2AC6"/>
    <w:rsid w:val="00912A7B"/>
    <w:rsid w:val="00930C23"/>
    <w:rsid w:val="0093193B"/>
    <w:rsid w:val="009509D8"/>
    <w:rsid w:val="00950B64"/>
    <w:rsid w:val="00981893"/>
    <w:rsid w:val="009B2E3A"/>
    <w:rsid w:val="00A069E9"/>
    <w:rsid w:val="00A1687D"/>
    <w:rsid w:val="00A43E52"/>
    <w:rsid w:val="00A4678D"/>
    <w:rsid w:val="00A778C7"/>
    <w:rsid w:val="00AB441E"/>
    <w:rsid w:val="00AB6293"/>
    <w:rsid w:val="00AE0928"/>
    <w:rsid w:val="00AF3B82"/>
    <w:rsid w:val="00B12E95"/>
    <w:rsid w:val="00B22876"/>
    <w:rsid w:val="00B41A0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6524D"/>
  <w15:chartTrackingRefBased/>
  <w15:docId w15:val="{43756059-7602-4157-8B27-2838FB39B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2E3A"/>
    <w:pPr>
      <w:spacing w:before="480" w:after="240"/>
    </w:pPr>
    <w:rPr>
      <w:snapToGrid w:val="0"/>
      <w:lang w:eastAsia="en-US"/>
    </w:rPr>
  </w:style>
  <w:style w:type="paragraph" w:customStyle="1" w:styleId="NormalBold">
    <w:name w:val="NormalBold"/>
    <w:basedOn w:val="Normal"/>
    <w:rsid w:val="009B2E3A"/>
    <w:rPr>
      <w:b/>
      <w:snapToGrid w:val="0"/>
      <w:lang w:eastAsia="en-US"/>
    </w:rPr>
  </w:style>
  <w:style w:type="paragraph" w:customStyle="1" w:styleId="NormalHanging12a">
    <w:name w:val="NormalHanging12a"/>
    <w:basedOn w:val="Normal"/>
    <w:rsid w:val="009B2E3A"/>
    <w:pPr>
      <w:widowControl/>
      <w:spacing w:after="240"/>
      <w:ind w:left="567" w:hanging="567"/>
    </w:pPr>
    <w:rPr>
      <w:snapToGrid w:val="0"/>
      <w:lang w:eastAsia="en-US"/>
    </w:rPr>
  </w:style>
  <w:style w:type="paragraph" w:customStyle="1" w:styleId="NormalCenter12a">
    <w:name w:val="NormalCenter12a"/>
    <w:basedOn w:val="Normal"/>
    <w:rsid w:val="009B2E3A"/>
    <w:pPr>
      <w:spacing w:after="240"/>
      <w:jc w:val="center"/>
    </w:pPr>
  </w:style>
  <w:style w:type="character" w:customStyle="1" w:styleId="BoldItalic">
    <w:name w:val="BoldItalic"/>
    <w:uiPriority w:val="1"/>
    <w:rsid w:val="009B2E3A"/>
    <w:rPr>
      <w:b/>
      <w:i/>
      <w:u w:val="none"/>
    </w:rPr>
  </w:style>
  <w:style w:type="character" w:customStyle="1" w:styleId="Italic">
    <w:name w:val="Italic"/>
    <w:uiPriority w:val="1"/>
    <w:rsid w:val="009B2E3A"/>
    <w:rPr>
      <w:i/>
    </w:rPr>
  </w:style>
  <w:style w:type="paragraph" w:customStyle="1" w:styleId="Normal12a24b">
    <w:name w:val="Normal12a24b"/>
    <w:basedOn w:val="Normal"/>
    <w:rsid w:val="009B2E3A"/>
    <w:pPr>
      <w:spacing w:before="360" w:after="240"/>
    </w:pPr>
    <w:rPr>
      <w:snapToGrid w:val="0"/>
      <w:lang w:eastAsia="en-US"/>
    </w:rPr>
  </w:style>
  <w:style w:type="character" w:styleId="Hyperlink">
    <w:name w:val="Hyperlink"/>
    <w:basedOn w:val="DefaultParagraphFont"/>
    <w:uiPriority w:val="99"/>
    <w:rsid w:val="009B2E3A"/>
    <w:rPr>
      <w:color w:val="0000FF"/>
      <w:u w:val="single"/>
    </w:rPr>
  </w:style>
  <w:style w:type="paragraph" w:customStyle="1" w:styleId="title-bold">
    <w:name w:val="title-bold"/>
    <w:basedOn w:val="Normal"/>
    <w:rsid w:val="009B2E3A"/>
    <w:pPr>
      <w:widowControl/>
      <w:spacing w:before="100" w:beforeAutospacing="1" w:after="100" w:afterAutospacing="1"/>
    </w:pPr>
    <w:rPr>
      <w:szCs w:val="24"/>
    </w:rPr>
  </w:style>
  <w:style w:type="paragraph" w:styleId="Revision">
    <w:name w:val="Revision"/>
    <w:hidden/>
    <w:uiPriority w:val="99"/>
    <w:semiHidden/>
    <w:rsid w:val="00A069E9"/>
    <w:rPr>
      <w:sz w:val="24"/>
      <w:lang w:val="lv-LV"/>
    </w:rPr>
  </w:style>
  <w:style w:type="character" w:styleId="UnresolvedMention">
    <w:name w:val="Unresolved Mention"/>
    <w:basedOn w:val="DefaultParagraphFont"/>
    <w:uiPriority w:val="99"/>
    <w:semiHidden/>
    <w:unhideWhenUsed/>
    <w:rsid w:val="00A069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4/909/oj" TargetMode="External"/><Relationship Id="rId3" Type="http://schemas.openxmlformats.org/officeDocument/2006/relationships/hyperlink" Target="https://www.esm.europa.eu/articles-and-op-eds/developing-european-safe-assets-article-intereconomics" TargetMode="External"/><Relationship Id="rId7" Type="http://schemas.openxmlformats.org/officeDocument/2006/relationships/hyperlink" Target="http://data.europa.eu/eli/reg/2012/648/oj" TargetMode="External"/><Relationship Id="rId2" Type="http://schemas.openxmlformats.org/officeDocument/2006/relationships/hyperlink" Target="https://www.elibrary.imf.org/supplemental/book/9798400287312/9798400287312.xml/REOEUREA2024002-S001_SOURCE_PDF.pdf" TargetMode="External"/><Relationship Id="rId1" Type="http://schemas.openxmlformats.org/officeDocument/2006/relationships/hyperlink" Target="file:///\\ipolbrusncf01\userdocs$\hwysokinska\Documents\DocEP\TEMP\Eurostat,%20Financial%20flows%20and%20stocks,%202023.%20https:\ec.europa.eu\eurostat\databrowser\view\NASA_10_F_BS__custom_13650774\default\table?lang=en." TargetMode="External"/><Relationship Id="rId6" Type="http://schemas.openxmlformats.org/officeDocument/2006/relationships/hyperlink" Target="http://data.europa.eu/eli/reg/2014/600/oj" TargetMode="External"/><Relationship Id="rId11" Type="http://schemas.openxmlformats.org/officeDocument/2006/relationships/hyperlink" Target="https://op.europa.eu/en/publication-detail/-/publication/1562efbd-cbc6-11ea-adf7-01aa75ed71a1/language-en/" TargetMode="External"/><Relationship Id="rId5" Type="http://schemas.openxmlformats.org/officeDocument/2006/relationships/hyperlink" Target="http://data.europa.eu/eli/reg/2014/795/oj" TargetMode="External"/><Relationship Id="rId10" Type="http://schemas.openxmlformats.org/officeDocument/2006/relationships/hyperlink" Target="https://presse.economie.gouv.fr/lancement-du-label-europeen-finance-europe-pour-que-lepargne-des-europeens-contribue-au-financement-de-leconomie-europeenne/" TargetMode="External"/><Relationship Id="rId4" Type="http://schemas.openxmlformats.org/officeDocument/2006/relationships/hyperlink" Target="https://www.ceps.eu/its-finally-time-to-leverage-pension-funds-to-foster-eu-productivity-and-benefit-pensioners/" TargetMode="External"/><Relationship Id="rId9" Type="http://schemas.openxmlformats.org/officeDocument/2006/relationships/hyperlink" Target="http://data.europa.eu/eli/reg/2019/20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7829</Words>
  <Characters>52885</Characters>
  <Application>Microsoft Office Word</Application>
  <DocSecurity>0</DocSecurity>
  <Lines>440</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2025-09-10T14:39:00Z</dcterms:created>
  <dcterms:modified xsi:type="dcterms:W3CDTF">2025-09-10T14:39:00Z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A10-0124/2025</vt:lpwstr>
  </property>
  <property fmtid="{D5CDD505-2E9C-101B-9397-08002B2CF9AE}" pid="4" name="&lt;Type&gt;">
    <vt:lpwstr>RR</vt:lpwstr>
  </property>
</Properties>
</file>