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665E" w14:paraId="0F9FC9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E9AE88" w14:textId="77777777" w:rsidR="00751A4A" w:rsidRPr="00EB665E" w:rsidRDefault="00EB7088" w:rsidP="0010095E">
            <w:pPr>
              <w:pStyle w:val="EPName"/>
            </w:pPr>
            <w:r w:rsidRPr="00EB665E">
              <w:t>Parlament Europejski</w:t>
            </w:r>
          </w:p>
          <w:p w14:paraId="31D97A17" w14:textId="77777777" w:rsidR="00751A4A" w:rsidRPr="00EB665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665E">
              <w:t>2024</w:t>
            </w:r>
            <w:r w:rsidR="00817416" w:rsidRPr="00EB665E">
              <w:t>-202</w:t>
            </w:r>
            <w:r w:rsidRPr="00EB665E">
              <w:t>9</w:t>
            </w:r>
          </w:p>
        </w:tc>
        <w:tc>
          <w:tcPr>
            <w:tcW w:w="2268" w:type="dxa"/>
            <w:shd w:val="clear" w:color="auto" w:fill="auto"/>
          </w:tcPr>
          <w:p w14:paraId="7F2D804B" w14:textId="77777777" w:rsidR="00751A4A" w:rsidRPr="00EB665E" w:rsidRDefault="00187494" w:rsidP="0010095E">
            <w:pPr>
              <w:pStyle w:val="EPLogo"/>
            </w:pPr>
            <w:r w:rsidRPr="00EB665E">
              <w:rPr>
                <w:noProof/>
                <w:lang w:eastAsia="ja-JP"/>
              </w:rPr>
              <w:drawing>
                <wp:inline distT="0" distB="0" distL="0" distR="0" wp14:anchorId="4DFF49EE" wp14:editId="55C40B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FFA1D4" w14:textId="77777777" w:rsidR="00D058B8" w:rsidRPr="00EB665E" w:rsidRDefault="00D058B8" w:rsidP="004C5D52">
      <w:pPr>
        <w:pStyle w:val="LineTop"/>
      </w:pPr>
    </w:p>
    <w:p w14:paraId="0CF0418C" w14:textId="77777777" w:rsidR="00680577" w:rsidRPr="00EB665E" w:rsidRDefault="00EB7088" w:rsidP="00680577">
      <w:pPr>
        <w:pStyle w:val="EPBodyTA1"/>
      </w:pPr>
      <w:r w:rsidRPr="00EB665E">
        <w:t>TEKSTY PRZYJĘTE</w:t>
      </w:r>
    </w:p>
    <w:p w14:paraId="780F5154" w14:textId="77777777" w:rsidR="00D058B8" w:rsidRPr="00EB665E" w:rsidRDefault="00D058B8" w:rsidP="00D058B8">
      <w:pPr>
        <w:pStyle w:val="LineBottom"/>
      </w:pPr>
    </w:p>
    <w:p w14:paraId="7EAFE991" w14:textId="11BFEF9A" w:rsidR="00EB7088" w:rsidRPr="00EB665E" w:rsidRDefault="00EB7088" w:rsidP="00EB7088">
      <w:pPr>
        <w:pStyle w:val="ATHeading1"/>
      </w:pPr>
      <w:bookmarkStart w:id="0" w:name="TANumber"/>
      <w:r w:rsidRPr="00EB665E">
        <w:t>P10_</w:t>
      </w:r>
      <w:proofErr w:type="gramStart"/>
      <w:r w:rsidRPr="00EB665E">
        <w:t>TA(</w:t>
      </w:r>
      <w:proofErr w:type="gramEnd"/>
      <w:r w:rsidRPr="00EB665E">
        <w:t>2025)0</w:t>
      </w:r>
      <w:bookmarkEnd w:id="0"/>
      <w:r w:rsidR="00633F18">
        <w:t>185</w:t>
      </w:r>
    </w:p>
    <w:p w14:paraId="3DA048CD" w14:textId="62C6057E" w:rsidR="00EB7088" w:rsidRPr="00686F62" w:rsidRDefault="00686F62" w:rsidP="00686F62">
      <w:pPr>
        <w:pStyle w:val="ATHeading2"/>
      </w:pPr>
      <w:r w:rsidRPr="00686F62">
        <w:t>Ułatwienie finansowania inwestycji i reform mających na celu poprawę konkurencyjności Europy i</w:t>
      </w:r>
      <w:r>
        <w:t xml:space="preserve"> </w:t>
      </w:r>
      <w:r w:rsidRPr="00686F62">
        <w:t xml:space="preserve">stworzenie unii rynków kapitałowych (sprawozdanie </w:t>
      </w:r>
      <w:proofErr w:type="spellStart"/>
      <w:r w:rsidRPr="00686F62">
        <w:t>Draghiego</w:t>
      </w:r>
      <w:proofErr w:type="spellEnd"/>
      <w:r w:rsidRPr="00686F62">
        <w:t>)</w:t>
      </w:r>
    </w:p>
    <w:p w14:paraId="4915B451" w14:textId="77777777" w:rsidR="00EB7088" w:rsidRPr="00EB665E" w:rsidRDefault="00EB7088" w:rsidP="00EB7088">
      <w:pPr>
        <w:rPr>
          <w:i/>
          <w:vanish/>
        </w:rPr>
      </w:pPr>
      <w:r w:rsidRPr="00EB665E">
        <w:rPr>
          <w:i/>
        </w:rPr>
        <w:fldChar w:fldCharType="begin"/>
      </w:r>
      <w:r w:rsidRPr="00EB665E">
        <w:rPr>
          <w:i/>
        </w:rPr>
        <w:instrText xml:space="preserve"> TC"(</w:instrText>
      </w:r>
      <w:bookmarkStart w:id="1" w:name="DocNumber"/>
      <w:r w:rsidRPr="00EB665E">
        <w:rPr>
          <w:i/>
        </w:rPr>
        <w:instrText>A10-0124/2025</w:instrText>
      </w:r>
      <w:bookmarkEnd w:id="1"/>
      <w:r w:rsidRPr="00EB665E">
        <w:rPr>
          <w:i/>
        </w:rPr>
        <w:instrText xml:space="preserve"> - Sprawozdawca: Aurore Lalucq)"\l3 \n&gt; \* MERGEFORMAT </w:instrText>
      </w:r>
      <w:r w:rsidRPr="00EB665E">
        <w:rPr>
          <w:i/>
        </w:rPr>
        <w:fldChar w:fldCharType="end"/>
      </w:r>
    </w:p>
    <w:p w14:paraId="60B36B14" w14:textId="77777777" w:rsidR="00EB7088" w:rsidRPr="00EB665E" w:rsidRDefault="00EB7088" w:rsidP="00EB7088">
      <w:pPr>
        <w:rPr>
          <w:vanish/>
        </w:rPr>
      </w:pPr>
      <w:bookmarkStart w:id="2" w:name="Commission"/>
      <w:r w:rsidRPr="00EB665E">
        <w:rPr>
          <w:vanish/>
        </w:rPr>
        <w:t>Komisja Gospodarcza i Monetarna</w:t>
      </w:r>
      <w:bookmarkEnd w:id="2"/>
    </w:p>
    <w:p w14:paraId="5E1FCE6F" w14:textId="77777777" w:rsidR="00EB7088" w:rsidRPr="00EB665E" w:rsidRDefault="00EB7088" w:rsidP="00EB7088">
      <w:pPr>
        <w:rPr>
          <w:vanish/>
        </w:rPr>
      </w:pPr>
      <w:bookmarkStart w:id="3" w:name="PE"/>
      <w:r w:rsidRPr="00EB665E">
        <w:rPr>
          <w:vanish/>
        </w:rPr>
        <w:t>PE770.112</w:t>
      </w:r>
      <w:bookmarkEnd w:id="3"/>
    </w:p>
    <w:p w14:paraId="053F4EF2" w14:textId="40EECA78" w:rsidR="00EB7088" w:rsidRPr="00EB665E" w:rsidRDefault="00EB7088" w:rsidP="00EB7088">
      <w:pPr>
        <w:pStyle w:val="ATHeading3"/>
      </w:pPr>
      <w:bookmarkStart w:id="4" w:name="Sujet"/>
      <w:r w:rsidRPr="00EB665E">
        <w:t xml:space="preserve">Rezolucja Parlamentu Europejskiego z dnia </w:t>
      </w:r>
      <w:r w:rsidR="00686F62">
        <w:t>10 września</w:t>
      </w:r>
      <w:r w:rsidRPr="00EB665E">
        <w:t xml:space="preserve"> 2025 r. w sprawie ułatwienia finansowania inwestycji i reform mających na celu poprawę konkurencyjności Europy i stworzenie unii rynków kapitałowych (sprawozdanie </w:t>
      </w:r>
      <w:proofErr w:type="spellStart"/>
      <w:r w:rsidRPr="00EB665E">
        <w:t>Draghiego</w:t>
      </w:r>
      <w:proofErr w:type="spellEnd"/>
      <w:r w:rsidRPr="00EB665E">
        <w:t>)</w:t>
      </w:r>
      <w:bookmarkEnd w:id="4"/>
      <w:r w:rsidRPr="00EB665E">
        <w:t xml:space="preserve"> </w:t>
      </w:r>
      <w:bookmarkStart w:id="5" w:name="References"/>
      <w:r w:rsidRPr="00EB665E">
        <w:t>(2024/2116(INI))</w:t>
      </w:r>
      <w:bookmarkEnd w:id="5"/>
    </w:p>
    <w:p w14:paraId="6C2EBD69" w14:textId="77777777" w:rsidR="00C00A91" w:rsidRPr="00EB665E" w:rsidRDefault="00C00A91" w:rsidP="00C00A91">
      <w:pPr>
        <w:pStyle w:val="EPComma"/>
      </w:pPr>
      <w:r w:rsidRPr="00EB665E">
        <w:rPr>
          <w:rStyle w:val="Italic"/>
        </w:rPr>
        <w:t>Parlament Europejski</w:t>
      </w:r>
      <w:r w:rsidRPr="00EB665E">
        <w:t>,</w:t>
      </w:r>
    </w:p>
    <w:p w14:paraId="58254BCC" w14:textId="46F87DE0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publikację z </w:t>
      </w:r>
      <w:r w:rsidR="00686F62">
        <w:t xml:space="preserve">dnia </w:t>
      </w:r>
      <w:r w:rsidRPr="00EB665E">
        <w:t xml:space="preserve">18 lipca 2024 r. przewodniczącej Komisji Ursuli von der </w:t>
      </w:r>
      <w:proofErr w:type="spellStart"/>
      <w:r w:rsidRPr="00EB665E">
        <w:t>Leyen</w:t>
      </w:r>
      <w:proofErr w:type="spellEnd"/>
      <w:r w:rsidRPr="00EB665E">
        <w:t xml:space="preserve"> zatytułowaną „Wybór Europy: wytyczne polityczne na następną kadencję Komisji Europejskiej 2024−2029”,</w:t>
      </w:r>
    </w:p>
    <w:p w14:paraId="29D9A541" w14:textId="563D76D0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sprawozdanie Maria </w:t>
      </w:r>
      <w:proofErr w:type="spellStart"/>
      <w:r w:rsidRPr="00EB665E">
        <w:t>Draghiego</w:t>
      </w:r>
      <w:proofErr w:type="spellEnd"/>
      <w:r w:rsidRPr="00EB665E">
        <w:t xml:space="preserve"> z </w:t>
      </w:r>
      <w:r w:rsidR="00686F62">
        <w:t xml:space="preserve">dnia </w:t>
      </w:r>
      <w:r w:rsidRPr="00EB665E">
        <w:t xml:space="preserve">9 września 2024 r. na temat przyszłości europejskiej konkurencyjności (sprawozdanie </w:t>
      </w:r>
      <w:proofErr w:type="spellStart"/>
      <w:r w:rsidRPr="00EB665E">
        <w:t>Draghiego</w:t>
      </w:r>
      <w:proofErr w:type="spellEnd"/>
      <w:r w:rsidRPr="00EB665E">
        <w:t>),</w:t>
      </w:r>
    </w:p>
    <w:p w14:paraId="1DA587C8" w14:textId="0F040054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sprawozdanie Enrica </w:t>
      </w:r>
      <w:proofErr w:type="spellStart"/>
      <w:r w:rsidRPr="00EB665E">
        <w:t>Letty</w:t>
      </w:r>
      <w:proofErr w:type="spellEnd"/>
      <w:r w:rsidRPr="00EB665E">
        <w:t xml:space="preserve"> z </w:t>
      </w:r>
      <w:r w:rsidR="00686F62">
        <w:t xml:space="preserve">dnia </w:t>
      </w:r>
      <w:r w:rsidRPr="00EB665E">
        <w:t xml:space="preserve">17 kwietnia 2024 r. zatytułowane „Much </w:t>
      </w:r>
      <w:proofErr w:type="spellStart"/>
      <w:r w:rsidRPr="00EB665E">
        <w:t>more</w:t>
      </w:r>
      <w:proofErr w:type="spellEnd"/>
      <w:r w:rsidRPr="00EB665E">
        <w:t xml:space="preserve"> </w:t>
      </w:r>
      <w:proofErr w:type="spellStart"/>
      <w:r w:rsidRPr="00EB665E">
        <w:t>than</w:t>
      </w:r>
      <w:proofErr w:type="spellEnd"/>
      <w:r w:rsidRPr="00EB665E">
        <w:t xml:space="preserve"> a market” [Znacznie więcej niż rynek] (sprawozdanie </w:t>
      </w:r>
      <w:proofErr w:type="spellStart"/>
      <w:r w:rsidRPr="00EB665E">
        <w:t>Letty</w:t>
      </w:r>
      <w:proofErr w:type="spellEnd"/>
      <w:r w:rsidRPr="00EB665E">
        <w:t>),</w:t>
      </w:r>
    </w:p>
    <w:p w14:paraId="7256BCF9" w14:textId="278D462C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sprawozdanie Christiana </w:t>
      </w:r>
      <w:proofErr w:type="spellStart"/>
      <w:r w:rsidRPr="00EB665E">
        <w:t>Noyera</w:t>
      </w:r>
      <w:proofErr w:type="spellEnd"/>
      <w:r w:rsidRPr="00EB665E">
        <w:t xml:space="preserve"> (sprawozdanie </w:t>
      </w:r>
      <w:proofErr w:type="spellStart"/>
      <w:r w:rsidRPr="00EB665E">
        <w:t>Noyera</w:t>
      </w:r>
      <w:proofErr w:type="spellEnd"/>
      <w:r w:rsidRPr="00EB665E">
        <w:t xml:space="preserve">) z </w:t>
      </w:r>
      <w:r w:rsidR="00686F62">
        <w:t xml:space="preserve">dnia </w:t>
      </w:r>
      <w:r w:rsidRPr="00EB665E">
        <w:t xml:space="preserve">25 kwietnia 2024 r. zatytułowane „Developing </w:t>
      </w:r>
      <w:proofErr w:type="spellStart"/>
      <w:r w:rsidRPr="00EB665E">
        <w:t>European</w:t>
      </w:r>
      <w:proofErr w:type="spellEnd"/>
      <w:r w:rsidRPr="00EB665E">
        <w:t xml:space="preserve"> </w:t>
      </w:r>
      <w:proofErr w:type="spellStart"/>
      <w:r w:rsidRPr="00EB665E">
        <w:t>capital</w:t>
      </w:r>
      <w:proofErr w:type="spellEnd"/>
      <w:r w:rsidRPr="00EB665E">
        <w:t xml:space="preserve"> </w:t>
      </w:r>
      <w:proofErr w:type="spellStart"/>
      <w:r w:rsidRPr="00EB665E">
        <w:t>markets</w:t>
      </w:r>
      <w:proofErr w:type="spellEnd"/>
      <w:r w:rsidRPr="00EB665E">
        <w:t xml:space="preserve"> to </w:t>
      </w:r>
      <w:proofErr w:type="spellStart"/>
      <w:r w:rsidRPr="00EB665E">
        <w:t>finance</w:t>
      </w:r>
      <w:proofErr w:type="spellEnd"/>
      <w:r w:rsidRPr="00EB665E">
        <w:t xml:space="preserve"> the </w:t>
      </w:r>
      <w:proofErr w:type="spellStart"/>
      <w:r w:rsidRPr="00EB665E">
        <w:t>future</w:t>
      </w:r>
      <w:proofErr w:type="spellEnd"/>
      <w:r w:rsidRPr="00EB665E">
        <w:t>” [Rozwój europejskich rynków kapitałowych w celu finansowania przyszłości],</w:t>
      </w:r>
    </w:p>
    <w:p w14:paraId="049C9AF1" w14:textId="71C9CD8A" w:rsidR="00C00A91" w:rsidRPr="00EB665E" w:rsidRDefault="00C00A91" w:rsidP="00C00A91">
      <w:pPr>
        <w:pStyle w:val="NormalHanging12a"/>
        <w:rPr>
          <w:snapToGrid/>
        </w:rPr>
      </w:pPr>
      <w:r w:rsidRPr="00EB665E">
        <w:t>–</w:t>
      </w:r>
      <w:r w:rsidRPr="00EB665E">
        <w:tab/>
        <w:t xml:space="preserve">uwzględniając komunikaty Komisji z </w:t>
      </w:r>
      <w:r w:rsidR="00686F62">
        <w:t xml:space="preserve">dnia </w:t>
      </w:r>
      <w:r w:rsidRPr="00EB665E">
        <w:t>29 stycznia 2025 r. pt. „Kompas konkurencyjności dla UE” (</w:t>
      </w:r>
      <w:proofErr w:type="gramStart"/>
      <w:r w:rsidRPr="00EB665E">
        <w:t>COM(</w:t>
      </w:r>
      <w:proofErr w:type="gramEnd"/>
      <w:r w:rsidRPr="00EB665E">
        <w:t xml:space="preserve">2025)0030) i z 26 lutego 2025 r. pt. „Pakt dla czystego przemysłu – wspólny plan działania na rzecz konkurencyjności i dekarbonizacji” (COM(2025)0085), </w:t>
      </w:r>
    </w:p>
    <w:p w14:paraId="06F0B40B" w14:textId="77777777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pismo przewodniczącej Ursuli von der </w:t>
      </w:r>
      <w:proofErr w:type="spellStart"/>
      <w:r w:rsidRPr="00EB665E">
        <w:t>Leyen</w:t>
      </w:r>
      <w:proofErr w:type="spellEnd"/>
      <w:r w:rsidRPr="00EB665E">
        <w:t xml:space="preserve"> w sprawie obronności skierowane do Rady Europejskiej przed jej posiedzeniem w dniu 6 marca 2025 r.,</w:t>
      </w:r>
    </w:p>
    <w:p w14:paraId="5B37CF14" w14:textId="65DF12E1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konkluzje Rady Europejskiej z </w:t>
      </w:r>
      <w:r w:rsidR="00686F62">
        <w:t xml:space="preserve">dnia </w:t>
      </w:r>
      <w:r w:rsidRPr="00EB665E">
        <w:t>6 marca 2025 r. w sprawie europejskiej obronności,</w:t>
      </w:r>
    </w:p>
    <w:p w14:paraId="07101E3E" w14:textId="39E4235F" w:rsidR="00C00A91" w:rsidRPr="00EB665E" w:rsidRDefault="00C00A91" w:rsidP="00C00A91">
      <w:pPr>
        <w:pStyle w:val="NormalHanging12a"/>
        <w:rPr>
          <w:snapToGrid/>
        </w:rPr>
      </w:pPr>
      <w:r w:rsidRPr="00EB665E">
        <w:t>–</w:t>
      </w:r>
      <w:r w:rsidRPr="00EB665E">
        <w:tab/>
        <w:t xml:space="preserve">uwzględniając komunikat Komisji z </w:t>
      </w:r>
      <w:r w:rsidR="00686F62">
        <w:t xml:space="preserve">dnia </w:t>
      </w:r>
      <w:r w:rsidRPr="00EB665E">
        <w:t>19 marca 2025 r. pt. „Unia oszczędności i inwestycji – Strategia na rzecz zwiększenia zamożności obywateli i konkurencyjności gospodarczej w UE” (</w:t>
      </w:r>
      <w:proofErr w:type="gramStart"/>
      <w:r w:rsidRPr="00EB665E">
        <w:t>COM(</w:t>
      </w:r>
      <w:proofErr w:type="gramEnd"/>
      <w:r w:rsidRPr="00EB665E">
        <w:t>2025)0124),</w:t>
      </w:r>
    </w:p>
    <w:p w14:paraId="1064DA30" w14:textId="002DC0FE" w:rsidR="00C00A91" w:rsidRPr="00EB665E" w:rsidRDefault="00C00A91" w:rsidP="00C00A91">
      <w:pPr>
        <w:pStyle w:val="NormalHanging12a"/>
      </w:pPr>
      <w:r w:rsidRPr="00EB665E">
        <w:lastRenderedPageBreak/>
        <w:t>–</w:t>
      </w:r>
      <w:r w:rsidRPr="00EB665E">
        <w:tab/>
        <w:t xml:space="preserve">uwzględniając oświadczenie </w:t>
      </w:r>
      <w:proofErr w:type="spellStart"/>
      <w:r w:rsidRPr="00EB665E">
        <w:t>Eurogrupy</w:t>
      </w:r>
      <w:proofErr w:type="spellEnd"/>
      <w:r w:rsidRPr="00EB665E">
        <w:t xml:space="preserve"> w rozszerzonym składzie w sprawie przyszłości unii rynków kapitałowych z </w:t>
      </w:r>
      <w:r w:rsidR="00686F62">
        <w:t xml:space="preserve">dnia </w:t>
      </w:r>
      <w:r w:rsidRPr="00EB665E">
        <w:t>11 marca 2024 r.,</w:t>
      </w:r>
    </w:p>
    <w:p w14:paraId="0813169E" w14:textId="77777777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plan działania wysokiego szczebla z </w:t>
      </w:r>
      <w:proofErr w:type="gramStart"/>
      <w:r w:rsidRPr="00EB665E">
        <w:t>maja</w:t>
      </w:r>
      <w:proofErr w:type="gramEnd"/>
      <w:r w:rsidRPr="00EB665E">
        <w:t xml:space="preserve"> 2024 r. dotyczący działań następczych w związku z oświadczeniem </w:t>
      </w:r>
      <w:proofErr w:type="spellStart"/>
      <w:r w:rsidRPr="00EB665E">
        <w:t>Eurogrupy</w:t>
      </w:r>
      <w:proofErr w:type="spellEnd"/>
      <w:r w:rsidRPr="00EB665E">
        <w:t xml:space="preserve"> w rozszerzonym składzie w sprawie przyszłości unii rynków kapitałowych,</w:t>
      </w:r>
    </w:p>
    <w:p w14:paraId="5F576132" w14:textId="76517CB4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konkluzje Rady Europejskiej z </w:t>
      </w:r>
      <w:r w:rsidR="00686F62">
        <w:t xml:space="preserve">dnia </w:t>
      </w:r>
      <w:r w:rsidRPr="00EB665E">
        <w:t>17 i 18 kwietnia 2024 r.,</w:t>
      </w:r>
    </w:p>
    <w:p w14:paraId="3638A50A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–</w:t>
      </w:r>
      <w:r w:rsidRPr="00EB665E">
        <w:tab/>
        <w:t xml:space="preserve">uwzględniając opinię rozpoznawczą Europejskiego Komitetu Ekonomiczno-Społecznego pt. „Inwestycje i reformy na rzecz konkurencyjności i unii rynków kapitałowych” (ECO/665) przyjętą 30 kwietnia 2025 r.; </w:t>
      </w:r>
    </w:p>
    <w:p w14:paraId="36203D5C" w14:textId="1538D6DE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 xml:space="preserve">uwzględniając oświadczenie Europejskiego Urzędu Nadzoru Ubezpieczeń i Pracowniczych Programów Emerytalnych (EIOPA) z </w:t>
      </w:r>
      <w:r w:rsidR="00686F62">
        <w:t xml:space="preserve">dnia </w:t>
      </w:r>
      <w:r w:rsidRPr="00EB665E">
        <w:t xml:space="preserve">25 kwietnia 2024 r. pt.: „How </w:t>
      </w:r>
      <w:proofErr w:type="spellStart"/>
      <w:r w:rsidRPr="00EB665E">
        <w:t>European</w:t>
      </w:r>
      <w:proofErr w:type="spellEnd"/>
      <w:r w:rsidRPr="00EB665E">
        <w:t xml:space="preserve"> </w:t>
      </w:r>
      <w:proofErr w:type="spellStart"/>
      <w:r w:rsidRPr="00EB665E">
        <w:t>insurers</w:t>
      </w:r>
      <w:proofErr w:type="spellEnd"/>
      <w:r w:rsidRPr="00EB665E">
        <w:t xml:space="preserve"> and </w:t>
      </w:r>
      <w:proofErr w:type="spellStart"/>
      <w:r w:rsidRPr="00EB665E">
        <w:t>pension</w:t>
      </w:r>
      <w:proofErr w:type="spellEnd"/>
      <w:r w:rsidRPr="00EB665E">
        <w:t xml:space="preserve"> </w:t>
      </w:r>
      <w:proofErr w:type="spellStart"/>
      <w:r w:rsidRPr="00EB665E">
        <w:t>funds</w:t>
      </w:r>
      <w:proofErr w:type="spellEnd"/>
      <w:r w:rsidRPr="00EB665E">
        <w:t xml:space="preserve"> </w:t>
      </w:r>
      <w:proofErr w:type="spellStart"/>
      <w:r w:rsidRPr="00EB665E">
        <w:t>can</w:t>
      </w:r>
      <w:proofErr w:type="spellEnd"/>
      <w:r w:rsidRPr="00EB665E">
        <w:t xml:space="preserve"> </w:t>
      </w:r>
      <w:proofErr w:type="spellStart"/>
      <w:r w:rsidRPr="00EB665E">
        <w:t>contribute</w:t>
      </w:r>
      <w:proofErr w:type="spellEnd"/>
      <w:r w:rsidRPr="00EB665E">
        <w:t xml:space="preserve"> to </w:t>
      </w:r>
      <w:proofErr w:type="spellStart"/>
      <w:r w:rsidRPr="00EB665E">
        <w:t>further</w:t>
      </w:r>
      <w:proofErr w:type="spellEnd"/>
      <w:r w:rsidRPr="00EB665E">
        <w:t xml:space="preserve"> </w:t>
      </w:r>
      <w:proofErr w:type="spellStart"/>
      <w:r w:rsidRPr="00EB665E">
        <w:t>strengthen</w:t>
      </w:r>
      <w:proofErr w:type="spellEnd"/>
      <w:r w:rsidRPr="00EB665E">
        <w:t xml:space="preserve"> the Capital </w:t>
      </w:r>
      <w:proofErr w:type="spellStart"/>
      <w:r w:rsidRPr="00EB665E">
        <w:t>Markets</w:t>
      </w:r>
      <w:proofErr w:type="spellEnd"/>
      <w:r w:rsidRPr="00EB665E">
        <w:t xml:space="preserve"> Union” [Jak europejscy ubezpieczyciele i europejskie fundusze emerytalne mogą przyczynić się do dalszego wzmocnienia unii rynków kapitałowych], jego dokument roboczy z </w:t>
      </w:r>
      <w:r w:rsidR="00686F62">
        <w:t xml:space="preserve">dnia </w:t>
      </w:r>
      <w:r w:rsidRPr="00EB665E">
        <w:t xml:space="preserve">11 września 2024 r. pt.: „A </w:t>
      </w:r>
      <w:proofErr w:type="spellStart"/>
      <w:r w:rsidRPr="00EB665E">
        <w:t>simple</w:t>
      </w:r>
      <w:proofErr w:type="spellEnd"/>
      <w:r w:rsidRPr="00EB665E">
        <w:t xml:space="preserve"> and </w:t>
      </w:r>
      <w:proofErr w:type="spellStart"/>
      <w:r w:rsidRPr="00EB665E">
        <w:t>long</w:t>
      </w:r>
      <w:proofErr w:type="spellEnd"/>
      <w:r w:rsidRPr="00EB665E">
        <w:t xml:space="preserve">-term </w:t>
      </w:r>
      <w:proofErr w:type="spellStart"/>
      <w:r w:rsidRPr="00EB665E">
        <w:t>European</w:t>
      </w:r>
      <w:proofErr w:type="spellEnd"/>
      <w:r w:rsidRPr="00EB665E">
        <w:t xml:space="preserve"> </w:t>
      </w:r>
      <w:proofErr w:type="spellStart"/>
      <w:r w:rsidRPr="00EB665E">
        <w:t>savings</w:t>
      </w:r>
      <w:proofErr w:type="spellEnd"/>
      <w:r w:rsidRPr="00EB665E">
        <w:t xml:space="preserve"> </w:t>
      </w:r>
      <w:proofErr w:type="spellStart"/>
      <w:r w:rsidRPr="00EB665E">
        <w:t>product</w:t>
      </w:r>
      <w:proofErr w:type="spellEnd"/>
      <w:r w:rsidRPr="00EB665E">
        <w:t xml:space="preserve">: the </w:t>
      </w:r>
      <w:proofErr w:type="spellStart"/>
      <w:r w:rsidRPr="00EB665E">
        <w:t>future</w:t>
      </w:r>
      <w:proofErr w:type="spellEnd"/>
      <w:r w:rsidRPr="00EB665E">
        <w:t xml:space="preserve"> Pan-</w:t>
      </w:r>
      <w:proofErr w:type="spellStart"/>
      <w:r w:rsidRPr="00EB665E">
        <w:t>European</w:t>
      </w:r>
      <w:proofErr w:type="spellEnd"/>
      <w:r w:rsidRPr="00EB665E">
        <w:t xml:space="preserve"> </w:t>
      </w:r>
      <w:proofErr w:type="spellStart"/>
      <w:r w:rsidRPr="00EB665E">
        <w:t>Pension</w:t>
      </w:r>
      <w:proofErr w:type="spellEnd"/>
      <w:r w:rsidRPr="00EB665E">
        <w:t xml:space="preserve"> Product” [Prosty i długoterminowy europejski produkt oszczędnościowy: Przyszły ogólnoeuropejski produkt emerytalny] </w:t>
      </w:r>
      <w:r w:rsidR="006172D5" w:rsidRPr="006172D5">
        <w:t xml:space="preserve">], jego sprawozdanie nt. kosztów i wcześniejszych wyników z dnia 15 kwietnia 2025 r. oraz </w:t>
      </w:r>
      <w:r w:rsidRPr="00EB665E">
        <w:t xml:space="preserve"> sprawozdanie z </w:t>
      </w:r>
      <w:r w:rsidR="00686F62">
        <w:t xml:space="preserve">dnia </w:t>
      </w:r>
      <w:r w:rsidRPr="00EB665E">
        <w:t>7 listopada 2024 r. pt.: „</w:t>
      </w:r>
      <w:proofErr w:type="spellStart"/>
      <w:r w:rsidRPr="00EB665E">
        <w:t>Prudential</w:t>
      </w:r>
      <w:proofErr w:type="spellEnd"/>
      <w:r w:rsidRPr="00EB665E">
        <w:t xml:space="preserve"> </w:t>
      </w:r>
      <w:proofErr w:type="spellStart"/>
      <w:r w:rsidRPr="00EB665E">
        <w:t>Treatment</w:t>
      </w:r>
      <w:proofErr w:type="spellEnd"/>
      <w:r w:rsidRPr="00EB665E">
        <w:t xml:space="preserve"> of </w:t>
      </w:r>
      <w:proofErr w:type="spellStart"/>
      <w:r w:rsidRPr="00EB665E">
        <w:t>Sustainability</w:t>
      </w:r>
      <w:proofErr w:type="spellEnd"/>
      <w:r w:rsidRPr="00EB665E">
        <w:t xml:space="preserve"> </w:t>
      </w:r>
      <w:proofErr w:type="spellStart"/>
      <w:r w:rsidRPr="00EB665E">
        <w:t>Risks</w:t>
      </w:r>
      <w:proofErr w:type="spellEnd"/>
      <w:r w:rsidRPr="00EB665E">
        <w:t>” [Ostrożnościowe traktowanie przez ubezpieczycieli ryzyka dla zrównoważonego rozwoju],</w:t>
      </w:r>
    </w:p>
    <w:p w14:paraId="0DDECC44" w14:textId="0B24B21C" w:rsidR="00C00A91" w:rsidRPr="00EB665E" w:rsidRDefault="00C00A91" w:rsidP="00C00A91">
      <w:pPr>
        <w:pStyle w:val="NormalHanging12a"/>
        <w:rPr>
          <w:snapToGrid/>
        </w:rPr>
      </w:pPr>
      <w:r w:rsidRPr="00EB665E">
        <w:t>–</w:t>
      </w:r>
      <w:r w:rsidRPr="00EB665E">
        <w:tab/>
        <w:t xml:space="preserve">uwzględniając stanowisko Europejskiego Urzędu Nadzoru Giełd i Papierów Wartościowych (ESMA) z </w:t>
      </w:r>
      <w:r w:rsidR="00686F62">
        <w:t xml:space="preserve">dnia </w:t>
      </w:r>
      <w:r w:rsidRPr="00EB665E">
        <w:t>22 maja 2024 r. pt.: „</w:t>
      </w:r>
      <w:proofErr w:type="spellStart"/>
      <w:r w:rsidRPr="00EB665E">
        <w:t>Building</w:t>
      </w:r>
      <w:proofErr w:type="spellEnd"/>
      <w:r w:rsidRPr="00EB665E">
        <w:t xml:space="preserve"> </w:t>
      </w:r>
      <w:proofErr w:type="spellStart"/>
      <w:r w:rsidRPr="00EB665E">
        <w:t>more</w:t>
      </w:r>
      <w:proofErr w:type="spellEnd"/>
      <w:r w:rsidRPr="00EB665E">
        <w:t xml:space="preserve"> </w:t>
      </w:r>
      <w:proofErr w:type="spellStart"/>
      <w:r w:rsidRPr="00EB665E">
        <w:t>effective</w:t>
      </w:r>
      <w:proofErr w:type="spellEnd"/>
      <w:r w:rsidRPr="00EB665E">
        <w:t xml:space="preserve"> and </w:t>
      </w:r>
      <w:proofErr w:type="spellStart"/>
      <w:r w:rsidRPr="00EB665E">
        <w:t>attractive</w:t>
      </w:r>
      <w:proofErr w:type="spellEnd"/>
      <w:r w:rsidRPr="00EB665E">
        <w:t xml:space="preserve"> </w:t>
      </w:r>
      <w:proofErr w:type="spellStart"/>
      <w:r w:rsidRPr="00EB665E">
        <w:t>capital</w:t>
      </w:r>
      <w:proofErr w:type="spellEnd"/>
      <w:r w:rsidRPr="00EB665E">
        <w:t xml:space="preserve"> </w:t>
      </w:r>
      <w:proofErr w:type="spellStart"/>
      <w:r w:rsidRPr="00EB665E">
        <w:t>markets</w:t>
      </w:r>
      <w:proofErr w:type="spellEnd"/>
      <w:r w:rsidRPr="00EB665E">
        <w:t xml:space="preserve"> in the EU” [Budowanie bardziej efektywnych i atrakcyjnych rynków kapitałowych w UE], sprawozdanie ESMA dotyczące rynku z </w:t>
      </w:r>
      <w:r w:rsidR="00686F62">
        <w:t xml:space="preserve">dnia </w:t>
      </w:r>
      <w:r w:rsidRPr="00EB665E">
        <w:t>18 grudnia 2023 r. pt. „</w:t>
      </w:r>
      <w:proofErr w:type="spellStart"/>
      <w:r w:rsidRPr="00EB665E">
        <w:t>Costs</w:t>
      </w:r>
      <w:proofErr w:type="spellEnd"/>
      <w:r w:rsidRPr="00EB665E">
        <w:t xml:space="preserve"> and Performance of EU Retail Investment Products 2023” [Koszty i wyniki detalicznych produktów inwestycyjnych w UE w 2023 r.] i opinię ESMA z </w:t>
      </w:r>
      <w:r w:rsidR="00686F62">
        <w:t xml:space="preserve">dnia </w:t>
      </w:r>
      <w:r w:rsidRPr="00EB665E">
        <w:t>24 lipca 2024 r. pt.: „</w:t>
      </w:r>
      <w:proofErr w:type="spellStart"/>
      <w:r w:rsidRPr="00EB665E">
        <w:t>Sustainable</w:t>
      </w:r>
      <w:proofErr w:type="spellEnd"/>
      <w:r w:rsidRPr="00EB665E">
        <w:t xml:space="preserve"> </w:t>
      </w:r>
      <w:proofErr w:type="spellStart"/>
      <w:r w:rsidRPr="00EB665E">
        <w:t>investments</w:t>
      </w:r>
      <w:proofErr w:type="spellEnd"/>
      <w:r w:rsidRPr="00EB665E">
        <w:t xml:space="preserve">: </w:t>
      </w:r>
      <w:proofErr w:type="spellStart"/>
      <w:r w:rsidRPr="00EB665E">
        <w:t>Facilitating</w:t>
      </w:r>
      <w:proofErr w:type="spellEnd"/>
      <w:r w:rsidRPr="00EB665E">
        <w:t xml:space="preserve"> the </w:t>
      </w:r>
      <w:proofErr w:type="spellStart"/>
      <w:r w:rsidRPr="00EB665E">
        <w:t>investor</w:t>
      </w:r>
      <w:proofErr w:type="spellEnd"/>
      <w:r w:rsidRPr="00EB665E">
        <w:t xml:space="preserve"> </w:t>
      </w:r>
      <w:proofErr w:type="spellStart"/>
      <w:r w:rsidRPr="00EB665E">
        <w:t>journey</w:t>
      </w:r>
      <w:proofErr w:type="spellEnd"/>
      <w:r w:rsidRPr="00EB665E">
        <w:t xml:space="preserve"> - A </w:t>
      </w:r>
      <w:proofErr w:type="spellStart"/>
      <w:r w:rsidRPr="00EB665E">
        <w:t>holistic</w:t>
      </w:r>
      <w:proofErr w:type="spellEnd"/>
      <w:r w:rsidRPr="00EB665E">
        <w:t xml:space="preserve"> </w:t>
      </w:r>
      <w:proofErr w:type="spellStart"/>
      <w:r w:rsidRPr="00EB665E">
        <w:t>vision</w:t>
      </w:r>
      <w:proofErr w:type="spellEnd"/>
      <w:r w:rsidRPr="00EB665E">
        <w:t xml:space="preserve"> for the </w:t>
      </w:r>
      <w:proofErr w:type="spellStart"/>
      <w:r w:rsidRPr="00EB665E">
        <w:t>long</w:t>
      </w:r>
      <w:proofErr w:type="spellEnd"/>
      <w:r w:rsidRPr="00EB665E">
        <w:t xml:space="preserve"> term” [Zrównoważone inwestycje: ułatwianie udziału inwestorów – holistyczna wizja długoterminowa], </w:t>
      </w:r>
    </w:p>
    <w:p w14:paraId="374EF803" w14:textId="19D18BE7" w:rsidR="00C00A91" w:rsidRPr="00686F62" w:rsidRDefault="00C00A91" w:rsidP="00C00A91">
      <w:pPr>
        <w:pStyle w:val="NormalHanging12a"/>
        <w:rPr>
          <w:lang w:val="en-GB"/>
        </w:rPr>
      </w:pPr>
      <w:r w:rsidRPr="00EB665E">
        <w:t>–</w:t>
      </w:r>
      <w:r w:rsidRPr="00EB665E">
        <w:tab/>
        <w:t xml:space="preserve">uwzględniając sprawozdanie ESMA z </w:t>
      </w:r>
      <w:r w:rsidR="00686F62">
        <w:t xml:space="preserve">dnia </w:t>
      </w:r>
      <w:r w:rsidRPr="00EB665E">
        <w:t xml:space="preserve">21 września 2023 r. pt. </w:t>
      </w:r>
      <w:r w:rsidRPr="00686F62">
        <w:rPr>
          <w:lang w:val="en-GB"/>
        </w:rPr>
        <w:t>„The EU securitisation market – an overview” [</w:t>
      </w:r>
      <w:proofErr w:type="spellStart"/>
      <w:r w:rsidRPr="00686F62">
        <w:rPr>
          <w:lang w:val="en-GB"/>
        </w:rPr>
        <w:t>Rynek</w:t>
      </w:r>
      <w:proofErr w:type="spellEnd"/>
      <w:r w:rsidRPr="00686F62">
        <w:rPr>
          <w:lang w:val="en-GB"/>
        </w:rPr>
        <w:t xml:space="preserve"> </w:t>
      </w:r>
      <w:proofErr w:type="spellStart"/>
      <w:r w:rsidRPr="00686F62">
        <w:rPr>
          <w:lang w:val="en-GB"/>
        </w:rPr>
        <w:t>sekurytyzacji</w:t>
      </w:r>
      <w:proofErr w:type="spellEnd"/>
      <w:r w:rsidRPr="00686F62">
        <w:rPr>
          <w:lang w:val="en-GB"/>
        </w:rPr>
        <w:t xml:space="preserve"> w UE - </w:t>
      </w:r>
      <w:proofErr w:type="spellStart"/>
      <w:r w:rsidRPr="00686F62">
        <w:rPr>
          <w:lang w:val="en-GB"/>
        </w:rPr>
        <w:t>przegląd</w:t>
      </w:r>
      <w:proofErr w:type="spellEnd"/>
      <w:r w:rsidRPr="00686F62">
        <w:rPr>
          <w:lang w:val="en-GB"/>
        </w:rPr>
        <w:t>],</w:t>
      </w:r>
    </w:p>
    <w:p w14:paraId="6B8D647A" w14:textId="77777777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>uwzględniając oświadczenie Rady Prezesów Europejskiego Banku Centralnego z 7 marca 2024 r. w sprawie rozwoju unii rynków kapitałowych,</w:t>
      </w:r>
    </w:p>
    <w:p w14:paraId="2A5490E9" w14:textId="16F0EB72" w:rsidR="00C00A91" w:rsidRPr="00EB665E" w:rsidRDefault="00C00A91" w:rsidP="00C00A91">
      <w:pPr>
        <w:pStyle w:val="NormalHanging12a"/>
        <w:rPr>
          <w:snapToGrid/>
        </w:rPr>
      </w:pPr>
      <w:r w:rsidRPr="00EB665E">
        <w:t>–</w:t>
      </w:r>
      <w:r w:rsidRPr="00EB665E">
        <w:tab/>
        <w:t xml:space="preserve">uwzględniając wniosek Komisji z </w:t>
      </w:r>
      <w:r w:rsidR="00686F62">
        <w:t xml:space="preserve">dnia </w:t>
      </w:r>
      <w:r w:rsidRPr="00EB665E">
        <w:t>12 lutego 2025 r. dotyczący rozporządzenia Parlamentu Europejskiego i Rady zmieniającego rozporządzenie (UE) nr 909/2014 w odniesieniu do krótszego cyklu rozrachunku w Unii (</w:t>
      </w:r>
      <w:proofErr w:type="gramStart"/>
      <w:r w:rsidRPr="00EB665E">
        <w:t>COM(</w:t>
      </w:r>
      <w:proofErr w:type="gramEnd"/>
      <w:r w:rsidRPr="00EB665E">
        <w:t>2025)0038),</w:t>
      </w:r>
    </w:p>
    <w:p w14:paraId="09480667" w14:textId="77777777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>uwzględniając europejską inicjatywę na rzecz liderów technologii uruchomioną w lutym 2023 r.,</w:t>
      </w:r>
    </w:p>
    <w:p w14:paraId="2B2A4309" w14:textId="338535AD" w:rsidR="00C00A91" w:rsidRPr="00EB665E" w:rsidRDefault="00C00A91" w:rsidP="00C00A91">
      <w:pPr>
        <w:widowControl/>
        <w:spacing w:after="240"/>
        <w:ind w:left="567" w:hanging="567"/>
      </w:pPr>
      <w:r w:rsidRPr="00EB665E">
        <w:t>–</w:t>
      </w:r>
      <w:r w:rsidRPr="00EB665E">
        <w:tab/>
        <w:t xml:space="preserve">uwzględniając sprawozdanie Komisji Gospodarczej z </w:t>
      </w:r>
      <w:r w:rsidR="00686F62">
        <w:t xml:space="preserve">dnia </w:t>
      </w:r>
      <w:r w:rsidRPr="00EB665E">
        <w:t>17 czerwca 2025 r. w sprawie działalności finansowej Europejskiego Banku Inwestycyjnego – sprawozdanie roczne za 2024 r.,</w:t>
      </w:r>
    </w:p>
    <w:p w14:paraId="0F5A6ACB" w14:textId="18690FB5" w:rsidR="00C00A91" w:rsidRPr="00EB665E" w:rsidRDefault="00C00A91" w:rsidP="00C00A91">
      <w:pPr>
        <w:pStyle w:val="NormalHanging12a"/>
      </w:pPr>
      <w:r w:rsidRPr="00EB665E">
        <w:lastRenderedPageBreak/>
        <w:t>–</w:t>
      </w:r>
      <w:r w:rsidRPr="00EB665E">
        <w:tab/>
        <w:t xml:space="preserve">uwzględniając swoją rezolucję z </w:t>
      </w:r>
      <w:r w:rsidR="00686F62">
        <w:t xml:space="preserve">dnia </w:t>
      </w:r>
      <w:r w:rsidRPr="00EB665E">
        <w:t xml:space="preserve">8 października 2020 r. w sprawie dalszego rozwoju unii rynków kapitałowych: poprawa dostępu do finansowania z rynków kapitałowych, w szczególności dla </w:t>
      </w:r>
      <w:proofErr w:type="gramStart"/>
      <w:r w:rsidRPr="00EB665E">
        <w:t>MŚP,</w:t>
      </w:r>
      <w:proofErr w:type="gramEnd"/>
      <w:r w:rsidRPr="00EB665E">
        <w:t xml:space="preserve"> oraz zwiększenie możliwości udziału inwestorów detalicznych</w:t>
      </w:r>
      <w:r w:rsidRPr="00EB665E">
        <w:rPr>
          <w:rStyle w:val="FootnoteReference"/>
        </w:rPr>
        <w:footnoteReference w:id="1"/>
      </w:r>
      <w:r w:rsidRPr="00EB665E">
        <w:t>,</w:t>
      </w:r>
    </w:p>
    <w:p w14:paraId="1ABF9BE8" w14:textId="118C4EC6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>uwzględniając swoją rezolucję z </w:t>
      </w:r>
      <w:r w:rsidR="00686F62">
        <w:t xml:space="preserve">dnia </w:t>
      </w:r>
      <w:r w:rsidRPr="00EB665E">
        <w:t>9 lipca 2015 r. w sprawie tworzenia unii rynków kapitałowych</w:t>
      </w:r>
      <w:r w:rsidRPr="00EB665E">
        <w:rPr>
          <w:rStyle w:val="FootnoteReference"/>
        </w:rPr>
        <w:footnoteReference w:id="2"/>
      </w:r>
      <w:r w:rsidRPr="00EB665E">
        <w:t>,</w:t>
      </w:r>
    </w:p>
    <w:p w14:paraId="43CCC290" w14:textId="77777777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>uwzględniając art. 55 Regulaminu,</w:t>
      </w:r>
    </w:p>
    <w:p w14:paraId="2150D965" w14:textId="77777777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>uwzględniając opinię przedstawioną przez Komisję Budżetową,</w:t>
      </w:r>
    </w:p>
    <w:p w14:paraId="35B0AB51" w14:textId="77777777" w:rsidR="00C00A91" w:rsidRPr="00EB665E" w:rsidRDefault="00C00A91" w:rsidP="00C00A91">
      <w:pPr>
        <w:pStyle w:val="NormalHanging12a"/>
      </w:pPr>
      <w:r w:rsidRPr="00EB665E">
        <w:t>–</w:t>
      </w:r>
      <w:r w:rsidRPr="00EB665E">
        <w:tab/>
        <w:t>uwzględniając sprawozdanie Komisji Gospodarczej i Monetarnej (A10-0124/2025),</w:t>
      </w:r>
    </w:p>
    <w:p w14:paraId="55A92209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A.</w:t>
      </w:r>
      <w:r w:rsidRPr="00EB665E">
        <w:tab/>
        <w:t xml:space="preserve">mając na uwadze, że w sprawozdaniu </w:t>
      </w:r>
      <w:proofErr w:type="spellStart"/>
      <w:r w:rsidRPr="00EB665E">
        <w:t>Draghiego</w:t>
      </w:r>
      <w:proofErr w:type="spellEnd"/>
      <w:r w:rsidRPr="00EB665E">
        <w:t xml:space="preserve"> wskazano poważne niedociągnięcia, jeśli chodzi o ogólną konkurencyjność gospodarki europejskiej i brak wzrostu wydajności, oraz zasugerowano rozwiązanie, którym jest przyciąganie inwestycji, w tym poprzez uwolnienie kapitału prywatnego, i jednocześnie utworzenie unii oszczędności i inwestycji; mając na uwadze, że w sprawozdaniu </w:t>
      </w:r>
      <w:proofErr w:type="spellStart"/>
      <w:r w:rsidRPr="00EB665E">
        <w:t>Draghiego</w:t>
      </w:r>
      <w:proofErr w:type="spellEnd"/>
      <w:r w:rsidRPr="00EB665E">
        <w:t xml:space="preserve"> oszacowano, że do ożywienia zrównoważonego wzrostu, przywrócenia produktywności UE, wspierania konkurencyjności, sprzyjania innowacjom, wspierania transformacji energetycznej UE, wzmocnienia jej pozycji lidera w technologii cyfrowej, osiągnięcia celów środowiskowych i społecznych UE, zwiększenia obronności i bezpieczeństwa oraz ograniczenia zależności niezbędne są dodatkowe inwestycje w wysokości 750–800 mld EUR rocznie; mając na uwadze, że w 2023 r.</w:t>
      </w:r>
      <w:r w:rsidRPr="00EB665E">
        <w:rPr>
          <w:rStyle w:val="FootnoteReference"/>
        </w:rPr>
        <w:footnoteReference w:id="3"/>
      </w:r>
      <w:r w:rsidRPr="00EB665E">
        <w:t xml:space="preserve"> kwota ta odpowiadała 4,4–4,7 % PKB UE;</w:t>
      </w:r>
    </w:p>
    <w:p w14:paraId="548B846A" w14:textId="77777777" w:rsidR="00C00A91" w:rsidRPr="00EB665E" w:rsidRDefault="00C00A91" w:rsidP="00C00A91">
      <w:pPr>
        <w:pStyle w:val="NormalHanging12a"/>
      </w:pPr>
      <w:r w:rsidRPr="00EB665E">
        <w:t>B.</w:t>
      </w:r>
      <w:r w:rsidRPr="00EB665E">
        <w:tab/>
        <w:t>mając na uwadze, że w sprawozdaniu zauważono, iż w ciągu ostatnich 50 lat w Unii nie powstała żadna spółka o kapitalizacji rynkowej przekraczającej 100 mld EUR, choć w tym samym okresie w Stanach Zjednoczonych powstało sześć spółek o wartości ponad 1 bln USD;</w:t>
      </w:r>
    </w:p>
    <w:p w14:paraId="0763CBD9" w14:textId="77777777" w:rsidR="00C00A91" w:rsidRPr="00EB665E" w:rsidRDefault="00C00A91" w:rsidP="00C00A91">
      <w:pPr>
        <w:pStyle w:val="NormalHanging12a"/>
      </w:pPr>
      <w:r w:rsidRPr="00EB665E">
        <w:t>C.</w:t>
      </w:r>
      <w:r w:rsidRPr="00EB665E">
        <w:tab/>
        <w:t xml:space="preserve">mając na uwadze, że plan </w:t>
      </w:r>
      <w:proofErr w:type="spellStart"/>
      <w:r w:rsidRPr="00EB665E">
        <w:t>ReArm</w:t>
      </w:r>
      <w:proofErr w:type="spellEnd"/>
      <w:r w:rsidRPr="00EB665E">
        <w:t xml:space="preserve"> Europe składa się z pięciu filarów mających na celu finansowanie bezpieczeństwa i obrony Europy, obejmujących zarówno inwestycje publiczne, jak i unię oszczędności i inwestycji;</w:t>
      </w:r>
    </w:p>
    <w:p w14:paraId="1A90088B" w14:textId="77777777" w:rsidR="00C00A91" w:rsidRPr="00EB665E" w:rsidRDefault="00C00A91" w:rsidP="00C00A91">
      <w:pPr>
        <w:pStyle w:val="NormalHanging12a"/>
      </w:pPr>
      <w:r w:rsidRPr="00EB665E">
        <w:t>D.</w:t>
      </w:r>
      <w:r w:rsidRPr="00EB665E">
        <w:tab/>
        <w:t>mając na uwadze, że trwające wojny handlowe i spory taryfowe powodują znaczną niepewność na rynkach światowych, negatywnie wpływają na prognozy wzrostu, inflacji i zatrudnienia, a w szczególności odbijają się na inwestycjach transgranicznych i zakłócają utrwalone łańcuchy dostaw; mając na uwadze, że nałożenie ceł i barier handlowych osłabia korzyści płynące z handlu i konkurencyjnych rynków; mając na uwadze, że takie napięcia geopolityczne stwarzają dodatkowe ryzyko dla inwestorów, zmniejszają zaufanie i utrudniają przepływ prywatnego kapitału ponad granicami, co ma kluczowe znaczenie dla finansowania innowacji, przedsiębiorstwo typu start-</w:t>
      </w:r>
      <w:proofErr w:type="spellStart"/>
      <w:r w:rsidRPr="00EB665E">
        <w:t>up</w:t>
      </w:r>
      <w:proofErr w:type="spellEnd"/>
      <w:r w:rsidRPr="00EB665E">
        <w:t xml:space="preserve"> i rozwijających się firm; mając na uwadze, że niestabilność wywołana tymi konfliktami handlowymi grozi spowolnieniem rozwoju URK przez zniechęcanie do inwestycji na </w:t>
      </w:r>
      <w:r w:rsidRPr="00EB665E">
        <w:lastRenderedPageBreak/>
        <w:t>rynku europejskim, zwłaszcza w sektorach wysokiego ryzyka, które w dużym stopniu opierają się na globalnych sieciach handlowych;</w:t>
      </w:r>
    </w:p>
    <w:p w14:paraId="22A485A1" w14:textId="77777777" w:rsidR="00C00A91" w:rsidRPr="00EB665E" w:rsidRDefault="00C00A91" w:rsidP="00C00A91">
      <w:pPr>
        <w:pStyle w:val="NormalHanging12a"/>
      </w:pPr>
      <w:r w:rsidRPr="00EB665E">
        <w:t>E.</w:t>
      </w:r>
      <w:r w:rsidRPr="00EB665E">
        <w:tab/>
        <w:t>mając na uwadze, że utrzymująca się niepewność geopolityczna wpływa na wskaźniki makroekonomiczne, zwiększa zmienność na rynkach finansowych i prowadzi do osłabienia dolara amerykańskiego; mając na uwadze, że może to sprawić, że euro zyska na znaczeniu jako waluta światowa, co pozwoli wzmocnić suwerenność gospodarczą i odporność Europy;</w:t>
      </w:r>
    </w:p>
    <w:p w14:paraId="1CA72FC2" w14:textId="77777777" w:rsidR="00C00A91" w:rsidRPr="00EB665E" w:rsidRDefault="00C00A91" w:rsidP="00C00A91">
      <w:pPr>
        <w:pStyle w:val="NormalHanging12a"/>
      </w:pPr>
      <w:r w:rsidRPr="00EB665E">
        <w:t>F.</w:t>
      </w:r>
      <w:r w:rsidRPr="00EB665E">
        <w:tab/>
        <w:t>mając na uwadze, że historycznie w Europie sektor prywatny odpowiadał za około cztery piąte inwestycji produkcyjnych, a sektor publiczny za pozostałą część</w:t>
      </w:r>
      <w:r w:rsidRPr="00EB665E">
        <w:rPr>
          <w:rStyle w:val="FootnoteReference"/>
        </w:rPr>
        <w:footnoteReference w:id="4"/>
      </w:r>
      <w:r w:rsidRPr="00EB665E">
        <w:t>;</w:t>
      </w:r>
    </w:p>
    <w:p w14:paraId="54DFD6C7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G.</w:t>
      </w:r>
      <w:r w:rsidRPr="00EB665E">
        <w:tab/>
        <w:t>mając na uwadze, że w ostatnich dwudziestu latach ogólny poziom inwestycji produkcyjnych w UE był znacznie niższy niż w Stanach Zjednoczonych;</w:t>
      </w:r>
    </w:p>
    <w:p w14:paraId="2A3F7E11" w14:textId="77777777" w:rsidR="00C00A91" w:rsidRPr="00EB665E" w:rsidRDefault="00C00A91" w:rsidP="00C00A91">
      <w:pPr>
        <w:pStyle w:val="NormalHanging12a"/>
      </w:pPr>
      <w:r w:rsidRPr="00EB665E">
        <w:t>H.</w:t>
      </w:r>
      <w:r w:rsidRPr="00EB665E">
        <w:tab/>
        <w:t>mając na uwadze, że tylko 18 % obywateli Unii posiada wysoki poziom wiedzy finansowej, jak podkreślono w monitorze wiedzy finansowej przygotowanym przez Komisję; mając na uwadze, że większość obywateli, tj. 64 %, ma średni poziom wiedzy finansowej, a 18 % ma niski poziom wiedzy finansowej, co tworzy znaczną lukę w zdolności finansowej obywateli UE; mając na uwadze, że tylko cztery państwa członkowskie mają wysoki poziom wiedzy finansowej, a mianowicie Niderlandy, Dania, Szwecja i Słowenia; mając na uwadze, że zwiększanie wiedzy finansowej mogłoby umożliwić ludziom podejmowania świadomych decyzji dotyczących oszczędności, inwestycji i planowania emerytalnego, a tym samym poprawić ich długoterminowy dobrobyt finansowy; mając na uwadze, że aby wyposażyć obywateli w umiejętności potrzebne do poruszania się po coraz bardziej złożonych rynkach finansowych i pełnego wykorzystania możliwości inwestycyjnych, co przyczyni się do wzrostu gospodarczego, konieczna jest poprawa edukacji finansowej w całej UE,</w:t>
      </w:r>
    </w:p>
    <w:p w14:paraId="60D4099F" w14:textId="77777777" w:rsidR="00C00A91" w:rsidRPr="00EB665E" w:rsidRDefault="00C00A91" w:rsidP="00C00A91">
      <w:pPr>
        <w:pStyle w:val="NormalHanging12a"/>
      </w:pPr>
      <w:r w:rsidRPr="00EB665E">
        <w:t>I.</w:t>
      </w:r>
      <w:r w:rsidRPr="00EB665E">
        <w:tab/>
        <w:t xml:space="preserve">mając na uwadze, że jak wynika ze sprawozdania </w:t>
      </w:r>
      <w:proofErr w:type="spellStart"/>
      <w:r w:rsidRPr="00EB665E">
        <w:t>Draghiego</w:t>
      </w:r>
      <w:proofErr w:type="spellEnd"/>
      <w:r w:rsidRPr="00EB665E">
        <w:t>, oszczędności gospodarstw domowych w UE w 2022 r. wyniosły 1 390 mld EUR w porównaniu z 840 mld EUR w Stanach Zjednoczonych;</w:t>
      </w:r>
    </w:p>
    <w:p w14:paraId="4182027C" w14:textId="77777777" w:rsidR="00C00A91" w:rsidRPr="00EB665E" w:rsidRDefault="00C00A91" w:rsidP="00C00A91">
      <w:pPr>
        <w:pStyle w:val="NormalHanging12a"/>
        <w:rPr>
          <w:snapToGrid/>
          <w:vertAlign w:val="superscript"/>
        </w:rPr>
      </w:pPr>
      <w:r w:rsidRPr="00EB665E">
        <w:t>J.</w:t>
      </w:r>
      <w:r w:rsidRPr="00EB665E">
        <w:tab/>
        <w:t>mając na uwadze, że finansowe papiery wartościowe (akcje notowane na giełdzie, obligacje, fundusze inwestycyjne i instrumenty pochodne) posiadane bezpośrednio przez gospodarstwa domowe stanowią obecnie 43 % majątku gospodarstw domowych w USA, ale tylko 17 % majątku gospodarstw domowych w UE</w:t>
      </w:r>
      <w:r w:rsidRPr="00EB665E">
        <w:rPr>
          <w:rStyle w:val="FootnoteReference"/>
        </w:rPr>
        <w:footnoteReference w:id="5"/>
      </w:r>
      <w:r w:rsidRPr="00EB665E">
        <w:t>;</w:t>
      </w:r>
    </w:p>
    <w:p w14:paraId="33A63433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K.</w:t>
      </w:r>
      <w:r w:rsidRPr="00EB665E">
        <w:tab/>
        <w:t>mając na uwadze, że gospodarstwa domowe w UE oszczędzały 14,79 % swojego dochodu do dyspozycji (ponad trzykrotnie więcej w porównaniu z 4,7 % w USA</w:t>
      </w:r>
      <w:r w:rsidRPr="00EB665E">
        <w:rPr>
          <w:rStyle w:val="FootnoteReference"/>
        </w:rPr>
        <w:footnoteReference w:id="6"/>
      </w:r>
      <w:r w:rsidRPr="00EB665E">
        <w:t xml:space="preserve">), a obywatele UE utrzymywali 31,01 % swoich oszczędności (11,63 bln EUR) w walucie i depozytach (w porównaniu z 12,1 % w Stanach Zjednoczonych), które oferują jedynie ograniczone zwroty; mając na uwadze, że gospodarstwa domowe i obywatele UE utrzymywali 36 % (13,42 bln EUR) oszczędności w akcjach i udziałach w funduszach inwestycyjnych (49,1 % w Stanach Zjednoczonych) oraz 27 % (10,06 bln EUR) – w </w:t>
      </w:r>
      <w:r w:rsidRPr="00EB665E">
        <w:lastRenderedPageBreak/>
        <w:t>ubezpieczeniach, emeryturach i standardowych gwarancjach</w:t>
      </w:r>
      <w:r w:rsidRPr="00EB665E">
        <w:rPr>
          <w:rStyle w:val="FootnoteReference"/>
        </w:rPr>
        <w:footnoteReference w:id="7"/>
      </w:r>
      <w:r w:rsidRPr="00EB665E">
        <w:t xml:space="preserve"> (27,5 % w Stanach Zjednoczonych);</w:t>
      </w:r>
    </w:p>
    <w:p w14:paraId="0A2D6A9D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L.</w:t>
      </w:r>
      <w:r w:rsidRPr="00EB665E">
        <w:tab/>
        <w:t>mając na uwadze, że gdyby gospodarstwa domowe w UE dostosowały strukturę swojego portfela, przenosząc środki z depozytów na aktywa finansowe w sposób zbliżony do modelu obserwowanego wśród gospodarstw domowych w Stanach Zjednoczonych, aż 8 bln EUR mogłoby zostać przesunięte na rynkowe instrumenty inwestycyjne – co oznacza przepływ rzędu około 350 mld EUR rocznie</w:t>
      </w:r>
      <w:r w:rsidRPr="00EB665E">
        <w:rPr>
          <w:rStyle w:val="FootnoteReference"/>
        </w:rPr>
        <w:footnoteReference w:id="8"/>
      </w:r>
      <w:r w:rsidRPr="00EB665E">
        <w:t>;</w:t>
      </w:r>
    </w:p>
    <w:p w14:paraId="0B5FB399" w14:textId="77777777" w:rsidR="00C00A91" w:rsidRPr="00EB665E" w:rsidRDefault="00C00A91" w:rsidP="00C00A91">
      <w:pPr>
        <w:pStyle w:val="NormalHanging12a"/>
      </w:pPr>
      <w:r w:rsidRPr="00EB665E">
        <w:t>M.</w:t>
      </w:r>
      <w:r w:rsidRPr="00EB665E">
        <w:tab/>
        <w:t>mając na uwadze, że europejskie gospodarstwa domowe inwestują około 300 mld EUR</w:t>
      </w:r>
      <w:r w:rsidRPr="00EB665E">
        <w:rPr>
          <w:rStyle w:val="FootnoteReference"/>
        </w:rPr>
        <w:footnoteReference w:id="9"/>
      </w:r>
      <w:r w:rsidRPr="00EB665E">
        <w:t xml:space="preserve"> rocznie poza UE – głównie w Stanach Zjednoczonych; mając na uwadze, że kwota ta jest porównywalna z dodatkowym kapitałem, który można by zmobilizować w UE w warunkach bardziej zorientowanych na rynek;</w:t>
      </w:r>
    </w:p>
    <w:p w14:paraId="7179AEA6" w14:textId="77777777" w:rsidR="00C00A91" w:rsidRPr="00EB665E" w:rsidRDefault="00C00A91" w:rsidP="00C00A91">
      <w:pPr>
        <w:pStyle w:val="NormalHanging12a"/>
      </w:pPr>
      <w:r w:rsidRPr="00EB665E">
        <w:t>N.</w:t>
      </w:r>
      <w:r w:rsidRPr="00EB665E">
        <w:tab/>
        <w:t>mając na uwadze, że około 70 % finansowania przedsiębiorstw w UE ma formę pożyczek od banków, w kontraście do Stanów Zjednoczonych, gdzie około 77 % finansowania przedsiębiorstw odbywa się za pośrednictwem rynków kapitałowych;</w:t>
      </w:r>
    </w:p>
    <w:p w14:paraId="642E0DBD" w14:textId="77777777" w:rsidR="00C00A91" w:rsidRPr="00EB665E" w:rsidRDefault="00C00A91" w:rsidP="00C00A91">
      <w:pPr>
        <w:pStyle w:val="NormalHanging12a"/>
      </w:pPr>
      <w:r w:rsidRPr="00EB665E">
        <w:t>O.</w:t>
      </w:r>
      <w:r w:rsidRPr="00EB665E">
        <w:tab/>
        <w:t xml:space="preserve">mając na uwadze, że według sprawozdania </w:t>
      </w:r>
      <w:proofErr w:type="spellStart"/>
      <w:r w:rsidRPr="00EB665E">
        <w:t>Draghiego</w:t>
      </w:r>
      <w:proofErr w:type="spellEnd"/>
      <w:r w:rsidRPr="00EB665E">
        <w:t xml:space="preserve"> w latach 2008–2021 założono 147 europejskich „jednorożców” – czyli przedsiębiorstw typu start-</w:t>
      </w:r>
      <w:proofErr w:type="spellStart"/>
      <w:r w:rsidRPr="00EB665E">
        <w:t>up</w:t>
      </w:r>
      <w:proofErr w:type="spellEnd"/>
      <w:r w:rsidRPr="00EB665E">
        <w:t>, których wartość przekroczyła 1 mld USD – z czego 40 przeniosło swoje siedziby za granicę, głównie do Stanów Zjednoczonych; mając na uwadze, że obciążenie administracyjne Unii szacuje się na około 150 mld EUR (1,3 % rocznego PKB), a według Międzynarodowego Funduszu Walutowego (MFW) wewnętrzne bariery na rynku wewnętrznym odpowiadają efektowi cła na poziomie 100 %, a tylko 4 z 50 największych firm technologicznych na świecie to firmy europejskie;</w:t>
      </w:r>
    </w:p>
    <w:p w14:paraId="55D1FA2E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P.</w:t>
      </w:r>
      <w:r w:rsidRPr="00EB665E">
        <w:tab/>
        <w:t>mając na uwadze, że w 2023 r. wydatki na badania i rozwój w UE stanowiły 2,2 % PKB, natomiast w Stanach Zjednoczonych i Chinach – odpowiednio 3,4 % i 2,6 %, choć w strategii lizbońskiej z 2000 r. określono cel wydatków na badania i rozwój na poziomie 3 %; mając na uwadze, że ze wszystkich wydatków na badania i rozwój w UE, sektor prywatny stanowił 66 %, w porównaniu z 78 % w Stanach Zjednoczonych i 77,7 % w Chinach;</w:t>
      </w:r>
    </w:p>
    <w:p w14:paraId="73778D7A" w14:textId="77777777" w:rsidR="00C00A91" w:rsidRPr="00EB665E" w:rsidRDefault="00C00A91" w:rsidP="00C00A91">
      <w:pPr>
        <w:pStyle w:val="NormalHanging12a"/>
      </w:pPr>
      <w:r w:rsidRPr="00EB665E">
        <w:t>Q.</w:t>
      </w:r>
      <w:r w:rsidRPr="00EB665E">
        <w:tab/>
        <w:t>mając na uwadze, że według MFW pozostałe bariery pozataryfowe ograniczające handel wewnątrzunijny szacuje się na poziomie około 45 % dla przeciętnego przemysłu wytwórczego (trzykrotnie więcej niż poziom szacowany dla stanów USA) i 110 % dla przeciętnego sektora usług</w:t>
      </w:r>
      <w:r w:rsidRPr="00EB665E">
        <w:rPr>
          <w:rStyle w:val="FootnoteReference"/>
        </w:rPr>
        <w:footnoteReference w:id="10"/>
      </w:r>
      <w:r w:rsidRPr="00EB665E">
        <w:t xml:space="preserve">; mając na uwadze, że wśród zgłaszanych barier na </w:t>
      </w:r>
      <w:r w:rsidRPr="00EB665E">
        <w:lastRenderedPageBreak/>
        <w:t>jednolitym rynku małe i średnie przedsiębiorstwa (MŚP) wskazały podatek VAT (17 % odpowiedzi), dostęp do rynku (12 % odpowiedzi), finansowanie (10 % odpowiedzi) i wymogi rynkowe (6 % odpowiedzi)</w:t>
      </w:r>
      <w:r w:rsidRPr="00EB665E">
        <w:rPr>
          <w:rStyle w:val="FootnoteReference"/>
        </w:rPr>
        <w:footnoteReference w:id="11"/>
      </w:r>
      <w:r w:rsidRPr="00EB665E">
        <w:t>;</w:t>
      </w:r>
    </w:p>
    <w:p w14:paraId="4C7B6832" w14:textId="77777777" w:rsidR="00C00A91" w:rsidRPr="00EB665E" w:rsidRDefault="00C00A91" w:rsidP="00C00A91">
      <w:pPr>
        <w:pStyle w:val="NormalHanging12a"/>
      </w:pPr>
      <w:r w:rsidRPr="00EB665E">
        <w:t>R.</w:t>
      </w:r>
      <w:r w:rsidRPr="00EB665E">
        <w:tab/>
        <w:t>mając na uwadze, że europejskie rynki kapitałowe są bardzo rozdrobnione, z dużą liczbą systemów obrotu działających na całym kontynencie – w marcu 2023 r. w UE istniało 295 systemów obrotu, 14 kontrahentów centralnych (CCP) i 32 centralne depozyty papierów wartościowych (CDPW); mając na uwadze, że w 2023 r. 56–68 % obrotów w systemie miało miejsce na krajowej giełdzie dla pięciu głównych zachodnioeuropejskich indeksów akcyjnych (AEX 25, CAC 40, DAX 40, IBEX 35 i MIB 40)</w:t>
      </w:r>
      <w:r w:rsidRPr="00EB665E">
        <w:rPr>
          <w:rStyle w:val="FootnoteReference"/>
        </w:rPr>
        <w:footnoteReference w:id="12"/>
      </w:r>
      <w:r w:rsidRPr="00EB665E">
        <w:t>;</w:t>
      </w:r>
    </w:p>
    <w:p w14:paraId="35592F24" w14:textId="77777777" w:rsidR="00C00A91" w:rsidRPr="00EB665E" w:rsidRDefault="00C00A91" w:rsidP="00C00A91">
      <w:pPr>
        <w:pStyle w:val="NormalHanging12a"/>
      </w:pPr>
      <w:r w:rsidRPr="00EB665E">
        <w:t>S.</w:t>
      </w:r>
      <w:r w:rsidRPr="00EB665E">
        <w:tab/>
        <w:t>mając na uwadze, że integracja rynków kapitałowych – choć konieczna – sama w sobie nie wystarczy do osiągnięcia docelowego wzrostu inwestycji; mając na uwadze, że systemy podatkowe i upadłościowe w państwach członkowskich pozostają zasadniczo niespójne;</w:t>
      </w:r>
    </w:p>
    <w:p w14:paraId="39723DE9" w14:textId="77777777" w:rsidR="00C00A91" w:rsidRPr="00EB665E" w:rsidRDefault="00C00A91" w:rsidP="00C00A91">
      <w:pPr>
        <w:pStyle w:val="NormalHanging12a"/>
      </w:pPr>
      <w:r w:rsidRPr="00EB665E">
        <w:t>T.</w:t>
      </w:r>
      <w:r w:rsidRPr="00EB665E">
        <w:tab/>
        <w:t xml:space="preserve">mając na uwadze, że zgodnie ze sprawozdaniem </w:t>
      </w:r>
      <w:proofErr w:type="spellStart"/>
      <w:r w:rsidRPr="00EB665E">
        <w:t>Letty</w:t>
      </w:r>
      <w:proofErr w:type="spellEnd"/>
      <w:r w:rsidRPr="00EB665E">
        <w:t xml:space="preserve"> fragmentacja w dziedzinie opodatkowania pozostaje poważną przeszkodą dla przedsiębiorstw UE, a w szczególności dla MŚP, oraz że lepsze dostosowanie dzięki bardziej skoordynowanym ramom podatkowym UE ma kluczowe znaczenie dla ułatwienia swobodnego przepływu pracowników, towarów i usług oraz dla wspierania wzrostu gospodarczego i inwestycji prywatnych</w:t>
      </w:r>
      <w:r w:rsidRPr="00EB665E">
        <w:rPr>
          <w:rStyle w:val="FootnoteReference"/>
        </w:rPr>
        <w:footnoteReference w:id="13"/>
      </w:r>
      <w:r w:rsidRPr="00EB665E">
        <w:t>;</w:t>
      </w:r>
    </w:p>
    <w:p w14:paraId="6EBDF892" w14:textId="77777777" w:rsidR="00C00A91" w:rsidRPr="00EB665E" w:rsidRDefault="00C00A91" w:rsidP="00C00A91">
      <w:pPr>
        <w:pStyle w:val="NormalHanging12a"/>
      </w:pPr>
      <w:r w:rsidRPr="00EB665E">
        <w:t>U.</w:t>
      </w:r>
      <w:r w:rsidRPr="00EB665E">
        <w:tab/>
        <w:t xml:space="preserve">mając na uwadze, że głównym powodem niedostatecznego rozwoju funduszy venture </w:t>
      </w:r>
      <w:proofErr w:type="spellStart"/>
      <w:r w:rsidRPr="00EB665E">
        <w:t>capital</w:t>
      </w:r>
      <w:proofErr w:type="spellEnd"/>
      <w:r w:rsidRPr="00EB665E">
        <w:t xml:space="preserve"> i kapitału wzrostu w UE jest fakt, że inwestorzy nie mają odpowiednich możliwości wyjścia z inwestycji; mając na uwadze, że UE w nadmiernym stopniu polega na kredytach bankowych</w:t>
      </w:r>
      <w:r w:rsidRPr="00EB665E">
        <w:rPr>
          <w:rStyle w:val="FootnoteReference"/>
        </w:rPr>
        <w:footnoteReference w:id="14"/>
      </w:r>
      <w:r w:rsidRPr="00EB665E">
        <w:t>;</w:t>
      </w:r>
    </w:p>
    <w:p w14:paraId="08F5EC95" w14:textId="77777777" w:rsidR="00C00A91" w:rsidRPr="00EB665E" w:rsidRDefault="00C00A91" w:rsidP="00C00A91">
      <w:pPr>
        <w:pStyle w:val="NormalHanging12a"/>
      </w:pPr>
      <w:r w:rsidRPr="00EB665E">
        <w:t>V.</w:t>
      </w:r>
      <w:r w:rsidRPr="00EB665E">
        <w:tab/>
        <w:t>mając na uwadze, że budżet UE powinien traktować konkurencyjność jako jeden z obszarów priorytetowych, promować wspólnie uzgodnione priorytety strategiczne i finansować europejskie dobra publiczne, przyczyniając się w ten sposób do zwiększenia wydajności przy jednoczesnym zapewnieniu spójności gospodarczej, społecznej i terytorialnej; mając na uwadze, że konieczna jest ściślejsza koordynacja między budżetami UE i państw członkowskich, aby uniknąć fragmentacji jednolitego rynku i zwiększyć ogólny wpływ inwestycji publicznych;</w:t>
      </w:r>
    </w:p>
    <w:p w14:paraId="5D81C733" w14:textId="77777777" w:rsidR="00C00A91" w:rsidRPr="00EB665E" w:rsidRDefault="00C00A91" w:rsidP="00C00A91">
      <w:pPr>
        <w:pStyle w:val="NormalHanging12a"/>
      </w:pPr>
      <w:r w:rsidRPr="00EB665E">
        <w:t>W.</w:t>
      </w:r>
      <w:r w:rsidRPr="00EB665E">
        <w:tab/>
        <w:t xml:space="preserve">mając na uwadze, że na poziomie UE bezpieczne aktywa są emitowane przez europejskich emitentów takich jak Europejski Bank Inwestycyjny, Europejski </w:t>
      </w:r>
      <w:r w:rsidRPr="00EB665E">
        <w:lastRenderedPageBreak/>
        <w:t>Instrument Stabilności Finansowej i Europejski Mechanizm Stabilności, a od 1976 r. przez Europejską Wspólnotę Gospodarczą, a następnie samą UE</w:t>
      </w:r>
      <w:r w:rsidRPr="00EB665E">
        <w:rPr>
          <w:bCs/>
          <w:iCs/>
          <w:vertAlign w:val="superscript"/>
        </w:rPr>
        <w:footnoteReference w:id="15"/>
      </w:r>
      <w:r w:rsidRPr="00EB665E">
        <w:t>;</w:t>
      </w:r>
    </w:p>
    <w:p w14:paraId="56C3DCC6" w14:textId="77777777" w:rsidR="00C00A91" w:rsidRPr="00EB665E" w:rsidRDefault="00C00A91" w:rsidP="00C00A91">
      <w:pPr>
        <w:pStyle w:val="NormalHanging12a"/>
      </w:pPr>
      <w:r w:rsidRPr="00EB665E">
        <w:t>X.</w:t>
      </w:r>
      <w:r w:rsidRPr="00EB665E">
        <w:tab/>
        <w:t>mając na uwadze znaczny niewykorzystany potencjał finansowania kapitałowego we wspieraniu wzrostu i innowacji przedsiębiorstw w UE;</w:t>
      </w:r>
    </w:p>
    <w:p w14:paraId="32F96B53" w14:textId="77777777" w:rsidR="00C00A91" w:rsidRPr="00EB665E" w:rsidRDefault="00C00A91" w:rsidP="00C00A91">
      <w:pPr>
        <w:pStyle w:val="NormalHanging12a"/>
      </w:pPr>
      <w:r w:rsidRPr="00EB665E">
        <w:t>Y.</w:t>
      </w:r>
      <w:r w:rsidRPr="00EB665E">
        <w:tab/>
        <w:t xml:space="preserve">mając na uwadze, że obecnie największym instrumentem podziału ryzyka w Unii jest program </w:t>
      </w:r>
      <w:proofErr w:type="spellStart"/>
      <w:r w:rsidRPr="00EB665E">
        <w:t>InvestEU</w:t>
      </w:r>
      <w:proofErr w:type="spellEnd"/>
      <w:r w:rsidRPr="00EB665E">
        <w:t>; mając na uwadze, że większość partnerów wykonawczych koncentruje się głównie na mniej ryzykownym zakresie inwestycji;</w:t>
      </w:r>
    </w:p>
    <w:p w14:paraId="25972F5D" w14:textId="77777777" w:rsidR="00C00A91" w:rsidRPr="00EB665E" w:rsidRDefault="00C00A91" w:rsidP="00C00A91">
      <w:pPr>
        <w:pStyle w:val="NormalHanging12a"/>
      </w:pPr>
      <w:r w:rsidRPr="00EB665E">
        <w:t>Z.</w:t>
      </w:r>
      <w:r w:rsidRPr="00EB665E">
        <w:tab/>
        <w:t>mając na uwadze, że opór polityczny i rozbieżne interesy narodowe uniemożliwiły osiągnięcie konsensusu w sprawie utworzenia unii rynków kapitałowych;</w:t>
      </w:r>
    </w:p>
    <w:p w14:paraId="3400BEF4" w14:textId="77777777" w:rsidR="00C00A91" w:rsidRPr="00EB665E" w:rsidRDefault="00C00A91" w:rsidP="00C00A91">
      <w:pPr>
        <w:pStyle w:val="Normal12a24b"/>
      </w:pPr>
      <w:r w:rsidRPr="00EB665E">
        <w:rPr>
          <w:rStyle w:val="BoldItalic"/>
        </w:rPr>
        <w:t>Budowanie wspólnej wizji produktywności Europy i potrzeba zrównoważonego wzrostu</w:t>
      </w:r>
    </w:p>
    <w:p w14:paraId="1BAA6B03" w14:textId="77777777" w:rsidR="00C00A91" w:rsidRPr="00EB665E" w:rsidRDefault="00C00A91" w:rsidP="00C00A91">
      <w:pPr>
        <w:pStyle w:val="NormalHanging12a"/>
      </w:pPr>
      <w:r w:rsidRPr="00EB665E">
        <w:t>1.</w:t>
      </w:r>
      <w:r w:rsidRPr="00EB665E">
        <w:tab/>
        <w:t>apeluje o powszechną mobilizację wszystkich dostępnych zasobów finansowych i instrumentów w celu wzmocnienia bezpieczeństwa oraz suwerenności przemysłowej i technologicznej UE, w tym zwiększenia odporności i ochrony infrastruktury krytycznej – takiej jak systemy elektroenergetyczne, wodne i komunikacyjne – w celu ochrony obywateli i przedsiębiorstw UE oraz łagodzenia skutków przerw w dostawie prądu i innych poważnych zakłóceń, przyspieszenia transformacji i inwestowania w nią, zwiększenia konkurencyjności, generowania trwałego wzrostu gospodarczego, tworzenia wysokiej jakości miejsc pracy, wspierania MŚP i wsparcia konwergencji społecznej i spójności w kontekście niestabilności geopolitycznej i napięć międzynarodowych; podkreśla, że Europa pozostaje w tyle, a brak dalszych działań grozi utratą jej znaczenia na arenie międzynarodowej;</w:t>
      </w:r>
    </w:p>
    <w:p w14:paraId="73D819CB" w14:textId="77777777" w:rsidR="00C00A91" w:rsidRPr="00EB665E" w:rsidRDefault="00C00A91" w:rsidP="00C00A91">
      <w:pPr>
        <w:pStyle w:val="NormalHanging12a"/>
      </w:pPr>
      <w:r w:rsidRPr="00EB665E">
        <w:t>2.</w:t>
      </w:r>
      <w:r w:rsidRPr="00EB665E">
        <w:tab/>
        <w:t xml:space="preserve">z zadowoleniem przyjmuje wznowienie debaty na temat potrzeby przywrócenia konkurencyjności i produktywności oraz wzrostu gospodarczego w UE, do czego przyczyniły się sprawozdania </w:t>
      </w:r>
      <w:proofErr w:type="spellStart"/>
      <w:r w:rsidRPr="00EB665E">
        <w:t>Draghiego</w:t>
      </w:r>
      <w:proofErr w:type="spellEnd"/>
      <w:r w:rsidRPr="00EB665E">
        <w:t xml:space="preserve"> i </w:t>
      </w:r>
      <w:proofErr w:type="spellStart"/>
      <w:r w:rsidRPr="00EB665E">
        <w:t>Letty</w:t>
      </w:r>
      <w:proofErr w:type="spellEnd"/>
      <w:r w:rsidRPr="00EB665E">
        <w:t>; przypomina, że wzrost produktywności można osiągnąć głównie poprzez inwestycje w innowacyjne działania, w tym w transformację; zwraca uwagę, że konkurencja może stymulować produktywność, inwestycje i innowacje;</w:t>
      </w:r>
    </w:p>
    <w:p w14:paraId="44627A6E" w14:textId="77777777" w:rsidR="00C00A91" w:rsidRPr="00EB665E" w:rsidRDefault="00C00A91" w:rsidP="00C00A91">
      <w:pPr>
        <w:pStyle w:val="NormalHanging12a"/>
      </w:pPr>
      <w:r w:rsidRPr="00EB665E">
        <w:t>3.</w:t>
      </w:r>
      <w:r w:rsidRPr="00EB665E">
        <w:tab/>
        <w:t xml:space="preserve">uznaje sprawozdania </w:t>
      </w:r>
      <w:proofErr w:type="spellStart"/>
      <w:r w:rsidRPr="00EB665E">
        <w:t>Draghiego</w:t>
      </w:r>
      <w:proofErr w:type="spellEnd"/>
      <w:r w:rsidRPr="00EB665E">
        <w:t xml:space="preserve"> i </w:t>
      </w:r>
      <w:proofErr w:type="spellStart"/>
      <w:r w:rsidRPr="00EB665E">
        <w:t>Letty</w:t>
      </w:r>
      <w:proofErr w:type="spellEnd"/>
      <w:r w:rsidRPr="00EB665E">
        <w:t xml:space="preserve"> za jeden z wielu sygnałów ostrzegawczych dla europejskich i krajowych decydentów, a także punkt wyjścia do działań wspierających inwestycje zarówno prywatne, jak i publiczne, w szczególności na potrzeby sektorów technologii w procesie transformacji, transformacji sektora motoryzacyjnego i przemysłu ciężkiego, w tym przemysłu stalowego i chemicznego; z zadowoleniem przyjmuje fakt, że Komisja uznaje rolę finansów publicznych w mobilizacji finansów prywatnych i wspieraniu innowacji w UE; zwraca uwagę, że brak postępów w integracji rynków finansowych UE często wynikał z zastrzeżeń państw członkowskich; wzywa państwa członkowskie do wykorzystania obecnej dynamiki i współpracy z Parlamentem w celu rzeczywistego przyspieszenia integracji rynków finansowych UE; przypomina, że działania Unii Europejskiej w kierunku osiągnięcia URK nie przyniosły ostatecznego </w:t>
      </w:r>
      <w:r w:rsidRPr="00EB665E">
        <w:lastRenderedPageBreak/>
        <w:t>rezultatu od 2015 r.; zachęca wszystkie strony do podjęcia starań w celu jak najszybszego osiągnięcia unii oszczędności i inwestycji;</w:t>
      </w:r>
    </w:p>
    <w:p w14:paraId="10FFA734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4.</w:t>
      </w:r>
      <w:r w:rsidRPr="00EB665E">
        <w:tab/>
        <w:t>z zaniepokojeniem odnotowuje ryzyko negatywnych wstrząsów dla wzrostu gospodarczego</w:t>
      </w:r>
      <w:r w:rsidRPr="00EB665E">
        <w:rPr>
          <w:rStyle w:val="FootnoteReference"/>
        </w:rPr>
        <w:footnoteReference w:id="16"/>
      </w:r>
      <w:r w:rsidRPr="00EB665E">
        <w:t xml:space="preserve"> oraz trwające zawirowania na rynkach finansowych i niepewność geopolityczną, co może zagrozić przede wszystkim dobrobytowi europejskich obywateli, pracowników i przedsiębiorstw; zauważa, że niepewność geopolityczna już znacznie zwiększyła zmienność rynków finansowych i doprowadziła do osłabienia dolara amerykańskiego oraz że bezpieczeństwo jest warunkiem wstępnym trwałego wzrostu;</w:t>
      </w:r>
    </w:p>
    <w:p w14:paraId="3ABE362E" w14:textId="77777777" w:rsidR="00C00A91" w:rsidRPr="00EB665E" w:rsidRDefault="00C00A91" w:rsidP="00C00A91">
      <w:pPr>
        <w:pStyle w:val="NormalHanging12a"/>
      </w:pPr>
      <w:r w:rsidRPr="00EB665E">
        <w:t>5.</w:t>
      </w:r>
      <w:r w:rsidRPr="00EB665E">
        <w:tab/>
        <w:t>uznaje, że solidne ramy regulacyjne UE przyczyniły się do jej stabilności finansowej; uważa, że ta stabilność i przewidywalność legislacyjna mogłaby stać się prawdziwą przewagą komparatywną i konkurencyjną, ponieważ czynniki te mają kluczowe znaczenie dla zaufania inwestorów międzynarodowych; przypomina o nierozerwalnym związku między praworządnością a zrównoważonym i konkurencyjnym wzrostem gospodarczym; podkreśla, że solidność sektora finansowego jest kluczowym elementem jego konkurencyjności;</w:t>
      </w:r>
    </w:p>
    <w:p w14:paraId="2E3156B5" w14:textId="77777777" w:rsidR="00C00A91" w:rsidRPr="00EB665E" w:rsidRDefault="00C00A91" w:rsidP="00C00A91">
      <w:pPr>
        <w:pStyle w:val="NormalHanging12a"/>
        <w:rPr>
          <w:bCs/>
          <w:snapToGrid/>
        </w:rPr>
      </w:pPr>
      <w:r w:rsidRPr="00EB665E">
        <w:t>6.</w:t>
      </w:r>
      <w:r w:rsidRPr="00EB665E">
        <w:tab/>
        <w:t>uznaje dotychczasowe prace nad budową unii rynków kapitałowych, począwszy od „Planu działania na rzecz tworzenia unii rynków kapitałowych” we wrześniu 2015 r.; ubolewa, że od tego czasu postęp w integracji rynków kapitałowych UE jest ograniczony i wzywa do jego przyspieszenia; z zadowoleniem przyjmuje w związku z tym przyjęcie komunikatu Komisji zatytułowanego „Unia oszczędności i inwestycji. Strategia na rzecz zwiększenia zamożności obywateli i konkurencyjności gospodarczej w UE”, w którym przedstawiono różne inicjatywy polityczne i który ma na celu integrację rynków finansowych UE oraz skuteczne kierowanie oszczędności na inwestycje;</w:t>
      </w:r>
    </w:p>
    <w:p w14:paraId="35D828FC" w14:textId="77777777" w:rsidR="00C00A91" w:rsidRPr="00EB665E" w:rsidRDefault="00C00A91" w:rsidP="00C00A91">
      <w:pPr>
        <w:pStyle w:val="NormalHanging12a"/>
      </w:pPr>
      <w:r w:rsidRPr="00EB665E">
        <w:t>7.</w:t>
      </w:r>
      <w:r w:rsidRPr="00EB665E">
        <w:tab/>
        <w:t>podkreśla, że ważne jest zwiększenie zaufania do systemu bankowego oraz że zapewnienie stabilności finansowej i promowanie skutecznego jednolitego rynku to podstawowe cele UE; uznaje, że osiągnięcie unii bankowej musi być strategicznym priorytetem w pogłębianiu unii gospodarczej i walutowej; apeluje do Rady o przyspieszenie przyjęcia pozostałych przepisów w celu zabezpieczenia ram stabilności finansowej i sfinalizowania unii bankowej;</w:t>
      </w:r>
    </w:p>
    <w:p w14:paraId="40A90D1C" w14:textId="77777777" w:rsidR="00C00A91" w:rsidRPr="00EB665E" w:rsidRDefault="00C00A91" w:rsidP="00C00A91">
      <w:pPr>
        <w:pStyle w:val="NormalHanging12a"/>
      </w:pPr>
      <w:r w:rsidRPr="00EB665E">
        <w:t>8.</w:t>
      </w:r>
      <w:r w:rsidRPr="00EB665E">
        <w:tab/>
        <w:t>nalega, aby pilnie podjąć działania, przyspieszyć proces decyzyjny, zmniejszyć opóźnienia we wdrażaniu oraz przyspieszyć decyzje w sprawie instrumentów UE i mechanizmów wsparcia;</w:t>
      </w:r>
    </w:p>
    <w:p w14:paraId="3068C28A" w14:textId="77777777" w:rsidR="00C00A91" w:rsidRPr="00EB665E" w:rsidRDefault="00C00A91" w:rsidP="00C00A91">
      <w:pPr>
        <w:pStyle w:val="NormalHanging12a"/>
      </w:pPr>
      <w:r w:rsidRPr="00EB665E">
        <w:t>9.</w:t>
      </w:r>
      <w:r w:rsidRPr="00EB665E">
        <w:tab/>
        <w:t xml:space="preserve">uważa, że Unia musi poczynić postępy w zakresie unii rynków kapitałowych, aby zwiększyć inwestycje sektora prywatnego; podkreśla, że osiągnięcie minimalnego rocznego poziomu dodatkowych inwestycji niezbędnych do odbudowy zrównoważonego i innowacyjnego sektora przemysłowego oraz zapewnienia dobrobytu Unii będzie również wymagało wsparcia ze strony sektora publicznego; podkreśla, że wzrost wydajności stworzyłby również większą przestrzeń fiskalną; </w:t>
      </w:r>
    </w:p>
    <w:p w14:paraId="3DFBFA08" w14:textId="77777777" w:rsidR="00C00A91" w:rsidRPr="00EB665E" w:rsidRDefault="00C00A91" w:rsidP="00C00A91">
      <w:pPr>
        <w:pStyle w:val="NormalHanging12a"/>
      </w:pPr>
      <w:r w:rsidRPr="00EB665E">
        <w:lastRenderedPageBreak/>
        <w:t>10.</w:t>
      </w:r>
      <w:r w:rsidRPr="00EB665E">
        <w:tab/>
        <w:t>podkreśla, że zbyt dużo kapitału nie jest produktywnie wykorzystywane w UE; zaznacza, że przedsiębiorstwa, zwłaszcza MŚP, nie są w stanie w pełni wykorzystać istniejących rynków kapitałowych w Europie do finansowania i inwestycji;</w:t>
      </w:r>
    </w:p>
    <w:p w14:paraId="06B3CCD7" w14:textId="77777777" w:rsidR="00C00A91" w:rsidRPr="00EB665E" w:rsidRDefault="00C00A91" w:rsidP="00C00A91">
      <w:pPr>
        <w:pStyle w:val="NormalHanging12a"/>
        <w:tabs>
          <w:tab w:val="left" w:pos="6663"/>
        </w:tabs>
        <w:rPr>
          <w:snapToGrid/>
        </w:rPr>
      </w:pPr>
      <w:r w:rsidRPr="00EB665E">
        <w:t>11.</w:t>
      </w:r>
      <w:r w:rsidRPr="00EB665E">
        <w:tab/>
        <w:t>ubolewa nad faktem, że wielu przedsiębiorców mających siedzibę w UE odczuwa potrzebę relokacji, aby uzyskać łatwiejszy dostęp do finansowania i zasobów; zauważa z zaniepokojeniem, że ze względu na brak dużych funduszy kapitału wysokiego ryzyka i rentownych możliwości wyjścia w UE decydują się na zwiększenie skali działalności z wykorzystaniem inwestycji zagranicznych i na rynkach zagranicznych; zauważa, że wynika to z braku zintegrowanej unii rynków kapitałowych w UE oraz z faktu, że rynki UE nie są jeszcze w stanie zaspokoić swoich potrzeb; przypomina, że w UE rocznie powstaje więcej przedsiębiorstw typu start-</w:t>
      </w:r>
      <w:proofErr w:type="spellStart"/>
      <w:r w:rsidRPr="00EB665E">
        <w:t>up</w:t>
      </w:r>
      <w:proofErr w:type="spellEnd"/>
      <w:r w:rsidRPr="00EB665E">
        <w:t xml:space="preserve"> niż w Stanach Zjednoczonych, a zwrot z inwestycji kapitału wysokiego ryzyka w Unii jest o około 6 % wyższy niż w USA</w:t>
      </w:r>
      <w:r w:rsidRPr="00EB665E">
        <w:rPr>
          <w:rStyle w:val="FootnoteReference"/>
        </w:rPr>
        <w:footnoteReference w:id="17"/>
      </w:r>
      <w:r w:rsidRPr="00EB665E">
        <w:t xml:space="preserve">, co wskazuje, że instytucje Unii muszą wspierać tworzenie bardziej atrakcyjnego i wspierającego otoczenia dla innowacji i wzrostu; zgadza się ze sprawozdaniem </w:t>
      </w:r>
      <w:proofErr w:type="spellStart"/>
      <w:r w:rsidRPr="00EB665E">
        <w:t>Draghiego</w:t>
      </w:r>
      <w:proofErr w:type="spellEnd"/>
      <w:r w:rsidRPr="00EB665E">
        <w:t xml:space="preserve"> i </w:t>
      </w:r>
      <w:proofErr w:type="spellStart"/>
      <w:r w:rsidRPr="00EB665E">
        <w:t>Letty</w:t>
      </w:r>
      <w:proofErr w:type="spellEnd"/>
      <w:r w:rsidRPr="00EB665E">
        <w:t>, że UE powinna dalej rozwijać swoje rynki kapitału wysokiego ryzyka, i w związku z tym podkreśla znaczenie rozwoju silnego ekosystemu dla kapitału wysokiego ryzyka i inwestycji w UE oraz wzywa do tworzenia kapitału wysokiego ryzyka dla przedsiębiorstw w celu uzyskania inwestycji na naszych rynkach, takich jak wystarczająco duże europejskie fundusze wzrostu i wykupu; podkreśla, że wsparcie publiczne dla rynków kapitału wysokiego ryzyka powinno priorytetowo traktować projekty zgodne z priorytetami UE;</w:t>
      </w:r>
    </w:p>
    <w:p w14:paraId="3AC615F8" w14:textId="77777777" w:rsidR="00C00A91" w:rsidRPr="00EB665E" w:rsidRDefault="00C00A91" w:rsidP="00C00A91">
      <w:pPr>
        <w:pStyle w:val="NormalHanging12a"/>
      </w:pPr>
      <w:r w:rsidRPr="00EB665E">
        <w:t>12.</w:t>
      </w:r>
      <w:r w:rsidRPr="00EB665E">
        <w:tab/>
        <w:t>podkreśla, że europejskie rynki finansowe muszą być atrakcyjne i łatwo dostępne zarówno dla emitentów, jak i inwestorów; wskazuje, że dotyczy to zarówno rynku pierwotnego, jak i wtórnego; podkreśla, że decyzja o notowaniu na rynku regulowanym często wiąże się z dodatkowymi wymogami dla przedsiębiorstw, również w celu ochrony inwestorów; zauważa, że takie wymogi mogą zniechęcać do pierwszej oferty publicznej; wzywa Komisję do stałego monitorowania i zmniejszania kosztów administracyjnych i kosztów przestrzegania przepisów ponoszonych przez spółki notowane na rynku regulowanym, w szczególności w przypadku małych i średnich przedsiębiorstw; z zadowoleniem odnotowuje, jako pierwszy krok w tym kierunku, niedawno przyjęty akt w sprawie dopuszczania do obrotu giełdowego, który ułatwi przedsiębiorstwom o różnej wielkości, w tym MŚP, wejście na europejskie giełdy papierów wartościowych; apeluje o pragmatyczne wdrożenie aktu w sprawie dopuszczania do obrotu giełdowego i wzywa Komisję do dalszego rozwijania tej inicjatywy, w szczególności w odniesieniu do badań kapitałowych dla MŚP oraz dzięki wzmocnieniu rynków rozwoju MŚP, które pomogły mniejszym przedsiębiorstwom przedstawić pierwszą ofertę publiczną;</w:t>
      </w:r>
    </w:p>
    <w:p w14:paraId="5C4597F8" w14:textId="77777777" w:rsidR="00C00A91" w:rsidRPr="00EB665E" w:rsidRDefault="00C00A91" w:rsidP="00C00A91">
      <w:pPr>
        <w:pStyle w:val="NormalHanging12a"/>
      </w:pPr>
      <w:r w:rsidRPr="00EB665E">
        <w:t>13.</w:t>
      </w:r>
      <w:r w:rsidRPr="00EB665E">
        <w:tab/>
        <w:t xml:space="preserve">podkreśla, że inwestycje publiczne odgrywają kluczową rolę w uzupełnianiu inwestycji prywatnych; wzywa Komisję do przedstawienia wniosków, które będą miały na celu zmobilizowanie dodatkowego kapitału, również w celu wsparcia celów określonych w art. 3 Traktatu o Unii Europejskiej (TUE); uważa, że instrumenty finansowe i gwarancje budżetowe stanowią skuteczny sposób wykorzystania zasobów służący osiągnięciu </w:t>
      </w:r>
      <w:r w:rsidRPr="00EB665E">
        <w:lastRenderedPageBreak/>
        <w:t>kluczowych celów polityki UE; przypomina, że dobrze zaprojektowane gwarancje budżetowe i instrumenty finansowe oparte na potrzebach rynkowych stanowią wysoce efektywne wykorzystanie ograniczonych zasobów budżetowych UE w celu zmniejszenia ryzyka inwestycyjnego i przyciągania kapitału prywatnego;</w:t>
      </w:r>
    </w:p>
    <w:p w14:paraId="74E3ECDE" w14:textId="77777777" w:rsidR="00C00A91" w:rsidRPr="00EB665E" w:rsidRDefault="00C00A91" w:rsidP="00C00A91">
      <w:pPr>
        <w:pStyle w:val="NormalHanging12a"/>
      </w:pPr>
      <w:r w:rsidRPr="00EB665E">
        <w:t>14.</w:t>
      </w:r>
      <w:r w:rsidRPr="00EB665E">
        <w:tab/>
        <w:t>podkreśla, że zasoby publiczne powinny być ukierunkowane na zapewnianie jakości, skuteczności, zrównoważonego charakteru i dostępności usług publicznych i infrastruktury, zwłaszcza usług i infrastruktury związanych z usługami świadczonymi w interesie ogólnym, przy jednoczesnym stymulowaniu prywatnych inwestycji w innowacyjne i czyste technologie i gałęzie przemysłu na ściśle określonych warunkach;</w:t>
      </w:r>
    </w:p>
    <w:p w14:paraId="6702F070" w14:textId="77777777" w:rsidR="00C00A91" w:rsidRPr="00EB665E" w:rsidRDefault="00C00A91" w:rsidP="00C00A91">
      <w:pPr>
        <w:spacing w:after="240"/>
        <w:ind w:left="567" w:hanging="567"/>
      </w:pPr>
      <w:r w:rsidRPr="00EB665E">
        <w:t>15.</w:t>
      </w:r>
      <w:r w:rsidRPr="00EB665E">
        <w:tab/>
        <w:t xml:space="preserve">podkreśla, że zlikwidowanie luki inwestycyjnej nie jest wyłącznie kwestią mobilizacji dużych kwot finansowych, ale także zapewnienia, aby UE była przygotowana do kierowania funduszy na inwestycje produkcyjne; podkreśla, że potencjał instytucjonalny, jasność przepisów i jakość projektów mają kluczowe znaczenie dla efektywnego wykorzystania kapitału publicznego i prywatnego; zauważa zatem, że ze względu na szereg czynników, w tym ograniczony dostęp do szerszego portfela rynkowego, jakość produktów i opłaty, wiele produktów UE nie zapewnia wystarczających zysków; </w:t>
      </w:r>
    </w:p>
    <w:p w14:paraId="76CEF930" w14:textId="77777777" w:rsidR="00C00A91" w:rsidRPr="00EB665E" w:rsidRDefault="00C00A91" w:rsidP="00C00A91">
      <w:pPr>
        <w:pStyle w:val="NormalHanging12a"/>
      </w:pPr>
      <w:r w:rsidRPr="00EB665E">
        <w:t>16.</w:t>
      </w:r>
      <w:r w:rsidRPr="00EB665E">
        <w:tab/>
        <w:t>przypomina, że wzrost produktywności można osiągnąć głównie poprzez inwestycje w innowacyjne działania; przypomina, że nadal jest daleko do osiągnięcia celu zakładający przeznaczenie 3 % PKB na badania i innowacje; apeluje do Komisji i państw członkowskich o zapewnienie wystarczającego finansowania i narzędzi do osiągnięcia tego celu;</w:t>
      </w:r>
    </w:p>
    <w:p w14:paraId="7D3A93FB" w14:textId="77777777" w:rsidR="00C00A91" w:rsidRPr="00EB665E" w:rsidRDefault="00C00A91" w:rsidP="00C00A91">
      <w:pPr>
        <w:pStyle w:val="NormalHanging12a"/>
      </w:pPr>
      <w:r w:rsidRPr="00EB665E">
        <w:t>17.</w:t>
      </w:r>
      <w:r w:rsidRPr="00EB665E">
        <w:tab/>
        <w:t>ubolewa, że niski poziom edukacji finansowej w wielu państwach członkowskich stanowi poważne wyzwanie dla ekonomicznej autonomii obywateli oraz rozwoju silnej i konkurencyjnej gospodarki; przypomina, że słaba edukacja finansowa utrudnia społeczeństwu podejmowanie świadomych decyzji dotyczących oszczędzania, inwestowania i planowania emerytalnego; potwierdza, że ta luka w edukacji finansowej utrudnia rozwój kultury inwestycyjnej, która ma kluczowe znaczenie dla wzrostu gospodarczego; podkreśla znaczenie ambitnej, wymiernej i zdecydowanej strategii UE na rzecz promowania wiedzy finansowej w Europie, dzięki czemu obywatele będą mogli skuteczniej chronić i wykorzystywać swoje oszczędności oraz nastąpi rozwój atrakcyjniejszego rynku kapitałowego;</w:t>
      </w:r>
    </w:p>
    <w:p w14:paraId="4B4BF39A" w14:textId="77777777" w:rsidR="00C00A91" w:rsidRPr="00EB665E" w:rsidRDefault="00C00A91" w:rsidP="00C00A91">
      <w:pPr>
        <w:pStyle w:val="Normal12a24b"/>
      </w:pPr>
      <w:r w:rsidRPr="00EB665E">
        <w:rPr>
          <w:rStyle w:val="BoldItalic"/>
        </w:rPr>
        <w:t>Mobilizacja inwestycji prywatnych i ułatwienie dostępu do finansowania dzięki rozwojowi unii oszczędności i inwestycji</w:t>
      </w:r>
    </w:p>
    <w:p w14:paraId="3BCD38AE" w14:textId="77777777" w:rsidR="00C00A91" w:rsidRPr="00EB665E" w:rsidRDefault="00C00A91" w:rsidP="00C00A91">
      <w:pPr>
        <w:pStyle w:val="Normal12a24b"/>
        <w:ind w:left="567" w:hanging="567"/>
      </w:pPr>
      <w:r w:rsidRPr="00EB665E">
        <w:t>18.</w:t>
      </w:r>
      <w:r w:rsidRPr="00EB665E">
        <w:tab/>
        <w:t>z zadowoleniem przyjmuje cel, jaki wyznaczyła sobie Komisja, by stać się „Komisją inwestycji” i odblokować finansowanie niezbędne do realizacji transformacji ekologicznej, cyfrowej i społecznej, zmaksymalizować synergie między inwestycjami publicznymi i prywatnymi oraz pozyskać kapitał prywatny i ograniczyć ryzyko z nim związane;</w:t>
      </w:r>
    </w:p>
    <w:p w14:paraId="4B044DF7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19.</w:t>
      </w:r>
      <w:r w:rsidRPr="00EB665E">
        <w:tab/>
        <w:t xml:space="preserve">uważa, że atrakcyjność rynków kapitałowych UE wzrośnie dzięki dalszej integracji jej rynku wewnętrznego w sposób pobudzający konkurencję między przedsiębiorstwami UE, stworzeniu możliwości gospodarczych dla inwestycji prywatnych i uproszczenia, a to przełoży się na wyższe zyski dla obywateli i przedsiębiorstw; podkreśla, że zyski są </w:t>
      </w:r>
      <w:r w:rsidRPr="00EB665E">
        <w:lastRenderedPageBreak/>
        <w:t xml:space="preserve">jednak osłabiane przez wysokie koszty związane z inwestycjami na europejskich rynkach finansowych; wzywa Komisję i państwa członkowskie do opracowania rozwiązań, zarówno legislacyjnych, jak i innych, wspierających utworzenie zintegrowanego </w:t>
      </w:r>
      <w:proofErr w:type="spellStart"/>
      <w:r w:rsidRPr="00EB665E">
        <w:t>ogólnounijnego</w:t>
      </w:r>
      <w:proofErr w:type="spellEnd"/>
      <w:r w:rsidRPr="00EB665E">
        <w:t xml:space="preserve"> rynku kapitałowego o wystarczającej wielkości, płynności, głębokości i przejrzystości, aby przyciągnąć zarówno inwestorów z UE, jak i inwestorów międzynarodowych, a jednocześnie zapewnić ochronę konsumentów i stabilność finansową; przypomina, że perspektywa wyższych zwrotów z inwestycji jest kluczową zachętą do udziału inwestorów detalicznych w rynkach kapitałowych; podkreśla w tym kontekście, że unia rynków kapitałowych nie będzie możliwa bez dokończenia budowy unii bankowej;</w:t>
      </w:r>
    </w:p>
    <w:p w14:paraId="7F2FE600" w14:textId="77777777" w:rsidR="00C00A91" w:rsidRPr="00EB665E" w:rsidRDefault="00C00A91" w:rsidP="00C00A91">
      <w:pPr>
        <w:pStyle w:val="NormalHanging12a"/>
      </w:pPr>
      <w:r w:rsidRPr="00EB665E">
        <w:t>20.</w:t>
      </w:r>
      <w:r w:rsidRPr="00EB665E">
        <w:tab/>
        <w:t>zauważa, że europejskie rynki kapitałowe pozostają obecnie bardzo rozdrobnione, a europejskie fundusze inwestycyjne nadal są niemal siedem razy mniejsze w porównaniu z funduszami amerykańskimi</w:t>
      </w:r>
      <w:r w:rsidRPr="00EB665E">
        <w:rPr>
          <w:rStyle w:val="FootnoteReference"/>
        </w:rPr>
        <w:footnoteReference w:id="18"/>
      </w:r>
      <w:r w:rsidRPr="00EB665E">
        <w:t>; uważa, że szkodzi to konkurencyjności unijnego sektora funduszy inwestycyjnych w stosunku do globalnych konkurentów, ponieważ wielkość funduszu jest kluczowym czynnikiem wpływającym na koszty naliczane inwestorom końcowym; uważa, że bardziej zintegrowany transgraniczny rynek funduszy w UE może z czasem doprowadzić do powiększenia funduszy i wzrostu wydajności, co – jeśli zostanie przeniesione na inwestorów detalicznych – może pomóc obniżyć koszty i zapewnić lepszy stosunek wartości do ceny dla inwestorów końcowych;</w:t>
      </w:r>
    </w:p>
    <w:p w14:paraId="6B979611" w14:textId="77777777" w:rsidR="00C00A91" w:rsidRPr="00EB665E" w:rsidRDefault="00C00A91" w:rsidP="00C00A91">
      <w:pPr>
        <w:pStyle w:val="NormalHanging12a"/>
      </w:pPr>
      <w:r w:rsidRPr="00EB665E">
        <w:t>21.</w:t>
      </w:r>
      <w:r w:rsidRPr="00EB665E">
        <w:tab/>
        <w:t xml:space="preserve">uważa, że CMU przyniesie korzyści konsumentom i MŚP, oferując możliwości inwestycji o wysokiej rentowności w gospodarkę realną, a w ostatecznym rozrachunku przyczyni się do pobudzenia rynku kapitału wysokiego ryzyka dzięki poprawie dostępu do zróżnicowanych źródeł finansowania; uważa, że finansowanie europejskich </w:t>
      </w:r>
      <w:proofErr w:type="spellStart"/>
      <w:r w:rsidRPr="00EB665E">
        <w:t>scale-upów</w:t>
      </w:r>
      <w:proofErr w:type="spellEnd"/>
      <w:r w:rsidRPr="00EB665E">
        <w:t xml:space="preserve"> za pomocą europejskiego kapitału powinno być priorytetem, czego przykładem jest europejska inicjatywa na rzecz liderów technologii uruchomiona w lutym 2023 r. w celu finansowania obiecujących europejskich przedsiębiorstw technologicznych; </w:t>
      </w:r>
    </w:p>
    <w:p w14:paraId="316504FC" w14:textId="77777777" w:rsidR="00C00A91" w:rsidRPr="00EB665E" w:rsidRDefault="00C00A91" w:rsidP="00C00A91">
      <w:pPr>
        <w:pStyle w:val="NormalHanging12a"/>
      </w:pPr>
      <w:r w:rsidRPr="00EB665E">
        <w:t>22.</w:t>
      </w:r>
      <w:r w:rsidRPr="00EB665E">
        <w:tab/>
        <w:t>uważa, że kapitał wysokiego ryzyka powinien stać się bardziej dostępny dla przedsiębiorstw jako alternatywa dla tradycyjnych kredytów bankowych w celu dywersyfikacji źródeł finansowania; wzywa Komisję do zaproponowania środków mających zwiększyć tego rodzaju finansowanie dla przedsiębiorstw z UE;</w:t>
      </w:r>
    </w:p>
    <w:p w14:paraId="0B7D064D" w14:textId="77777777" w:rsidR="00C00A91" w:rsidRPr="00EB665E" w:rsidRDefault="00C00A91" w:rsidP="00C00A91">
      <w:pPr>
        <w:pStyle w:val="NormalHanging12a"/>
      </w:pPr>
      <w:r w:rsidRPr="00EB665E">
        <w:t>23.</w:t>
      </w:r>
      <w:r w:rsidRPr="00EB665E">
        <w:tab/>
        <w:t>zwraca uwagę, że wielkość, głębokość i płynność rynków kapitałowych różnią się bardzo w zależności od państwa członkowskiego, przy czym niektóre państwa członkowskie odniosły znacznie większy sukces w zapewnianiu atrakcyjnych rynków pierwotnych i wtórnych dla przedsiębiorstw oraz zachęcaniu obywateli do inwestowania na tych rynkach; wzywa Komisję do zidentyfikowania najlepszych praktyk i uwzględnienia ich w pracach nad unią oszczędności i inwestycji;</w:t>
      </w:r>
    </w:p>
    <w:p w14:paraId="566767C7" w14:textId="77777777" w:rsidR="00C00A91" w:rsidRPr="00EB665E" w:rsidRDefault="00C00A91" w:rsidP="00C00A91">
      <w:pPr>
        <w:pStyle w:val="NormalHanging12a"/>
      </w:pPr>
      <w:r w:rsidRPr="00EB665E">
        <w:t>24.</w:t>
      </w:r>
      <w:r w:rsidRPr="00EB665E">
        <w:tab/>
        <w:t xml:space="preserve">uważa, że kapitał prywatny będzie miał kluczowe znaczenie dla wypełnienia w najbardziej efektywny sposób luki inwestycyjnej zidentyfikowanej w sprawozdaniu </w:t>
      </w:r>
      <w:proofErr w:type="spellStart"/>
      <w:r w:rsidRPr="00EB665E">
        <w:t>Draghiego</w:t>
      </w:r>
      <w:proofErr w:type="spellEnd"/>
      <w:r w:rsidRPr="00EB665E">
        <w:t>;</w:t>
      </w:r>
    </w:p>
    <w:p w14:paraId="580512C9" w14:textId="77777777" w:rsidR="00C00A91" w:rsidRPr="00EB665E" w:rsidRDefault="00C00A91" w:rsidP="00C00A91">
      <w:pPr>
        <w:spacing w:after="240"/>
        <w:ind w:left="567" w:hanging="567"/>
        <w:rPr>
          <w:rFonts w:eastAsia="Aptos"/>
          <w:bCs/>
          <w:iCs/>
          <w:szCs w:val="24"/>
        </w:rPr>
      </w:pPr>
      <w:r w:rsidRPr="00EB665E">
        <w:t>25.</w:t>
      </w:r>
      <w:r w:rsidRPr="00EB665E">
        <w:tab/>
        <w:t xml:space="preserve">wspiera integrację ram instytucjonalnych i struktur rynkowych; ponownie apeluje o wsparcie procesu konwergencji praktyk nadzorczych prowadzonego przez ESMA, w tym w drodze przyznania ESMA bezpośrednich uprawnień do nadzoru, jeśli przyniesie to europejską wartość dodaną – na przykład nad ogólnoeuropejskimi infrastrukturami </w:t>
      </w:r>
      <w:r w:rsidRPr="00EB665E">
        <w:lastRenderedPageBreak/>
        <w:t>rynkowymi, aby wzmocnić konkurencyjność europejskich rynków obrotu giełdowego i poprawić efektywność otoczenia nadzorczego oraz współpracę z właściwymi organami krajowymi; przypomina, że ESMA ma już bezpośrednie uprawnienia nadzorcze nad kilkoma podmiotami finansowymi, takimi jak agencje ratingowe, repozytoria transakcji czy kontrahenci centralni poziomu 2 zlokalizowani poza UE;</w:t>
      </w:r>
    </w:p>
    <w:p w14:paraId="55AE8C86" w14:textId="77777777" w:rsidR="00C00A91" w:rsidRPr="00EB665E" w:rsidRDefault="00C00A91" w:rsidP="00C00A91">
      <w:pPr>
        <w:pStyle w:val="NormalHanging12a"/>
      </w:pPr>
      <w:r w:rsidRPr="00EB665E">
        <w:t>26.</w:t>
      </w:r>
      <w:r w:rsidRPr="00EB665E">
        <w:tab/>
        <w:t>przyznaje również, że zharmonizowany nadzór nie zawsze wymaga jednego organu nadzoru, ale można go również osiągnąć poprzez konwergencję krajowych praktyk nadzorczych, tam gdzie jest to bardziej odpowiednie; w związku z tym popiera zamiar Komisji dotyczący zaproponowania środków mających na celu wzmocnienie narzędzi konwergencji praktyk nadzorczych i zwiększenie ich skuteczności oraz osiągnięcia bardziej jednolitego bezpośredniego nadzoru nad rynkami kapitałowymi poprzez przeniesienie niektórych zadań na szczebel UE;</w:t>
      </w:r>
    </w:p>
    <w:p w14:paraId="2451D2EA" w14:textId="77777777" w:rsidR="00C00A91" w:rsidRPr="00EB665E" w:rsidRDefault="00C00A91" w:rsidP="00C00A91">
      <w:pPr>
        <w:pStyle w:val="NormalHanging12a"/>
      </w:pPr>
      <w:r w:rsidRPr="00EB665E">
        <w:t>27.</w:t>
      </w:r>
      <w:r w:rsidRPr="00EB665E">
        <w:tab/>
        <w:t xml:space="preserve">zwraca uwagę, że każde zwiększenie uprawnień Europejskich Urzędów Nadzoru (EUN) powinno iść w parze z proporcjonalnym zwiększeniem poziomu ich odpowiedzialności; uważa, że należy zmienić zarządzanie ESMA, tak aby zagwarantować skuteczność i niezależność decyzji ESMA; popiera propozycję zawartą w sprawozdaniu </w:t>
      </w:r>
      <w:proofErr w:type="spellStart"/>
      <w:r w:rsidRPr="00EB665E">
        <w:t>Draghiego</w:t>
      </w:r>
      <w:proofErr w:type="spellEnd"/>
      <w:r w:rsidRPr="00EB665E">
        <w:t>, aby nadać ESMA bardziej europejską strukturę zarządzania oraz nawiązania ścisłej współpracy z krajowymi organami nadzoru w oparciu o model jednolitego mechanizmu nadzorczego lub Urzędu ds. Przeciwdziałania Praniu Pieniędzy i Finansowaniu Terroryzmu (AMLA);</w:t>
      </w:r>
    </w:p>
    <w:p w14:paraId="72151380" w14:textId="77777777" w:rsidR="00C00A91" w:rsidRPr="00EB665E" w:rsidRDefault="00C00A91" w:rsidP="00C00A91">
      <w:pPr>
        <w:pStyle w:val="NormalHanging12a"/>
      </w:pPr>
      <w:r w:rsidRPr="00EB665E">
        <w:t>28.</w:t>
      </w:r>
      <w:r w:rsidRPr="00EB665E">
        <w:tab/>
        <w:t>uważa, że EUN powinny być odpowiednio finansowane, aby mogły należycie wykonywać swoje obowiązki, w tym przez możliwość pobierania opłat, w tym z zaangażowaniem instytucji finansowych i uczestników rynku finansowego objętych nadzorem;</w:t>
      </w:r>
    </w:p>
    <w:p w14:paraId="2D9A140E" w14:textId="77777777" w:rsidR="00C00A91" w:rsidRPr="00EB665E" w:rsidRDefault="00C00A91" w:rsidP="00C00A91">
      <w:pPr>
        <w:pStyle w:val="NormalHanging12a"/>
      </w:pPr>
      <w:r w:rsidRPr="00EB665E">
        <w:t>29.</w:t>
      </w:r>
      <w:r w:rsidRPr="00EB665E">
        <w:tab/>
        <w:t>podkreśla, że istotna jest silna rola Europejskiego Banku Centralnego (EBC) w nadzorowaniu infrastruktur rynkowych o znaczeniu systemowym, zgodnie z jego obowiązkami wynikającymi z Traktatu o Funkcjonowaniu Unii Europejskiej (TFUE) i rozporządzenia SIPS</w:t>
      </w:r>
      <w:r w:rsidRPr="00EB665E">
        <w:rPr>
          <w:rStyle w:val="FootnoteReference"/>
        </w:rPr>
        <w:footnoteReference w:id="19"/>
      </w:r>
      <w:r w:rsidRPr="00EB665E">
        <w:t xml:space="preserve">; uważa, że EBC powinien aktywnie przyczyniać się do zwiększania interoperacyjności, odporności i integracji </w:t>
      </w:r>
      <w:proofErr w:type="spellStart"/>
      <w:r w:rsidRPr="00EB665E">
        <w:t>ogólnounijnych</w:t>
      </w:r>
      <w:proofErr w:type="spellEnd"/>
      <w:r w:rsidRPr="00EB665E">
        <w:t xml:space="preserve"> systemów transakcyjnych i systemów rozliczeń </w:t>
      </w:r>
      <w:proofErr w:type="spellStart"/>
      <w:r w:rsidRPr="00EB665E">
        <w:t>posttransakcyjnych</w:t>
      </w:r>
      <w:proofErr w:type="spellEnd"/>
      <w:r w:rsidRPr="00EB665E">
        <w:t>, w szczególności przez nadzór nad platformami takimi jak TARGET2-Securities;</w:t>
      </w:r>
    </w:p>
    <w:p w14:paraId="0B002EFC" w14:textId="77777777" w:rsidR="00C00A91" w:rsidRPr="00EB665E" w:rsidRDefault="00C00A91" w:rsidP="00C00A91">
      <w:pPr>
        <w:pStyle w:val="NormalHanging12a"/>
      </w:pPr>
      <w:r w:rsidRPr="00EB665E">
        <w:t>30.</w:t>
      </w:r>
      <w:r w:rsidRPr="00EB665E">
        <w:tab/>
        <w:t xml:space="preserve">podkreśla, że obciążenie administracyjne i koszty przestrzegania przepisów, które występują w kontekście transgranicznym, można już rozwiązać przez lepszą koordynację i współpracę krajowych organów nadzoru, np. w obszarze udostępniania danych; wzywa Komisję i EUN do przejścia na system „tylko jednego zgłoszenia”; uważa, że europejski pojedynczy punkt dostępu jest ważną inicjatywą w tym zakresie i apeluje o jego terminowe wdrożenie; sugeruje, że ESMA mogłaby również stać się </w:t>
      </w:r>
      <w:r w:rsidRPr="00EB665E">
        <w:lastRenderedPageBreak/>
        <w:t xml:space="preserve">centralnym ośrodkiem przetwarzania danych, co scentralizowałoby sprawozdawczość podmiotów podlegających wymogom sprawozdawczym zgodnie z </w:t>
      </w:r>
      <w:proofErr w:type="spellStart"/>
      <w:r w:rsidRPr="00EB665E">
        <w:t>MiFiR</w:t>
      </w:r>
      <w:proofErr w:type="spellEnd"/>
      <w:r w:rsidRPr="00EB665E">
        <w:rPr>
          <w:rStyle w:val="FootnoteReference"/>
        </w:rPr>
        <w:footnoteReference w:id="20"/>
      </w:r>
      <w:r w:rsidRPr="00EB665E">
        <w:t xml:space="preserve"> i EMIR</w:t>
      </w:r>
      <w:r w:rsidRPr="00EB665E">
        <w:rPr>
          <w:rStyle w:val="FootnoteReference"/>
        </w:rPr>
        <w:footnoteReference w:id="21"/>
      </w:r>
      <w:r w:rsidRPr="00EB665E">
        <w:t>;</w:t>
      </w:r>
      <w:r w:rsidRPr="00EB665E">
        <w:rPr>
          <w:rStyle w:val="BoldItalic"/>
        </w:rPr>
        <w:t xml:space="preserve"> </w:t>
      </w:r>
    </w:p>
    <w:p w14:paraId="2117417B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31.</w:t>
      </w:r>
      <w:r w:rsidRPr="00EB665E">
        <w:tab/>
        <w:t>wzywa Komisję do opracowania wniosków dotyczących wspierania przenoszenia działalności rozliczeniowej do UE; ubolewa nad obecną sytuacją, w której większość działalności rozliczeniowej UE jest prowadzona poza UE; oczekuje ambitnego aktu delegowanego w sprawie aktywnych rachunków w ramach EMIR 3.0; zachęca Komisję Europejską do dalszej oceny rozwoju działalności rozliczeniowej i wpływu rozporządzenia oraz do przedstawienia dalszych wniosków ustawodawczych w celu wzmocnienia ekosystemu rozliczeniowego UE;</w:t>
      </w:r>
    </w:p>
    <w:p w14:paraId="1437CD8C" w14:textId="77777777" w:rsidR="00C00A91" w:rsidRPr="00EB665E" w:rsidRDefault="00C00A91" w:rsidP="00C00A91">
      <w:pPr>
        <w:pStyle w:val="NormalHanging12a"/>
      </w:pPr>
      <w:r w:rsidRPr="00EB665E">
        <w:t>32.</w:t>
      </w:r>
      <w:r w:rsidRPr="00EB665E">
        <w:tab/>
        <w:t xml:space="preserve">z zadowoleniem przyjmuje ogłoszenie przez Komisję ambitnego pakietu wniosków ustawodawczych mających na celu wzmocnienie ekosystemu transakcji i rozliczeń </w:t>
      </w:r>
      <w:proofErr w:type="spellStart"/>
      <w:r w:rsidRPr="00EB665E">
        <w:t>posttransakcyjnych</w:t>
      </w:r>
      <w:proofErr w:type="spellEnd"/>
      <w:r w:rsidRPr="00EB665E">
        <w:t xml:space="preserve"> w Unii Europejskiej, usunięcie barier dla działalności transgranicznej i dostosowanie ram do nowych technologii; oczekuje, że taka propozycja może pomóc w rozwiązaniu problemu fragmentacji rynku w UE; podkreśla jednak, że większość inicjatyw zmierzających do konsolidacji rynku powinna być napędzana przez rynek;</w:t>
      </w:r>
    </w:p>
    <w:p w14:paraId="3BD540BD" w14:textId="77777777" w:rsidR="00C00A91" w:rsidRPr="00EB665E" w:rsidRDefault="00C00A91" w:rsidP="00C00A91">
      <w:pPr>
        <w:pStyle w:val="NormalHanging12a"/>
      </w:pPr>
      <w:r w:rsidRPr="00EB665E">
        <w:t>33.</w:t>
      </w:r>
      <w:r w:rsidRPr="00EB665E">
        <w:tab/>
        <w:t xml:space="preserve">uznaje potrzebę wydajnych i płynnych rynków kapitałowych w celu pobudzenia inwestycji, w tym konkurencyjnej infrastruktury </w:t>
      </w:r>
      <w:proofErr w:type="spellStart"/>
      <w:r w:rsidRPr="00EB665E">
        <w:t>posttransakcyjnej</w:t>
      </w:r>
      <w:proofErr w:type="spellEnd"/>
      <w:r w:rsidRPr="00EB665E">
        <w:t xml:space="preserve"> rynku; z zadowoleniem przyjmuje wniosek ustawodawczy Komisji dotyczący wprowadzenia ukierunkowanej zmiany do rozporządzenia w sprawie rozrachunku papierów wartościowych i centralnych depozytów papierów wartościowych</w:t>
      </w:r>
      <w:r w:rsidRPr="00EB665E">
        <w:rPr>
          <w:rStyle w:val="FootnoteReference"/>
        </w:rPr>
        <w:footnoteReference w:id="22"/>
      </w:r>
      <w:r w:rsidRPr="00EB665E">
        <w:t xml:space="preserve"> w celu skrócenia cyklu rozrachunkowego w UE z dwóch dni („T+2”) do jednego dnia („T+1”) w odniesieniu do transakcji na zbywalnych papierach wartościowych realizowanych w systemach obrotu; zwraca uwagę, że inicjatywa ta umożliwia UE nadrobienie zaległości w stosunku do innych jurysdykcji, które już zakończyły przechodzenie na cykl T+1, a także pozwala uniknąć rozbieżności; oczekuje, że wniosek zwiększy wydajność i odporność rynków kapitałowych UE, w tym dzięki mniejszemu ryzyku nieprzeprowadzenia rozrachunku, szybszej dostępności papierów wartościowych i funduszy oraz niższym wymogom dotyczącym depozytu zabezpieczającego; zauważa z zaniepokojeniem, że inne jurysdykcje, takie jak Stany Zjednoczone i Indie, badają lub stosują w ramach pilotażu cykle rozrachunkowe T+0; wzywa Komisję do pilnego zainicjowania technicznej i regulacyjnej oceny wykonalności przejścia na cykl rozrachunkowy T+0, w ścisłej koordynacji z infrastrukturami rynkowymi, bankami </w:t>
      </w:r>
      <w:r w:rsidRPr="00EB665E">
        <w:lastRenderedPageBreak/>
        <w:t>centralnymi i uczestnikami rynku; podkreśla, że dalsze skrócenie cyklu rozrachunkowego zmniejszyłoby ryzyko systemowe, poprawiłoby efektywność rynku i zwiększyłoby atrakcyjność rynków kapitałowych UE na świecie;</w:t>
      </w:r>
    </w:p>
    <w:p w14:paraId="7F215412" w14:textId="77777777" w:rsidR="00C00A91" w:rsidRPr="00EB665E" w:rsidRDefault="00C00A91" w:rsidP="00C00A91">
      <w:pPr>
        <w:pStyle w:val="NormalHanging12a"/>
        <w:rPr>
          <w:rStyle w:val="BoldItalic"/>
          <w:b w:val="0"/>
          <w:i w:val="0"/>
        </w:rPr>
      </w:pPr>
      <w:r w:rsidRPr="00EB665E">
        <w:t>34.</w:t>
      </w:r>
      <w:r w:rsidRPr="00EB665E">
        <w:tab/>
        <w:t>zwraca uwagę, że usprawnienie procedur administracyjnych może zwiększyć atrakcyjność UE jako miejsca docelowego inwestycji; uważa, że ujednolicenie ram prawnych państw członkowskich z jednoczesnym utrzymaniem krajowych kompetencji i minimalnych standardów powinno stanowić element programu upraszczania w celu ułatwienia działalności transgranicznej; przypomina, że poleganie na rozporządzeniach, a nie na dyrektywach, zmniejszyłoby rozbieżności we wdrażaniu prawodawstwa UE, w tym nadmiernie rygorystyczne wdrażanie, a tym samym ułatwiłoby trwający proces upraszczania; wzywa Komisję, aby stosowała zasadę „Lepsze stanowienie prawa”, co ma prowadzić do harmonizacji w obszarach, w których oceny skutków wskazują na wyraźną wartość dodaną, i rozwiązania problemu fragmentacji;</w:t>
      </w:r>
      <w:r w:rsidRPr="00EB665E">
        <w:rPr>
          <w:rStyle w:val="BoldItalic"/>
        </w:rPr>
        <w:t xml:space="preserve"> </w:t>
      </w:r>
      <w:r w:rsidRPr="00EB665E">
        <w:t xml:space="preserve">zwraca uwagę na możliwe korzyści usprawnienia unijnych ram zrównoważonego finansowania, jak podkreślono w sprawozdaniu </w:t>
      </w:r>
      <w:proofErr w:type="spellStart"/>
      <w:r w:rsidRPr="00EB665E">
        <w:t>Draghiego</w:t>
      </w:r>
      <w:proofErr w:type="spellEnd"/>
      <w:r w:rsidRPr="00EB665E">
        <w:t>, w szczególności przez większą jasność, spójność i wytyczne; odnotowuje w związku z tym pakiet zbiorczy Komisji dotyczący zrównoważonego rozwoju;</w:t>
      </w:r>
    </w:p>
    <w:p w14:paraId="3CA32655" w14:textId="77777777" w:rsidR="00C00A91" w:rsidRPr="00EB665E" w:rsidRDefault="00C00A91" w:rsidP="00C00A91">
      <w:pPr>
        <w:pStyle w:val="NormalHanging12a"/>
      </w:pPr>
      <w:r w:rsidRPr="00EB665E">
        <w:t>35.</w:t>
      </w:r>
      <w:r w:rsidRPr="00EB665E">
        <w:tab/>
        <w:t>uważa, że pierwszym krokiem do uproszczenia jest skuteczne prawodawstwo; wzywa Komisję do zapewnienia zaangażowania Europejskich Urzędów Nadzoru (EUN) w proces decyzyjny dotyczący mandatów poziomu 2 i 3 w celu zagwarantowania, aby mandaty te były oparte na dowodach, proporcjonalne i dostosowane do potrzeb sektora finansowego; zachęca Komisję i EUN, by oceniły również, w jaki sposób zmniejszyć liczbę i złożoność przyszłych aktów delegowanych, aktów wykonawczych, zestawów pytań i odpowiedzi oraz wytycznych; podkreśla konieczność ścisłego przestrzegania przez EUN mandatu udzielonego przez europejskiego prawodawcę;</w:t>
      </w:r>
    </w:p>
    <w:p w14:paraId="5A026504" w14:textId="77777777" w:rsidR="00C00A91" w:rsidRPr="00EB665E" w:rsidRDefault="00C00A91" w:rsidP="00C00A91">
      <w:pPr>
        <w:pStyle w:val="NormalHanging12a"/>
      </w:pPr>
      <w:r w:rsidRPr="00EB665E">
        <w:t>36.</w:t>
      </w:r>
      <w:r w:rsidRPr="00EB665E">
        <w:tab/>
        <w:t>z zadowoleniem odnotowuje niedawne przyjęcie aktu w sprawie dopuszczania do obrotu giełdowego, który ułatwi przedsiębiorstwom o różnej wielkości, w tym MŚP, wejście na europejskie giełdy papierów wartościowych; podkreśla, że przepisy poziomu 2 aktu w sprawie dopuszczania do obrotu giełdowego powinny przyczynić się do bardziej dostępnego i opłacalnego środowiska notowań w całej Unii;</w:t>
      </w:r>
    </w:p>
    <w:p w14:paraId="28EA3800" w14:textId="77777777" w:rsidR="00C00A91" w:rsidRPr="00EB665E" w:rsidRDefault="00C00A91" w:rsidP="00C00A91">
      <w:pPr>
        <w:pStyle w:val="NormalHanging12a"/>
      </w:pPr>
      <w:r w:rsidRPr="00EB665E">
        <w:t>37.</w:t>
      </w:r>
      <w:r w:rsidRPr="00EB665E">
        <w:tab/>
        <w:t>wzywa Komisję do zajęcia się kwestią rozdrobnienia krajowych ram dotyczących niewypłacalności oraz do ustanowienia skutecznych mechanizmów rozstrzygania sporów transgranicznych; podkreśla, że większa konwergencja prawna i przejrzystość proceduralna są niezbędne do zmniejszenia barier dla inwestycji transgranicznych i wspierania głębszej integracji rynków kapitałowych UE;</w:t>
      </w:r>
    </w:p>
    <w:p w14:paraId="3C7320E8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38.</w:t>
      </w:r>
      <w:r w:rsidRPr="00EB665E">
        <w:tab/>
        <w:t>podtrzymuje swoje zaangażowanie w realizację ogólnych celów ram zrównoważonego finansowania oraz w pobudzanie inwestycji publicznych i prywatnych w transformację;</w:t>
      </w:r>
      <w:r w:rsidRPr="00EB665E">
        <w:rPr>
          <w:rStyle w:val="BoldItalic"/>
        </w:rPr>
        <w:t xml:space="preserve"> </w:t>
      </w:r>
      <w:r w:rsidRPr="00EB665E">
        <w:t>przypomina, że dochody z systemu handlu uprawnieniami do emisji będą miały kluczowe znaczenie dla wspierania inwestycji w cele związane z klimatem i energią zarówno z budżetów państw członkowskich, jak i Unii; przypomina, że na początku obecnej kadencji Komisja ponownie potwierdziła swoją ambicję, żeby pozostać światowym liderem w dziedzinie zrównoważonego finansowania; zauważa, że Komisja dokonuje obecnie krytycznej oceny wszystkich elementów ram zrównoważonego finansowania i może przedstawić wnioski dotyczące uproszczenia;</w:t>
      </w:r>
    </w:p>
    <w:p w14:paraId="27C23402" w14:textId="77777777" w:rsidR="00C00A91" w:rsidRPr="00EB665E" w:rsidRDefault="00C00A91" w:rsidP="00C00A91">
      <w:pPr>
        <w:pStyle w:val="NormalHanging12a"/>
      </w:pPr>
      <w:r w:rsidRPr="00EB665E">
        <w:lastRenderedPageBreak/>
        <w:t>39.</w:t>
      </w:r>
      <w:r w:rsidRPr="00EB665E">
        <w:tab/>
        <w:t>wzywa Komisję do przyjęcia wniosku dotyczącego przeglądu rozporządzenia w sprawie ujawniania informacji związanych ze zrównoważonym rozwojem w sektorze usług finansowych</w:t>
      </w:r>
      <w:r w:rsidRPr="00EB665E">
        <w:rPr>
          <w:rStyle w:val="FootnoteReference"/>
        </w:rPr>
        <w:footnoteReference w:id="23"/>
      </w:r>
      <w:r w:rsidRPr="00EB665E">
        <w:t>, w tym przeciwdziałania ryzyku pseudoekologicznego marketingu;</w:t>
      </w:r>
    </w:p>
    <w:p w14:paraId="6051EE64" w14:textId="77777777" w:rsidR="00C00A91" w:rsidRPr="00EB665E" w:rsidRDefault="00C00A91" w:rsidP="00C00A91">
      <w:pPr>
        <w:pStyle w:val="NormalHanging12a"/>
      </w:pPr>
      <w:r w:rsidRPr="00EB665E">
        <w:t>40.</w:t>
      </w:r>
      <w:r w:rsidRPr="00EB665E">
        <w:tab/>
        <w:t xml:space="preserve">podkreśla, że wysokie ceny energii negatywnie wpływają na konkurencyjność UE; z zadowoleniem przyjmuje zatem propozycję przedstawioną w sprawozdaniu </w:t>
      </w:r>
      <w:proofErr w:type="spellStart"/>
      <w:r w:rsidRPr="00EB665E">
        <w:t>Draghiego</w:t>
      </w:r>
      <w:proofErr w:type="spellEnd"/>
      <w:r w:rsidRPr="00EB665E">
        <w:t>; apeluje o stosowanie zasady „taka sama działalność, takie same przepisy” oraz o przegląd wyłączenia dotyczącego działalności dodatkowej, które umożliwia przedsiębiorstwom niefinansowym obrót na rynkach energetycznych instrumentów pochodnych bez podlegania takiej samej kontroli, jakiej podlegają podmioty finansowe;</w:t>
      </w:r>
    </w:p>
    <w:p w14:paraId="42335EF9" w14:textId="77777777" w:rsidR="00C00A91" w:rsidRPr="00EB665E" w:rsidRDefault="00C00A91" w:rsidP="00C00A91">
      <w:pPr>
        <w:pStyle w:val="NormalHanging12a"/>
      </w:pPr>
      <w:r w:rsidRPr="00EB665E">
        <w:t>41.</w:t>
      </w:r>
      <w:r w:rsidRPr="00EB665E">
        <w:tab/>
        <w:t>podkreśla, że przedsiębiorstwa, które mają dostęp do rynków kapitałowych, odnotowują znaczny wzrost, ponieważ mogą finansować swoją ekspansję, innowacje i projekty rozwojowe; twierdzi, że dzięki pozyskiwaniu środków od szerszej bazy inwestorów przedsiębiorstwa te mogą zdywersyfikować swoje źródła finansowania; uważa, że stymulowanie pierwszych ofert publicznych (IPO) ma zasadnicze znaczenie dla wzrostu europejskich przedsiębiorstw i dalszej integracji rynków kapitałowych UE; apeluje o wdrożenie środków, które zmniejszą bariery regulacyjne i poprawią dostęp do kapitału, zapewniając MŚP łatwy dostęp do rynków kapitałowych bez nadmiernych kosztów lub złożoności;</w:t>
      </w:r>
    </w:p>
    <w:p w14:paraId="47CF5ED5" w14:textId="77777777" w:rsidR="00C00A91" w:rsidRPr="00EB665E" w:rsidRDefault="00C00A91" w:rsidP="00C00A91">
      <w:pPr>
        <w:pStyle w:val="NormalHanging12a"/>
      </w:pPr>
      <w:r w:rsidRPr="00EB665E">
        <w:t>42.</w:t>
      </w:r>
      <w:r w:rsidRPr="00EB665E">
        <w:tab/>
        <w:t>obawia się, że bez jasnej i skoordynowanej strategii liczba pierwszych ofert publicznych w UE pozostanie ograniczona, co ograniczy potencjał wzrostu europejskich przedsiębiorstw i zmniejszy atrakcyjność rynków UE dla inwestorów z całego świata;</w:t>
      </w:r>
    </w:p>
    <w:p w14:paraId="7975EC30" w14:textId="77777777" w:rsidR="00C00A91" w:rsidRPr="00EB665E" w:rsidRDefault="00C00A91" w:rsidP="00C00A91">
      <w:pPr>
        <w:pStyle w:val="NormalHanging12a"/>
      </w:pPr>
      <w:r w:rsidRPr="00EB665E">
        <w:t>43.</w:t>
      </w:r>
      <w:r w:rsidRPr="00EB665E">
        <w:tab/>
        <w:t xml:space="preserve">przypomina, że przepisy UE, takie jak rozporządzenie w sprawie prospektu i </w:t>
      </w:r>
      <w:proofErr w:type="spellStart"/>
      <w:r w:rsidRPr="00EB665E">
        <w:t>MiFID</w:t>
      </w:r>
      <w:proofErr w:type="spellEnd"/>
      <w:r w:rsidRPr="00EB665E">
        <w:t xml:space="preserve"> II, przyczyniły się do poprawy przejrzystości i efektywności rynku, jednak można zrobić jeszcze więcej, aby usprawnić procesy dla przedsiębiorstw, które chcą wejść na rynek publiczny; podkreśla potrzebę dalszej harmonizacji praktyk rynkowych we wszystkich państwach członkowskich w celu stworzenia prawdziwie jednolitego rynku kapitałowego; broni stosowania najlepszych praktyk na szczeblu UE;</w:t>
      </w:r>
    </w:p>
    <w:p w14:paraId="3BF2F356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44.</w:t>
      </w:r>
      <w:r w:rsidRPr="00EB665E">
        <w:tab/>
        <w:t>zauważa, że obecne ramy podatkowe w Unii obejmujące 27 różnych systemów opodatkowania osób prawnych mogą stworzyć przeszkody dla przedsiębiorstw i inwestycji transgranicznych na rynku wewnętrznym</w:t>
      </w:r>
      <w:r w:rsidRPr="00EB665E">
        <w:rPr>
          <w:rStyle w:val="FootnoteReference"/>
        </w:rPr>
        <w:footnoteReference w:id="24"/>
      </w:r>
      <w:r w:rsidRPr="00EB665E">
        <w:t xml:space="preserve">; uważa, że innowacyjne przedsiębiorstwa w stosownych przypadkach mogłyby skorzystać na jednolitym zestawie przepisów obowiązujących w całej UE zgodnie z Traktatami oraz ze wspólnych praktyk; odnotowuje w tym względzie wniosek „Działalność gospodarcza w Europie: ramy opodatkowania dochodu” ustanawiający jednolity zestaw zasad obliczania podstawy opodatkowania osób prawnych; przypomina, że szereg inicjatyw ustawodawczych w dziedzinie opodatkowania jest nadal wstrzymanych i że ważne jest zagwarantowanie pewności, przewidywalności i stabilności; przyjmuje do wiadomości </w:t>
      </w:r>
      <w:r w:rsidRPr="00EB665E">
        <w:lastRenderedPageBreak/>
        <w:t>wyjaśnienie Komisji, które inicjatywy w dziedzinie opodatkowania mają zostać wycofane;</w:t>
      </w:r>
    </w:p>
    <w:p w14:paraId="726DF47E" w14:textId="77777777" w:rsidR="00C00A91" w:rsidRPr="00EB665E" w:rsidRDefault="00C00A91" w:rsidP="00C00A91">
      <w:pPr>
        <w:pStyle w:val="NormalHanging12a"/>
      </w:pPr>
      <w:r w:rsidRPr="00EB665E">
        <w:t>45.</w:t>
      </w:r>
      <w:r w:rsidRPr="00EB665E">
        <w:tab/>
        <w:t>przypomina, że większość kwestii podatkowych wchodzi w zakres kompetencji krajowych państw członkowskich; podkreśla jednak, że bardziej skoordynowane ramy opodatkowania osób prawnych mogłyby pomóc obniżyć koszty przestrzegania przepisów i zmniejszyć obciążenia administracyjne, a także stworzyć równe warunki działania dla przedsiębiorstw działających na całym rynku wewnętrznym, zachęcić do ekspansji, zwiększyć pewność prawa oraz pobudzić inwestycje i wzrost w Unii; wzywa państwa członkowskie do przyspieszenia w szczególności negocjacji w sprawie zasad amortyzacji; zwraca się do Komisji o zbadanie i ocenę korzyści i wad wariantu 28. systemu prawnego;</w:t>
      </w:r>
    </w:p>
    <w:p w14:paraId="7F498632" w14:textId="77777777" w:rsidR="00C00A91" w:rsidRPr="00EB665E" w:rsidRDefault="00C00A91" w:rsidP="00C00A91">
      <w:pPr>
        <w:pStyle w:val="NormalHanging12a"/>
      </w:pPr>
      <w:r w:rsidRPr="00EB665E">
        <w:t>46.</w:t>
      </w:r>
      <w:r w:rsidRPr="00EB665E">
        <w:tab/>
        <w:t>wzywa Komisję do wdrożenia środków zachęcających inwestorów zarówno krajowych, jak i zewnętrznych do uczestnictwa w europejskich rynkach kapitałowych; wzywa Komisję do zapewnienia państwom członkowskim wsparcia technicznego w opracowywaniu i wdrażaniu polityki podatkowej zachęcającej do inwestycji;</w:t>
      </w:r>
    </w:p>
    <w:p w14:paraId="42AE3941" w14:textId="77777777" w:rsidR="00C00A91" w:rsidRPr="00EB665E" w:rsidRDefault="00C00A91" w:rsidP="00C00A91">
      <w:pPr>
        <w:pStyle w:val="NormalHanging12a"/>
      </w:pPr>
      <w:r w:rsidRPr="00EB665E">
        <w:t>47.</w:t>
      </w:r>
      <w:r w:rsidRPr="00EB665E">
        <w:tab/>
        <w:t xml:space="preserve">odnotowuje zawarte w sprawozdaniu </w:t>
      </w:r>
      <w:proofErr w:type="spellStart"/>
      <w:r w:rsidRPr="00EB665E">
        <w:t>Draghiego</w:t>
      </w:r>
      <w:proofErr w:type="spellEnd"/>
      <w:r w:rsidRPr="00EB665E">
        <w:t xml:space="preserve"> zalecenie dotyczące zapewnienia zachęt podatkowych wspierających rozwój sektorów strategicznych; uważa, że zachęty podatkowe związane z produktami inwestycyjnymi powinny priorytetowo traktować inwestycje dokonywane w Europie, aby wspierać europejską konkurencyjność;</w:t>
      </w:r>
    </w:p>
    <w:p w14:paraId="30D74DA7" w14:textId="77777777" w:rsidR="00C00A91" w:rsidRPr="00EB665E" w:rsidRDefault="00C00A91" w:rsidP="00C00A91">
      <w:pPr>
        <w:pStyle w:val="NormalHanging12a"/>
      </w:pPr>
      <w:r w:rsidRPr="00EB665E">
        <w:t>48.</w:t>
      </w:r>
      <w:r w:rsidRPr="00EB665E">
        <w:tab/>
        <w:t xml:space="preserve">z zadowoleniem </w:t>
      </w:r>
      <w:proofErr w:type="gramStart"/>
      <w:r w:rsidRPr="00EB665E">
        <w:t>przyjmuje,</w:t>
      </w:r>
      <w:proofErr w:type="gramEnd"/>
      <w:r w:rsidRPr="00EB665E">
        <w:t xml:space="preserve"> jako pierwszy krok i w celu zmniejszenia złożoności i fragmentacji rynku wewnętrznego, wytyczne Komisji dotyczące opracowywania zachęt podatkowych, przy jednoczesnym poszanowaniu kompetencji krajowych państw członkowskich;</w:t>
      </w:r>
    </w:p>
    <w:p w14:paraId="4ECACDBE" w14:textId="77777777" w:rsidR="00C00A91" w:rsidRPr="00EB665E" w:rsidRDefault="00C00A91" w:rsidP="00C00A91">
      <w:pPr>
        <w:pStyle w:val="NormalHanging12a"/>
      </w:pPr>
      <w:r w:rsidRPr="00EB665E">
        <w:t>49.</w:t>
      </w:r>
      <w:r w:rsidRPr="00EB665E">
        <w:tab/>
        <w:t xml:space="preserve">wzywa Komisję do usunięcia istniejących barier dla transgranicznych inwestycji detalicznych, takich jak zbyt skomplikowane procedury odzyskiwania podatków u źródła oraz brak </w:t>
      </w:r>
      <w:proofErr w:type="spellStart"/>
      <w:r w:rsidRPr="00EB665E">
        <w:t>ogólnounijnych</w:t>
      </w:r>
      <w:proofErr w:type="spellEnd"/>
      <w:r w:rsidRPr="00EB665E">
        <w:t xml:space="preserve"> minimalnych standardów dotyczących walnych zgromadzeń akcjonariuszy;</w:t>
      </w:r>
    </w:p>
    <w:p w14:paraId="5543D634" w14:textId="77777777" w:rsidR="00C00A91" w:rsidRPr="00EB665E" w:rsidRDefault="00C00A91" w:rsidP="00C00A91">
      <w:pPr>
        <w:pStyle w:val="Normal12a24b"/>
        <w:spacing w:before="0"/>
        <w:ind w:left="567" w:hanging="567"/>
      </w:pPr>
      <w:r w:rsidRPr="00EB665E">
        <w:t>50.</w:t>
      </w:r>
      <w:r w:rsidRPr="00EB665E">
        <w:tab/>
        <w:t>podkreśla, że integracja rynków kapitałowych jest niezbędnym filarem strategii inwestycyjnej Unii i może, jeśli zwiększy to skuteczność, zostać uzupełniona starannie zaprojektowanymi bodźcami w odniesieniu do produktów długoterminowych, aby zmaksymalizować wpływ;</w:t>
      </w:r>
    </w:p>
    <w:p w14:paraId="267D5D1D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51.</w:t>
      </w:r>
      <w:r w:rsidRPr="00EB665E">
        <w:tab/>
        <w:t xml:space="preserve">wzywa Komisję do opracowania wniosków mających na celu ułatwienie ukierunkowania oszczędności za pomocą długoterminowych produktów oszczędnościowych na inwestycje produkcyjne, w oparciu o doświadczenia krajowe, które wykazały silną absorpcję przez inwestorów detalicznych; zwraca się do Komisji o zbadanie rozwiązań i pomysłów badań, takich jak utworzenia unijnego inwestycyjnego rachunku oszczędnościowego, który byłby dostępny dla wszystkich obywateli Unii, lub oznaczenia na szczeblu UE produktów inwestycyjnych odpowiednich dla inwestorów detalicznych w oparciu o wspólne kryteria lub cechy, takie jak: produkty „niezłożone”, proporcjonalne koszty, ukierunkowanie na inwestycje długoterminowe, alokacja aktywów i techniki ograniczania ryzyka; wzywa Komisję do wprowadzenia uproszczonego i usprawnionego segmentu doradztwa lub segmentu ukierunkowanej realizacji wyłącznie dla produktów oznaczonych jako podstawowe i proste; zwraca się w szczególności do Komisji o ocenę wartości dodanej i skuteczności oznakowania </w:t>
      </w:r>
      <w:r w:rsidRPr="00EB665E">
        <w:lastRenderedPageBreak/>
        <w:t>inwestycji, które oferują możliwości nagradzania inwestorów na całym świecie lub są zrównoważone i zlokalizowane głównie w UE (oznakowanie „Invest” lub „</w:t>
      </w:r>
      <w:proofErr w:type="spellStart"/>
      <w:r w:rsidRPr="00EB665E">
        <w:t>Made</w:t>
      </w:r>
      <w:proofErr w:type="spellEnd"/>
      <w:r w:rsidRPr="00EB665E">
        <w:t xml:space="preserve"> in Europe”), oraz ocenę gotowości przedsiębiorstw i obywateli na takie oznakowanie; podkreśla, że taka inicjatywa powinna mieć na celu wygenerowanie dodatkowych oszczędności przy jednoczesnym zabezpieczeniu i, w miarę możliwości, zwiększeniu różnorodności produktów, dystrybutorów i struktur rynkowych w całej Unii; zauważa, że niektóre państwa członkowskie czynią postępy w kierunku „Europy chętnych”; wzywa Komisję i państwa członkowskie do przyjęcia jak najambitniejszego podejścia i do poczynienia postępów jako blok;</w:t>
      </w:r>
    </w:p>
    <w:p w14:paraId="3269DB4E" w14:textId="77777777" w:rsidR="00C00A91" w:rsidRPr="00EB665E" w:rsidRDefault="00C00A91" w:rsidP="00C00A91">
      <w:pPr>
        <w:pStyle w:val="NormalHanging12a"/>
      </w:pPr>
      <w:r w:rsidRPr="00EB665E">
        <w:t>52.</w:t>
      </w:r>
      <w:r w:rsidRPr="00EB665E">
        <w:tab/>
        <w:t>odnotowuje wprowadzenie europejskiego oznakowania oszczędności długoterminowych „Finance Europe”</w:t>
      </w:r>
      <w:r w:rsidRPr="00EB665E">
        <w:rPr>
          <w:rStyle w:val="FootnoteReference"/>
        </w:rPr>
        <w:footnoteReference w:id="25"/>
      </w:r>
      <w:r w:rsidRPr="00EB665E">
        <w:t>przez siedem państw członkowskich we współpracy z ich krajowymi sektorami finansowymi; zauważa, że kryteria takiego znaku obejmują alokację portfela, w ramach którego co najmniej 70 % aktywów jest inwestowanych w przedsiębiorstwa europejskie, minimalny okres inwestycji wynoszący pięć lat, znaczną część inwestycji w kapitał własny oraz ewentualnie zachęty podatkowe opracowane na szczeblu krajowym;</w:t>
      </w:r>
    </w:p>
    <w:p w14:paraId="220F1AE7" w14:textId="77777777" w:rsidR="00C00A91" w:rsidRPr="00EB665E" w:rsidRDefault="00C00A91" w:rsidP="00C00A91">
      <w:pPr>
        <w:pStyle w:val="NormalHanging12a"/>
      </w:pPr>
      <w:r w:rsidRPr="00EB665E">
        <w:t>53.</w:t>
      </w:r>
      <w:r w:rsidRPr="00EB665E">
        <w:tab/>
        <w:t>przypomina, że istniejące ogólnoeuropejskie produkty, takie jak europejskie długoterminowe fundusze inwestycyjne (ELTIF) i ogólnoeuropejskie indywidualne produkty emerytalne (OIPE), miały jak dotąd trudności z uzyskaniem znaczącej popularności wśród inwestorów detalicznych; przyjmuje do wiadomości trwające reformy mające zwiększyć ich atrakcyjność, ale podkreśla, że doświadczenie pokazuje, iż sama struktura regulacyjna jest niewystarczająca, aby pobudzić absorpcję;</w:t>
      </w:r>
    </w:p>
    <w:p w14:paraId="3887C20C" w14:textId="77777777" w:rsidR="00C00A91" w:rsidRPr="00EB665E" w:rsidRDefault="00C00A91" w:rsidP="00C00A91">
      <w:pPr>
        <w:pStyle w:val="NormalHanging12a"/>
      </w:pPr>
      <w:r w:rsidRPr="00EB665E">
        <w:t>54.</w:t>
      </w:r>
      <w:r w:rsidRPr="00EB665E">
        <w:tab/>
        <w:t>podkreśla, że silna ochrona konsumentów ma zasadnicze znaczenie dla zwiększenia zaufania i udziału w europejskich produktach inwestycyjnych; podkreśla potrzebę wyraźnego ujawniania informacji, struktur przejrzystych i niskich opłat, dostępu do podstawowych usług finansowych w celu promowania włączenia finansowego, solidnej regulacji narzędzi cyfrowych, takich jak sztuczna inteligencja (AI), stosowanych przez instytucje finansowe do sprzedaży europejskich produktów finansowych i zapewniania doradztwa w tym zakresie, a także solidnych regulacji i standaryzacji produktów finansowych, uzupełnionych o ukierunkowane inicjatywy w zakresie edukacji finansowej;</w:t>
      </w:r>
    </w:p>
    <w:p w14:paraId="4B2C0DB1" w14:textId="77777777" w:rsidR="00C00A91" w:rsidRPr="00EB665E" w:rsidRDefault="00C00A91" w:rsidP="00C00A91">
      <w:pPr>
        <w:pStyle w:val="NormalHanging12a"/>
      </w:pPr>
      <w:r w:rsidRPr="00EB665E">
        <w:t>55.</w:t>
      </w:r>
      <w:r w:rsidRPr="00EB665E">
        <w:tab/>
        <w:t>wzywa Komisję do wsparcia opracowania europejskiej rodziny indeksów rynku akcji na potrzeby unii rynków kapitałowych</w:t>
      </w:r>
      <w:r w:rsidRPr="00EB665E">
        <w:rPr>
          <w:rStyle w:val="FootnoteReference"/>
        </w:rPr>
        <w:footnoteReference w:id="26"/>
      </w:r>
      <w:r w:rsidRPr="00EB665E">
        <w:t xml:space="preserve"> w oparciu o dane, które zostaną udostępnione w ramach przyszłego </w:t>
      </w:r>
      <w:proofErr w:type="spellStart"/>
      <w:r w:rsidRPr="00EB665E">
        <w:t>ogólnounijnego</w:t>
      </w:r>
      <w:proofErr w:type="spellEnd"/>
      <w:r w:rsidRPr="00EB665E">
        <w:t xml:space="preserve"> systemu publikacji informacji skonsolidowanych, co zapewniłoby większą widoczność mniejszych i mniej płynnych rynków krajowych w </w:t>
      </w:r>
      <w:r w:rsidRPr="00EB665E">
        <w:lastRenderedPageBreak/>
        <w:t xml:space="preserve">UE oraz umożliwiłoby obywatelom europejskim łatwe inwestowanie w akcje spółek o średniej i małej kapitalizacji we wszystkich państwach członkowskich UE; uważa, że ta rodzina indeksów powinna obejmować wszystkie publicznie notowane akcje w UE i umożliwiać tworzenie </w:t>
      </w:r>
      <w:proofErr w:type="spellStart"/>
      <w:r w:rsidRPr="00EB665E">
        <w:t>podindeksów</w:t>
      </w:r>
      <w:proofErr w:type="spellEnd"/>
      <w:r w:rsidRPr="00EB665E">
        <w:t xml:space="preserve"> dla poszczególnych krajów, regionów i sektorów, aby zaspokoić zróżnicowane potrzeby inwestorów, emitentów i ich giełd; podkreśla, że rozwój indeksów i zarządzanie nimi, a także ich wykorzystanie przez uczestników rynku powinny być opłacalne, aby zminimalizować obciążenie uczestników rynku i zmaksymalizować pozytywne efekty drugiej rundy, takie jak zwiększona liczba akcji notowanych na giełdzie i nowe produkty finansowe;</w:t>
      </w:r>
    </w:p>
    <w:p w14:paraId="74161624" w14:textId="77777777" w:rsidR="00C00A91" w:rsidRPr="00EB665E" w:rsidRDefault="00C00A91" w:rsidP="00C00A91">
      <w:pPr>
        <w:pStyle w:val="NormalHanging12a"/>
      </w:pPr>
      <w:r w:rsidRPr="00EB665E">
        <w:t>56.</w:t>
      </w:r>
      <w:r w:rsidRPr="00EB665E">
        <w:tab/>
        <w:t>podkreśla znaczenie lepszego dostępu do aktualnych cen i informacji o produktach dla inwestorów detalicznych, a także możliwości tworzenia ofert dostosowanych do indywidualnych potrzeb; apeluje o wdrożenie środków w celu ułatwienia dostępu do takich informacji;</w:t>
      </w:r>
    </w:p>
    <w:p w14:paraId="0E5C50ED" w14:textId="77777777" w:rsidR="00C00A91" w:rsidRPr="00EB665E" w:rsidRDefault="00C00A91" w:rsidP="00C00A91">
      <w:pPr>
        <w:pStyle w:val="NormalHanging12a"/>
      </w:pPr>
      <w:r w:rsidRPr="00EB665E">
        <w:t>57.</w:t>
      </w:r>
      <w:r w:rsidRPr="00EB665E">
        <w:tab/>
        <w:t>przypomina, że systemy emerytalne i modele ich finansowania w dużej mierze zależą od specyfiki krajowej; podkreśla, że systemy emerytalne pomagają chronić emerytów, budować rynki kapitałowe i mobilizować inwestycje oraz muszą priorytetowo traktować stabilność, solidarność oraz zapewnienie odpowiednich i przewidywalnych dochodów na emeryturze; podkreśla, że silne gwarancje ochrony oszczędzających detalicznych powinny być wzięte pod uwagę w rozwoju produktów emerytalnych w ramach filaru 2 i filaru 3;</w:t>
      </w:r>
    </w:p>
    <w:p w14:paraId="069952AB" w14:textId="77777777" w:rsidR="00C00A91" w:rsidRPr="00EB665E" w:rsidRDefault="00C00A91" w:rsidP="00C00A91">
      <w:pPr>
        <w:pStyle w:val="NormalHanging12a"/>
      </w:pPr>
      <w:r w:rsidRPr="00EB665E">
        <w:t>58.</w:t>
      </w:r>
      <w:r w:rsidRPr="00EB665E">
        <w:tab/>
        <w:t>uważa, że systemy monitorowania uprawnień emerytalnych mogą dać obywatelom europejskim wyraźniejszy obraz uprawnień, których mogą oczekiwać na emeryturze; wzywa Komisję do dopilnowania, aby wszystkie państwa członkowskie wprowadziły proste i przejrzyste systemy monitorowania uprawnień emerytalnych, łatwo i swobodnie dostępne dla obywateli;</w:t>
      </w:r>
    </w:p>
    <w:p w14:paraId="430510EF" w14:textId="77777777" w:rsidR="00C00A91" w:rsidRPr="00EB665E" w:rsidRDefault="00C00A91" w:rsidP="00C00A91">
      <w:pPr>
        <w:pStyle w:val="NormalHanging12a"/>
      </w:pPr>
      <w:r w:rsidRPr="00EB665E">
        <w:t>59.</w:t>
      </w:r>
      <w:r w:rsidRPr="00EB665E">
        <w:tab/>
        <w:t xml:space="preserve">zwraca uwagę, że pośrednicy tacy jak fundusze emerytalne i zakłady ubezpieczeń odgrywają kluczową rolę w kierowaniu prywatnych oszczędności na inwestycje produkcyjne; oczekuje, że Komisja przyjmie ambitny akt delegowany w sprawie długoterminowych gwarancji i długoterminowych instrumentów kapitałowych w ramach Wypłacalności II, który będzie w pełni odzwierciedlał porozumienie osiągnięte przez </w:t>
      </w:r>
      <w:proofErr w:type="spellStart"/>
      <w:r w:rsidRPr="00EB665E">
        <w:t>współprawodawców</w:t>
      </w:r>
      <w:proofErr w:type="spellEnd"/>
      <w:r w:rsidRPr="00EB665E">
        <w:t xml:space="preserve"> w sprawie dyrektywy zmieniającej Wypłacalność II i brał pod uwagę odpowiednie zalecenia EIOPA;</w:t>
      </w:r>
    </w:p>
    <w:p w14:paraId="34677E1C" w14:textId="77777777" w:rsidR="00C00A91" w:rsidRPr="00EB665E" w:rsidRDefault="00C00A91" w:rsidP="00C00A91">
      <w:pPr>
        <w:pStyle w:val="NormalHanging12a"/>
        <w:rPr>
          <w:snapToGrid/>
        </w:rPr>
      </w:pPr>
      <w:r w:rsidRPr="00EB665E">
        <w:t>60.</w:t>
      </w:r>
      <w:r w:rsidRPr="00EB665E">
        <w:tab/>
        <w:t>oczekuje, że Komisja opracuje rozwiązania, które umożliwią przedsiębiorstwom, w tym rozwijającym się start-</w:t>
      </w:r>
      <w:proofErr w:type="spellStart"/>
      <w:r w:rsidRPr="00EB665E">
        <w:t>upom</w:t>
      </w:r>
      <w:proofErr w:type="spellEnd"/>
      <w:r w:rsidRPr="00EB665E">
        <w:t>, mikroprzedsiębiorstwom i MŚP, zwiększenie skali działalności i wejście na giełdę w UE; w związku z tym domaga się, aby przyszła unijna strategia na rzecz przedsiębiorstw typu start-</w:t>
      </w:r>
      <w:proofErr w:type="spellStart"/>
      <w:r w:rsidRPr="00EB665E">
        <w:t>up</w:t>
      </w:r>
      <w:proofErr w:type="spellEnd"/>
      <w:r w:rsidRPr="00EB665E">
        <w:t xml:space="preserve"> i przedsiębiorstw </w:t>
      </w:r>
      <w:proofErr w:type="spellStart"/>
      <w:r w:rsidRPr="00EB665E">
        <w:t>scale-up</w:t>
      </w:r>
      <w:proofErr w:type="spellEnd"/>
      <w:r w:rsidRPr="00EB665E">
        <w:t xml:space="preserve"> zawierała rozdział dotyczący finansowania, w szczególności dotyczący kapitału wysokiego ryzyka, w którym przedstawione zostaną odpowiednie zachęty dla europejskich przedsiębiorstw typu start-</w:t>
      </w:r>
      <w:proofErr w:type="spellStart"/>
      <w:r w:rsidRPr="00EB665E">
        <w:t>up</w:t>
      </w:r>
      <w:proofErr w:type="spellEnd"/>
      <w:r w:rsidRPr="00EB665E">
        <w:t xml:space="preserve"> i przedsiębiorstw </w:t>
      </w:r>
      <w:proofErr w:type="spellStart"/>
      <w:r w:rsidRPr="00EB665E">
        <w:t>scale-up</w:t>
      </w:r>
      <w:proofErr w:type="spellEnd"/>
      <w:r w:rsidRPr="00EB665E">
        <w:t xml:space="preserve">, aby nie przenosiły się do państw trzecich, i ukierunkowany na stworzenie atrakcyjnego i otwartego środowiska inwestycyjnego, w którym mile widziani są zarówno inwestorzy z UE, jak i z całego świata, którzy chcą inwestować w Unii; podkreśla, jak ważne jest przyciąganie talentów do UE w celu zapewnienia długoterminowego wzrostu gospodarczego, innowacji i globalnej konkurencyjności; podkreśla potrzebę pogłębienia integracji rynków pierwotnych UE przez zwiększenie konwergencji regulacyjnej i ułatwienie transgranicznego notowania; uznaje, że rynki rozwoju MŚP są ważnym punktem </w:t>
      </w:r>
      <w:r w:rsidRPr="00EB665E">
        <w:lastRenderedPageBreak/>
        <w:t>wejścia MŚP na rynki kapitałowe i powinny być bardziej dostępne dzięki uproszczonym wymogom;</w:t>
      </w:r>
    </w:p>
    <w:p w14:paraId="015DD77C" w14:textId="77777777" w:rsidR="00C00A91" w:rsidRPr="00EB665E" w:rsidRDefault="00C00A91" w:rsidP="00C00A91">
      <w:pPr>
        <w:pStyle w:val="NormalHanging12a"/>
      </w:pPr>
      <w:r w:rsidRPr="00EB665E">
        <w:t>61.</w:t>
      </w:r>
      <w:r w:rsidRPr="00EB665E">
        <w:tab/>
        <w:t>apeluje o ukierunkowane wsparcie na szczeblu UE, aby wyniki badań skuteczniej docierały do rynku, zwłaszcza w państwach członkowskich o słabszych ekosystemach innowacji; podkreśla wagę łączenia instytucji badawczych ze przedsiębiorstwami typu start-</w:t>
      </w:r>
      <w:proofErr w:type="spellStart"/>
      <w:r w:rsidRPr="00EB665E">
        <w:t>up</w:t>
      </w:r>
      <w:proofErr w:type="spellEnd"/>
      <w:r w:rsidRPr="00EB665E">
        <w:t xml:space="preserve"> i przemysłem;</w:t>
      </w:r>
    </w:p>
    <w:p w14:paraId="08206553" w14:textId="77777777" w:rsidR="00C00A91" w:rsidRPr="00EB665E" w:rsidRDefault="00C00A91" w:rsidP="00C00A91">
      <w:pPr>
        <w:pStyle w:val="NormalHanging12a"/>
      </w:pPr>
      <w:r w:rsidRPr="00EB665E">
        <w:t>62.</w:t>
      </w:r>
      <w:r w:rsidRPr="00EB665E">
        <w:tab/>
        <w:t>popiera wychodzenie inwestorów z przedsiębiorstw prywatnych poprzez promowanie takich mechanizmów jak wielostronny obrót akcjami przedsiębiorstw prywatnych w trybie notowań nieciągłych, co poprawia płynność i przejrzystość oraz umożliwia inwestorom na etapie początkowym osiąganie zysków; uważa, że takie mechanizmy powinny być zaprojektowane specjalnie w celu ułatwienia handlu transgranicznego między państwami członkowskimi UE, przy jednoczesnym zachowaniu praw akcjonariuszy, zwłaszcza akcjonariuszy mniejszościowych;</w:t>
      </w:r>
    </w:p>
    <w:p w14:paraId="5DDBDA3F" w14:textId="77777777" w:rsidR="00C00A91" w:rsidRPr="00EB665E" w:rsidRDefault="00C00A91" w:rsidP="00C00A91">
      <w:pPr>
        <w:pStyle w:val="NormalHanging12a"/>
      </w:pPr>
      <w:r w:rsidRPr="00EB665E">
        <w:t>63.</w:t>
      </w:r>
      <w:r w:rsidRPr="00EB665E">
        <w:tab/>
        <w:t>wzywa Komisję do priorytetowego potraktowania ambitnego planu działania na rzecz unii oszczędności i inwestycji, który zachęca do inwestycji prywatnych, wspiera stabilność finansową i ochronę konsumenta, sprzyja dostępowi do kapitału wysokiego ryzyka i inwestycji kapitałowych, aby umożliwić MŚP czerpanie korzyści z większej integracji rynku, zapewnia inwestorom detalicznym dostęp do rynków, zwiększa wiedzę finansową oraz zmniejsza nadmierną zależność od pożyczek bankowych i uzupełnia je, a jednocześnie zapewnia zachęty do zrównoważonej działalności;</w:t>
      </w:r>
    </w:p>
    <w:p w14:paraId="565097F6" w14:textId="77777777" w:rsidR="00C00A91" w:rsidRPr="00EB665E" w:rsidRDefault="00C00A91" w:rsidP="00C00A91">
      <w:pPr>
        <w:pStyle w:val="NormalHanging12a"/>
      </w:pPr>
      <w:r w:rsidRPr="00EB665E">
        <w:t>64.</w:t>
      </w:r>
      <w:r w:rsidRPr="00EB665E">
        <w:tab/>
        <w:t xml:space="preserve">uważa, że zwiększenie świadomości finansowej i zaufania jest niezbędne do stworzenia udanej unii rynków kapitałowych i zmobilizowania inwestycji prywatnych; zauważa z zaniepokojeniem, że poziom wiedzy finansowej pozostaje niski w całej Unii, a tylko 18 % obywateli UE wykazuje wysoki poziom wiedzy finansowej; podkreśla, że poziom wiedzy znacznie się różni w poszczególnych państwach członkowskich i grupach demograficznych; wzywa do wyraźniejszego skupienia się na wiedzy finansowej, ponieważ należy poprawić poziom zrozumienia poszczególnych produktów inwestycyjnych przez obywateli UE; </w:t>
      </w:r>
    </w:p>
    <w:p w14:paraId="6CE29E44" w14:textId="77777777" w:rsidR="00C00A91" w:rsidRPr="00EB665E" w:rsidRDefault="00C00A91" w:rsidP="00C00A91">
      <w:pPr>
        <w:pStyle w:val="NormalHanging12a"/>
      </w:pPr>
      <w:r w:rsidRPr="00EB665E">
        <w:t>65.</w:t>
      </w:r>
      <w:r w:rsidRPr="00EB665E">
        <w:tab/>
        <w:t>uważa, że w UE należy wspierać intensywniejsze inicjatywy w zakresie edukacji finansowej, aby poprawić poziom zrozumienia przez obywateli korzyści płynących z udziału w rynkach kapitałowych oraz pomóc inwestorom indywidualnym w podejmowaniu świadomych decyzji inwestycyjnych; z zadowoleniem przyjmuje wniosek Komisji dotyczący nowej strategii i wskazuje, że powinna być ona na tyle ambitna, aby znacząco poprawić poziom edukacji w całej Europie i tym samym zapewnić trwałą zmianę; wskazuje na pilną potrzebą przyjęcia środków promujących bardziej dostępną i sprawiedliwą edukację finansową w całej UE, z poszanowaniem kompetencji krajowych; uważa, że Komisja i państwa członkowskie powinny finansować inicjatywy organizacji konsumenckich, indywidualnych stowarzyszeń inwestorów lub organizacji udziałowców, które promują zrozumienie i sprzyjają udziałowi inwestorów detalicznych w rynkach kapitałowych; wzywa Komisję do wspierania rozwoju niezależnych i przyjaznych dla użytkownika narzędzi cyfrowych, które mogłyby umożliwić obywatelom łatwe porównywanie różnych cech i właściwości produktów inwestycyjnych dostępnych na rynku;</w:t>
      </w:r>
    </w:p>
    <w:p w14:paraId="4CDE981B" w14:textId="77777777" w:rsidR="00C00A91" w:rsidRPr="00EB665E" w:rsidRDefault="00C00A91" w:rsidP="00C00A91">
      <w:pPr>
        <w:pStyle w:val="NormalHanging12a"/>
      </w:pPr>
      <w:r w:rsidRPr="00EB665E">
        <w:t>66.</w:t>
      </w:r>
      <w:r w:rsidRPr="00EB665E">
        <w:tab/>
        <w:t xml:space="preserve">podkreśla, że inicjatywy w zakresie edukacji finansowej nie mogą zastąpić solidnych ram ochrony inwestorów; zwraca uwagę, że inicjatywy w zakresie edukacji finansowej </w:t>
      </w:r>
      <w:r w:rsidRPr="00EB665E">
        <w:lastRenderedPageBreak/>
        <w:t>mogą mieć ograniczony wpływ ze względu na nieuniknione ograniczenia zachowania i uprzedzenia poznawcze dotykające inwestorów indywidualnych oraz ze względu na szybkość innowacji i samą złożoność rynków finansowych; uważa, że inicjatywy na szczeblu UE i państw członkowskich wspierające standaryzację i prostotę produktów finansowych mogłyby zwiększyć zrozumienie produktów inwestycyjnych przez obywateli UE i poprawić porównywalność tych produktów;</w:t>
      </w:r>
    </w:p>
    <w:p w14:paraId="127E11F6" w14:textId="77777777" w:rsidR="00C00A91" w:rsidRPr="00EB665E" w:rsidRDefault="00C00A91" w:rsidP="00C00A91">
      <w:pPr>
        <w:pStyle w:val="NormalHanging12a"/>
      </w:pPr>
      <w:r w:rsidRPr="00EB665E">
        <w:t>67.</w:t>
      </w:r>
      <w:r w:rsidRPr="00EB665E">
        <w:tab/>
        <w:t>wzywa Komisję i państwa członkowskie do większego skoncentrowania się na cyfryzacji w sektorze usług finansowych, aby wykorzystać nowe możliwości oferowane przez sztuczną inteligencję, wymianę danych i nowe technologie oraz utrzymać konkurencyjność na arenie międzynarodowej;</w:t>
      </w:r>
    </w:p>
    <w:p w14:paraId="0983CF28" w14:textId="77777777" w:rsidR="00C00A91" w:rsidRPr="00EB665E" w:rsidRDefault="00C00A91" w:rsidP="00C00A91">
      <w:pPr>
        <w:pStyle w:val="NormalHanging12a"/>
      </w:pPr>
      <w:r w:rsidRPr="00EB665E">
        <w:t>68.</w:t>
      </w:r>
      <w:r w:rsidRPr="00EB665E">
        <w:tab/>
        <w:t>wzywa Komisję, aby ułatwiła długoterminowe inwestycje kapitałowe inwestorów instytucjonalnych, w tym banków, ubezpieczycieli, funduszy emerytalnych i funduszy inwestycyjnych;</w:t>
      </w:r>
    </w:p>
    <w:p w14:paraId="20AEDB45" w14:textId="77777777" w:rsidR="00C00A91" w:rsidRPr="00EB665E" w:rsidRDefault="00C00A91" w:rsidP="00C00A91">
      <w:pPr>
        <w:pStyle w:val="NormalHanging12a"/>
      </w:pPr>
      <w:r w:rsidRPr="00EB665E">
        <w:t>69.</w:t>
      </w:r>
      <w:r w:rsidRPr="00EB665E">
        <w:tab/>
        <w:t>popiera ustanowienie pełnoprawnego europejskiego systemu gwarantowania depozytów; przyznaje, że podział ryzyka i ograniczanie ryzyka są ze sobą powiązane;</w:t>
      </w:r>
    </w:p>
    <w:p w14:paraId="6F1EA035" w14:textId="2768DB00" w:rsidR="00C00A91" w:rsidRPr="00EB665E" w:rsidRDefault="00C00A91" w:rsidP="00C00A91">
      <w:pPr>
        <w:pStyle w:val="NormalHanging12a"/>
      </w:pPr>
      <w:r w:rsidRPr="00EB665E">
        <w:t>70.</w:t>
      </w:r>
      <w:r w:rsidRPr="00EB665E">
        <w:tab/>
      </w:r>
      <w:r w:rsidR="00633F18" w:rsidRPr="00D9245B">
        <w:rPr>
          <w:bCs/>
          <w:iCs/>
        </w:rPr>
        <w:t>odnotowuje przegląd ram sekurytyzacji przedstawiony przez Komisję 17 czerwca 2025 r., który mógłby</w:t>
      </w:r>
      <w:r w:rsidR="00633F18" w:rsidRPr="00501533">
        <w:t xml:space="preserve"> </w:t>
      </w:r>
      <w:r w:rsidRPr="00EB665E">
        <w:t>przyczynić się do integracji finansowej poprzez łączenie kredytów bankowych i rynków kapitałowych; uważa, że działania mające na celu ożywienie sekurytyzacji powinny koncentrować się na usprawnieniu wymogów regulacyjnych dotyczących ujawniania informacji oraz na prostych, przejrzystych i standardowych kryteriach</w:t>
      </w:r>
      <w:r w:rsidR="00633F18" w:rsidRPr="00D9245B">
        <w:t>, bez osłabiania</w:t>
      </w:r>
      <w:r w:rsidR="00633F18" w:rsidRPr="00501533">
        <w:t xml:space="preserve"> </w:t>
      </w:r>
      <w:r w:rsidRPr="00EB665E">
        <w:t>stabilności finansowej;</w:t>
      </w:r>
    </w:p>
    <w:p w14:paraId="04F50FA9" w14:textId="77777777" w:rsidR="00C00A91" w:rsidRPr="00EB665E" w:rsidRDefault="00C00A91" w:rsidP="00C00A91">
      <w:pPr>
        <w:pStyle w:val="Normal12a24b"/>
      </w:pPr>
      <w:r w:rsidRPr="00EB665E">
        <w:rPr>
          <w:rStyle w:val="BoldItalic"/>
        </w:rPr>
        <w:t>Optymalne wykorzystanie zasobów publicznych w celu wyeliminowania luki produktywności</w:t>
      </w:r>
    </w:p>
    <w:p w14:paraId="48668A5B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71.</w:t>
      </w:r>
      <w:r w:rsidRPr="00EB665E">
        <w:tab/>
        <w:t>przypomina o znaczeniu buforów fiskalnych dla wspierania inwestycji publicznych; zwraca uwagę w szczególności, że zgodnie z ramami reguł fiskalnych państwa członkowskie powinny przynajmniej utrzymać poziom inwestycji publicznych finansowanych ze środków krajowych przez cały okres obowiązywania krajowych średnioterminowych planów strukturalnych w stosunku do poziomu średnioterminowego sprzed rozpoczęcia realizacji planu;</w:t>
      </w:r>
    </w:p>
    <w:p w14:paraId="20D6953C" w14:textId="77777777" w:rsidR="00C00A91" w:rsidRPr="00EB665E" w:rsidRDefault="00C00A91" w:rsidP="00C00A91">
      <w:pPr>
        <w:pStyle w:val="NormalHanging12a"/>
      </w:pPr>
      <w:r w:rsidRPr="00EB665E">
        <w:t>72.</w:t>
      </w:r>
      <w:r w:rsidRPr="00EB665E">
        <w:tab/>
        <w:t>zauważa, że jest mało prawdopodobne, aby sektor prywatny mógł sfinansować lwią część inwestycji niezbędnych do cyfryzacji i dekarbonizacji gospodarki bez wsparcia ze strony sektora publicznego; uważa, że pilny charakter działań w dziedzinie konkurencyjności, obrony, energii i dekarbonizacji wymaga znacznej mobilizacji inwestycji prywatnych i publicznych, w tym w stosownych przypadkach partnerstw publiczno-prywatnych;</w:t>
      </w:r>
    </w:p>
    <w:p w14:paraId="6327DFE8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73.</w:t>
      </w:r>
      <w:r w:rsidRPr="00EB665E">
        <w:tab/>
        <w:t>zwraca jednak uwagę, że poziom długu publicznego w całej UE jest wysoki, a przestrzeń fiskalna – ograniczona; podkreśla zatem, że wszelkie środki wsparcia publicznego mające mobilizować inwestycje prywatne muszą być ściśle ukierunkowane; zwraca uwagę, że inicjatywy zmniejszające ryzyko, np. przez gwarancje publiczne, okazały się skuteczne w osiąganiu tego celu;</w:t>
      </w:r>
    </w:p>
    <w:p w14:paraId="0BC5C191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lastRenderedPageBreak/>
        <w:t>74.</w:t>
      </w:r>
      <w:r w:rsidRPr="00EB665E">
        <w:tab/>
        <w:t>zwraca uwagę, że większy wpływ i większa częstotliwość klęsk żywiołowych byłyby ogromnym obciążeniem dla finansów publicznych; zauważa, że te przyszłe koszty nie są obecnie uwzględniane w analizie stabilności długu;</w:t>
      </w:r>
    </w:p>
    <w:p w14:paraId="3C9F9BF0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75.</w:t>
      </w:r>
      <w:r w:rsidRPr="00EB665E">
        <w:tab/>
        <w:t xml:space="preserve">oczekuje, że Komisja i państwa członkowskie podejmą ambitne i konkretne kroki, aby uniknąć gwałtownego spadku inwestycji publicznych po 2026 r., kiedy to w perspektywie poważnej wojny handlowej, która może mieć wpływ na przydział inwestycji, wygasną również Instrument na rzecz Odbudowy i Zwiększania Odporności (RRF) oraz Program </w:t>
      </w:r>
      <w:proofErr w:type="spellStart"/>
      <w:r w:rsidRPr="00EB665E">
        <w:t>InvestEU</w:t>
      </w:r>
      <w:proofErr w:type="spellEnd"/>
      <w:r w:rsidRPr="00EB665E">
        <w:t xml:space="preserve">; zwraca uwagę na podstawowe wady RRF, jak brak zaangażowania władz regionalnych i lokalnych od etapu projektowania do realizacji w ramach terytorialnego podejścia opartego na wielopoziomowym sprawowaniu rządów; podkreśla potrzebę utrzymania poziomu inwestycji publicznych zarówno na szczeblu krajowym, jak i europejskim, aby pobudzać inwestycje prywatne i finansować wysokiej jakości usługi publiczne i infrastrukturę publiczną; uważa, że w stosownych przypadkach ramy te należy wzmocnić za pomocą instrumentów i narzędzi inwestycyjnych na szczeblu UE, mających minimalizować koszty dla podatników UE oraz maksymalizować skuteczność dostarczania europejskich dóbr publicznych, co mogłoby również stanowić krok w kierunku wspólnego bezpiecznego składnika aktywów; w związku z tym z zadowoleniem przyjmuje wniosek w sprawie pakietu zbiorczego dotyczącego </w:t>
      </w:r>
      <w:proofErr w:type="spellStart"/>
      <w:r w:rsidRPr="00EB665E">
        <w:t>InvestEU</w:t>
      </w:r>
      <w:proofErr w:type="spellEnd"/>
      <w:r w:rsidRPr="00EB665E">
        <w:t>, który ma zmobilizować znaczną kwotę dodatkowych inwestycji na pozostałą część wieloletnich ram finansowych;</w:t>
      </w:r>
    </w:p>
    <w:p w14:paraId="522E0BDF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76.</w:t>
      </w:r>
      <w:r w:rsidRPr="00EB665E">
        <w:tab/>
        <w:t>zwraca uwagę, że istnieje potrzeba skutecznej koordynacji krajowych polityk fiskalnych w celu utrzymania odpowiedniego poziomu inwestycji publicznych w UE;</w:t>
      </w:r>
    </w:p>
    <w:p w14:paraId="4B8A4101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77.</w:t>
      </w:r>
      <w:r w:rsidRPr="00EB665E">
        <w:tab/>
        <w:t xml:space="preserve">zauważa, że aby zachować zgodność z ramami fiskalnymi UE, oczekuje się, że rządy UE wprowadzą restrykcyjny kurs polityki fiskalnej w 2025 r., który mógłby być sprzeczny z potrzebami inwestycyjnymi UE; podkreśla, że ponieważ rządy UE zmagają się ze swoimi obciążeniami fiskalnymi, do zlikwidowania luki inwestycyjnej potrzebne są </w:t>
      </w:r>
      <w:proofErr w:type="spellStart"/>
      <w:r w:rsidRPr="00EB665E">
        <w:t>ogólnounijne</w:t>
      </w:r>
      <w:proofErr w:type="spellEnd"/>
      <w:r w:rsidRPr="00EB665E">
        <w:t xml:space="preserve"> instrumenty inwestycyjne;</w:t>
      </w:r>
    </w:p>
    <w:p w14:paraId="11EC98C9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78.</w:t>
      </w:r>
      <w:r w:rsidRPr="00EB665E">
        <w:tab/>
        <w:t xml:space="preserve">przypomina, że fundusz odbudowy </w:t>
      </w:r>
      <w:proofErr w:type="spellStart"/>
      <w:r w:rsidRPr="00EB665E">
        <w:t>NextGenerationEU</w:t>
      </w:r>
      <w:proofErr w:type="spellEnd"/>
      <w:r w:rsidRPr="00EB665E">
        <w:t xml:space="preserve"> jest największym pakietem stymulacyjnym, jaki UE kiedykolwiek sfinansowała w celu wsparcia ożywienia gospodarczego oraz transformacji ekologicznej i cyfrowej; zwraca uwagę, że główne kwestie związane z refinansowaniem </w:t>
      </w:r>
      <w:proofErr w:type="spellStart"/>
      <w:r w:rsidRPr="00EB665E">
        <w:t>NextGenerationEU</w:t>
      </w:r>
      <w:proofErr w:type="spellEnd"/>
      <w:r w:rsidRPr="00EB665E">
        <w:t xml:space="preserve"> nadal pozostają nierozwiązane; wzywa Radę, aby w trybie pilnym przyjęła nowe zasoby własne, aby umożliwić trwałą spłatę pożyczek zaciągniętych w ramach </w:t>
      </w:r>
      <w:proofErr w:type="spellStart"/>
      <w:r w:rsidRPr="00EB665E">
        <w:t>NextGenerationEU</w:t>
      </w:r>
      <w:proofErr w:type="spellEnd"/>
      <w:r w:rsidRPr="00EB665E">
        <w:t>; uważa, że należy wziąć pod uwagę wszelkie instrumenty i narzędzia, aby zapewnić Unii niezbędne zasoby;</w:t>
      </w:r>
    </w:p>
    <w:p w14:paraId="3CAE0D31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79.</w:t>
      </w:r>
      <w:r w:rsidRPr="00EB665E">
        <w:tab/>
        <w:t xml:space="preserve">zauważa, że emisja wspólnego bezpiecznego składnika aktywów mogłaby stanowić punkt odniesienia, który ułatwiłby osiągnięcie unii rynków kapitałowych, poprawił transmisję polityki pieniężnej w całej strefie euro, wzmocnił międzynarodową rolę euro i zaspokoił niektóre potrzeby inwestycyjne wskazane w sprawozdaniu </w:t>
      </w:r>
      <w:proofErr w:type="spellStart"/>
      <w:r w:rsidRPr="00EB665E">
        <w:t>Draghiego</w:t>
      </w:r>
      <w:proofErr w:type="spellEnd"/>
      <w:r w:rsidRPr="00EB665E">
        <w:t xml:space="preserve">; powtarza w związku z tym, że wspólne zaciąganie pożyczek poprzez emisję obligacji UE stanowi realną opcję zapewnienia Unii wystarczających zasobów na reagowanie na poważne </w:t>
      </w:r>
      <w:proofErr w:type="spellStart"/>
      <w:r w:rsidRPr="00EB665E">
        <w:t>ogólnounijne</w:t>
      </w:r>
      <w:proofErr w:type="spellEnd"/>
      <w:r w:rsidRPr="00EB665E">
        <w:t xml:space="preserve"> kryzysy, takie jak trwający kryzys w obszarze bezpieczeństwa i obrony; wzywa Komisję do posunięcia naprzód dyskusji nad wyeliminowaniem istniejącej w UE dużej luki inwestycyjnej, o której mowa w sprawozdaniu </w:t>
      </w:r>
      <w:proofErr w:type="spellStart"/>
      <w:r w:rsidRPr="00EB665E">
        <w:t>Draghiego</w:t>
      </w:r>
      <w:proofErr w:type="spellEnd"/>
      <w:r w:rsidRPr="00EB665E">
        <w:t>, oraz do przedstawienia konkretnych propozycji rozwiązań w zakresie finansowania;</w:t>
      </w:r>
    </w:p>
    <w:p w14:paraId="7C3CF726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lastRenderedPageBreak/>
        <w:t>80.</w:t>
      </w:r>
      <w:r w:rsidRPr="00EB665E">
        <w:tab/>
        <w:t>z zadowoleniem przyjmuje fakt, że Komisja zamierza zwiększyć udział inwestorów detalicznych w europejskich produktach finansowych we współpracy z Grupą Europejskiego Banku Inwestycyjnego (EBI), Europejskim Mechanizmem Stabilności i krajowymi bankami prorozwojowymi; zaleca, aby bezpieczne aktywa emitowane na szczeblu UE były włączane do produktów oszczędnościowych dla pracowników;</w:t>
      </w:r>
    </w:p>
    <w:p w14:paraId="524CF7D4" w14:textId="77777777" w:rsidR="00FF720E" w:rsidRDefault="00C00A91" w:rsidP="00C00A91">
      <w:pPr>
        <w:widowControl/>
        <w:spacing w:after="240"/>
        <w:ind w:left="567" w:hanging="567"/>
      </w:pPr>
      <w:r w:rsidRPr="00EB665E">
        <w:t>81.</w:t>
      </w:r>
      <w:r w:rsidRPr="00EB665E">
        <w:tab/>
        <w:t xml:space="preserve">uważa, że zwiększone potrzeby obronne wynikające z napięć geopolitycznych wymagają natychmiastowej mobilizacji wsparcia finansowego bez uszczerbku dla szczególnego charakteru polityki bezpieczeństwa i obrony niektórych państw członkowskich, zwłaszcza tych, które zachowują neutralność; z zadowoleniem przyjmuje przyszły wniosek Komisji dotyczący nowego instrumentu finansowego SAFE o wartości do 150 mld EUR na rzecz zwiększenia zdolności obronnych UE w kontekście planu </w:t>
      </w:r>
      <w:proofErr w:type="spellStart"/>
      <w:r w:rsidRPr="00EB665E">
        <w:t>ReArm</w:t>
      </w:r>
      <w:proofErr w:type="spellEnd"/>
      <w:r w:rsidRPr="00EB665E">
        <w:t xml:space="preserve"> Europe; wyraża jednak ubolewanie, że Komisja zdecydowała się oprzeć swój wniosek ustawodawczy na art. 122 TFUE, wykluczającym konsultacje z Parlamentem; przypomina, że skuteczny rozwój zdolności obronnych opiera się na wspólnych inwestycjach na szczeblu UE, które zapewniają interoperacyjność i generują przyrost wydajności, a nie zależy przede wszystkim od rozdrobnionych wydatków krajowych przez skoordynowane uruchamianie krajowych klauzul wyjścia w celu umożliwienia inwestycji związanych z obronnością;</w:t>
      </w:r>
    </w:p>
    <w:p w14:paraId="49E271A7" w14:textId="54972D1C" w:rsidR="00C00A91" w:rsidRPr="00EB665E" w:rsidRDefault="00C00A91" w:rsidP="00C00A91">
      <w:pPr>
        <w:widowControl/>
        <w:spacing w:after="240"/>
        <w:ind w:left="567" w:hanging="567"/>
      </w:pPr>
      <w:r w:rsidRPr="00EB665E">
        <w:t>82.</w:t>
      </w:r>
      <w:r w:rsidR="00FF720E">
        <w:tab/>
      </w:r>
      <w:r w:rsidRPr="00EB665E">
        <w:t>z zadowoleniem przyjmuje wspólną inicjatywę Komisji Europejskiej i grupy EBI mającą na celu utworzenie funduszu funduszy o nazwie „</w:t>
      </w:r>
      <w:proofErr w:type="spellStart"/>
      <w:r w:rsidRPr="00EB665E">
        <w:t>Defence</w:t>
      </w:r>
      <w:proofErr w:type="spellEnd"/>
      <w:r w:rsidRPr="00EB665E">
        <w:t xml:space="preserve"> Equity </w:t>
      </w:r>
      <w:proofErr w:type="spellStart"/>
      <w:r w:rsidRPr="00EB665E">
        <w:t>Facility</w:t>
      </w:r>
      <w:proofErr w:type="spellEnd"/>
      <w:r w:rsidRPr="00EB665E">
        <w:t>”, którego budżet wynosi 175 mln EUR na lata 2024–2027, aby wspierać prywatne inwestycje w europejskie MŚP opracowujące innowacyjne technologie obronne podwójnego zastosowania;</w:t>
      </w:r>
    </w:p>
    <w:p w14:paraId="0F2EEF75" w14:textId="77777777" w:rsidR="00C00A91" w:rsidRPr="00EB665E" w:rsidRDefault="00C00A91" w:rsidP="00C00A91">
      <w:pPr>
        <w:widowControl/>
        <w:spacing w:after="240"/>
        <w:ind w:left="567" w:hanging="567"/>
        <w:rPr>
          <w:bCs/>
          <w:iCs/>
        </w:rPr>
      </w:pPr>
      <w:r w:rsidRPr="00EB665E">
        <w:t>83.</w:t>
      </w:r>
      <w:r w:rsidRPr="00EB665E">
        <w:tab/>
        <w:t>z zadowoleniem przyjmuje zobowiązanie grupy EBI, przedstawione w jego strategicznym planie działania na lata 2024–2027, do wspierania rozwoju unii rynków kapitałowych poprzez mobilizację kapitału prywatnego na potrzeby inwestycji produkcyjnych i wspieranie korzyści płynących w kluczowych obszarach polityki UE, innowacji w całym cyklu życia przedsiębiorstw, finansowania kapitału wysokiego ryzyka i finansowania kapitałowego podwyższonego ryzyka dla przedsiębiorstw typu start-</w:t>
      </w:r>
      <w:proofErr w:type="spellStart"/>
      <w:r w:rsidRPr="00EB665E">
        <w:t>up</w:t>
      </w:r>
      <w:proofErr w:type="spellEnd"/>
      <w:r w:rsidRPr="00EB665E">
        <w:t xml:space="preserve"> i przedsiębiorstw </w:t>
      </w:r>
      <w:proofErr w:type="spellStart"/>
      <w:r w:rsidRPr="00EB665E">
        <w:t>scale-up</w:t>
      </w:r>
      <w:proofErr w:type="spellEnd"/>
      <w:r w:rsidRPr="00EB665E">
        <w:t>; przypomina, że obowiązkiem banku publicznego UE jest wspieranie długoterminowych projektów transformacji, w przypadku których istnieją trudności w uzyskaniu finansowania z sektora prywatnego;</w:t>
      </w:r>
    </w:p>
    <w:p w14:paraId="16A5228A" w14:textId="77777777" w:rsidR="00C00A91" w:rsidRPr="00EB665E" w:rsidRDefault="00C00A91" w:rsidP="00C00A91">
      <w:pPr>
        <w:widowControl/>
        <w:spacing w:after="240"/>
        <w:ind w:left="567" w:hanging="567"/>
        <w:rPr>
          <w:bCs/>
          <w:iCs/>
        </w:rPr>
      </w:pPr>
      <w:r w:rsidRPr="00EB665E">
        <w:t>84.</w:t>
      </w:r>
      <w:r w:rsidRPr="00EB665E">
        <w:tab/>
        <w:t>podkreśla potrzebę uproszczenia, usprawnienia, zoptymalizowania i skonsolidowania procesów i mandatów EBI w celu zwiększenia synergii, skuteczności i wydajności oraz zmniejszenia obciążeń administracyjnych, kosztów sprawozdawczości i złożoności dla przedsiębiorstw i projektów, w przypadku których w przeciwnym razie niechętnie ubiegano by się o finansowanie ze względu na złożone procedury, wysokie koszty przestrzegania przepisów i niepewność regulacyjną;</w:t>
      </w:r>
    </w:p>
    <w:p w14:paraId="582AC31A" w14:textId="2FC5AD3D" w:rsidR="00C00A91" w:rsidRPr="00EB665E" w:rsidRDefault="00C00A91" w:rsidP="00C00A91">
      <w:pPr>
        <w:widowControl/>
        <w:spacing w:after="240"/>
        <w:ind w:left="567" w:hanging="567"/>
        <w:rPr>
          <w:bCs/>
          <w:iCs/>
        </w:rPr>
      </w:pPr>
      <w:r w:rsidRPr="00EB665E">
        <w:t>85.</w:t>
      </w:r>
      <w:r w:rsidRPr="00EB665E">
        <w:tab/>
        <w:t xml:space="preserve">popiera zwiększone wykorzystanie przez EBI </w:t>
      </w:r>
      <w:r w:rsidR="00BC7988" w:rsidRPr="00EB665E">
        <w:t>instrumentów</w:t>
      </w:r>
      <w:r w:rsidRPr="00EB665E">
        <w:t xml:space="preserve"> podwyższonego ryzyka, takich jak bezpośrednie i pośrednie finansowanie kapitałowe i quasi-kapitałowe, w tym za pośrednictwem Europejskiego Funduszu Inwestycyjnego, w celu wspierania inwestycji w przedsiębiorstwa i fundusze, w szczególności za pośrednictwem kapitału wysokiego ryzyka i produktów dłużnych wysokiego ryzyka, ale podkreśla, że instrumenty podwyższonego ryzyka muszą być stosowane przy ścisłym określeniu ram ryzyka i wymiernych wskaźników ryzyka;</w:t>
      </w:r>
    </w:p>
    <w:p w14:paraId="7B8B9468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lastRenderedPageBreak/>
        <w:t>86.</w:t>
      </w:r>
      <w:r w:rsidRPr="00EB665E">
        <w:tab/>
        <w:t>uważa, że wsparcie publiczne na rzecz inwestycji wykracza poza dostęp do finansowania i powinno obejmować również pomoc techniczną, zarządzanie projektami, budowanie zdolności, komercjalizację badań naukowych, wsparcie dostępu do finansowania prywatnego oraz wspieranie współpracy między uniwersytetami a kapitałem wysokiego ryzyka w celu stymulowania innowacji i konkurencyjności;</w:t>
      </w:r>
    </w:p>
    <w:p w14:paraId="34C9636D" w14:textId="77777777" w:rsidR="00C00A91" w:rsidRPr="00EB665E" w:rsidRDefault="00C00A91" w:rsidP="00C00A91">
      <w:pPr>
        <w:pStyle w:val="NormalHanging12a"/>
      </w:pPr>
      <w:r w:rsidRPr="00EB665E">
        <w:t>87.</w:t>
      </w:r>
      <w:r w:rsidRPr="00EB665E">
        <w:tab/>
        <w:t>wzywa Komisję do zaproponowania narzędzia koordynacji konkurencyjności, które będzie również wspierać identyfikację europejskich potrzeb przemysłowych, niedoborów i możliwości rynkowych, oraz do opracowania odpowiednich zaleceń; podkreśla, że powinno ono być powiązane z przyszłym Funduszem Konkurencyjności, aby zapewnić skuteczne rozwiązania problemów przemysłowych w całej Unii;</w:t>
      </w:r>
    </w:p>
    <w:p w14:paraId="2CF81A00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88.</w:t>
      </w:r>
      <w:r w:rsidRPr="00EB665E">
        <w:tab/>
        <w:t>wzywa Komisję do położenia większego nacisku na priorytety unii oszczędności i inwestycji w ramach europejskiego semestru, przy zapewnieniu konsekwentnego wspierania, monitorowania i oceny reform strukturalnych i środków mających pogłębić i zintegrować unijne rynki kapitałowe;</w:t>
      </w:r>
    </w:p>
    <w:p w14:paraId="450A3DD4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89.</w:t>
      </w:r>
      <w:r w:rsidRPr="00EB665E">
        <w:tab/>
        <w:t xml:space="preserve">zwraca się do Komisji o włączenie konkretnych środków na rzecz promowanie kapitału wysokiego ryzyka do przyszłego Funduszu Konkurencyjności, programu </w:t>
      </w:r>
      <w:proofErr w:type="spellStart"/>
      <w:r w:rsidRPr="00EB665E">
        <w:t>TechEU</w:t>
      </w:r>
      <w:proofErr w:type="spellEnd"/>
      <w:r w:rsidRPr="00EB665E">
        <w:t xml:space="preserve"> lub wszelkich podobnych inicjatyw;</w:t>
      </w:r>
    </w:p>
    <w:p w14:paraId="34F2C0F6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90.</w:t>
      </w:r>
      <w:r w:rsidRPr="00EB665E">
        <w:tab/>
        <w:t>uznaje rolę polityki konkurencji i pomocy państwa we wspieraniu rozwoju przemysłu europejskiego; uważa jednak, że pomoc państwa może prowadzić do dalszej fragmentacji jednolitego rynku;</w:t>
      </w:r>
    </w:p>
    <w:p w14:paraId="5FE17A20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91.</w:t>
      </w:r>
      <w:r w:rsidRPr="00EB665E">
        <w:tab/>
        <w:t>zauważa, że do drugiego kwartału 2027 r. Komisja opublikuje przegląd śródokresowy unii oszczędności i inwestycji;</w:t>
      </w:r>
    </w:p>
    <w:p w14:paraId="681718E1" w14:textId="77777777" w:rsidR="00C00A91" w:rsidRPr="00EB665E" w:rsidRDefault="00C00A91" w:rsidP="00C00A91">
      <w:pPr>
        <w:widowControl/>
        <w:spacing w:after="240"/>
        <w:ind w:left="567" w:hanging="567"/>
      </w:pPr>
      <w:r w:rsidRPr="00EB665E">
        <w:t>92.</w:t>
      </w:r>
      <w:r w:rsidRPr="00EB665E">
        <w:tab/>
        <w:t>podkreśla, że Parlament powinien być odpowiednio zaangażowany we wdrażanie unii oszczędności i inwestycji; wzywa Komisję do zaangażowania się we wczesne dyskusje w obszarach unii rynków kapitałowych i usług finansowych, zanim przedstawi nowe wnioski i wszelkie dostosowania istniejących wniosków;</w:t>
      </w:r>
    </w:p>
    <w:p w14:paraId="59226839" w14:textId="77777777" w:rsidR="00C00A91" w:rsidRPr="00EB665E" w:rsidRDefault="00C00A91" w:rsidP="00C00A91">
      <w:pPr>
        <w:pStyle w:val="NormalCenter12a"/>
      </w:pPr>
      <w:r w:rsidRPr="00EB665E">
        <w:t>°</w:t>
      </w:r>
    </w:p>
    <w:p w14:paraId="18052F8C" w14:textId="77777777" w:rsidR="00C00A91" w:rsidRPr="00EB665E" w:rsidRDefault="00C00A91" w:rsidP="00C00A91">
      <w:pPr>
        <w:pStyle w:val="NormalCenter12a"/>
      </w:pPr>
      <w:r w:rsidRPr="00EB665E">
        <w:t>°</w:t>
      </w:r>
      <w:r w:rsidRPr="00EB665E">
        <w:tab/>
        <w:t>°</w:t>
      </w:r>
    </w:p>
    <w:p w14:paraId="19FDC35C" w14:textId="26F1C4E6" w:rsidR="00EB665E" w:rsidRPr="00EB665E" w:rsidRDefault="00C00A91" w:rsidP="00EB665E">
      <w:pPr>
        <w:pStyle w:val="NormalHanging12a"/>
      </w:pPr>
      <w:r w:rsidRPr="00EB665E">
        <w:t>93.</w:t>
      </w:r>
      <w:r w:rsidRPr="00EB665E">
        <w:tab/>
        <w:t>zobowiązuje swoją przewodniczącą do przekazania niniejszej rezolucji Radzie i Komisji.</w:t>
      </w:r>
    </w:p>
    <w:p w14:paraId="0B672DB4" w14:textId="0882DAAE" w:rsidR="00E365E1" w:rsidRPr="00EB665E" w:rsidRDefault="00E365E1" w:rsidP="00EB7088"/>
    <w:sectPr w:rsidR="00E365E1" w:rsidRPr="00EB665E" w:rsidSect="00EB66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E2ED3" w14:textId="77777777" w:rsidR="00EB7088" w:rsidRPr="00EB665E" w:rsidRDefault="00EB7088">
      <w:r w:rsidRPr="00EB665E">
        <w:separator/>
      </w:r>
    </w:p>
  </w:endnote>
  <w:endnote w:type="continuationSeparator" w:id="0">
    <w:p w14:paraId="6D5FA9C2" w14:textId="77777777" w:rsidR="00EB7088" w:rsidRPr="00EB665E" w:rsidRDefault="00EB7088">
      <w:r w:rsidRPr="00EB66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4EC83" w14:textId="77777777" w:rsidR="00064002" w:rsidRPr="00EB665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5592F" w14:textId="77777777" w:rsidR="00064002" w:rsidRPr="00EB665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703B5" w14:textId="77777777" w:rsidR="00064002" w:rsidRPr="00EB665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DDE60" w14:textId="77777777" w:rsidR="00EB7088" w:rsidRPr="00EB665E" w:rsidRDefault="00EB7088">
      <w:r w:rsidRPr="00EB665E">
        <w:separator/>
      </w:r>
    </w:p>
  </w:footnote>
  <w:footnote w:type="continuationSeparator" w:id="0">
    <w:p w14:paraId="40349899" w14:textId="77777777" w:rsidR="00EB7088" w:rsidRPr="00EB665E" w:rsidRDefault="00EB7088">
      <w:r w:rsidRPr="00EB665E">
        <w:continuationSeparator/>
      </w:r>
    </w:p>
  </w:footnote>
  <w:footnote w:id="1">
    <w:p w14:paraId="24650272" w14:textId="43DCE243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Dz.U. C 395 z </w:t>
      </w:r>
      <w:proofErr w:type="gramStart"/>
      <w:r w:rsidRPr="00EB665E">
        <w:rPr>
          <w:sz w:val="24"/>
          <w:lang w:val="pl-PL"/>
        </w:rPr>
        <w:t>29.9.2021</w:t>
      </w:r>
      <w:proofErr w:type="gramEnd"/>
      <w:r w:rsidRPr="00EB665E">
        <w:rPr>
          <w:sz w:val="24"/>
          <w:lang w:val="pl-PL"/>
        </w:rPr>
        <w:t>, s. 89.</w:t>
      </w:r>
    </w:p>
  </w:footnote>
  <w:footnote w:id="2">
    <w:p w14:paraId="521BA7C1" w14:textId="5327A980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Dz.U. C 265 z </w:t>
      </w:r>
      <w:proofErr w:type="gramStart"/>
      <w:r w:rsidRPr="00EB665E">
        <w:rPr>
          <w:sz w:val="24"/>
          <w:lang w:val="pl-PL"/>
        </w:rPr>
        <w:t>11.8.2017</w:t>
      </w:r>
      <w:proofErr w:type="gramEnd"/>
      <w:r w:rsidRPr="00EB665E">
        <w:rPr>
          <w:sz w:val="24"/>
          <w:lang w:val="pl-PL"/>
        </w:rPr>
        <w:t>, s. 76.</w:t>
      </w:r>
    </w:p>
  </w:footnote>
  <w:footnote w:id="3">
    <w:p w14:paraId="09FF76E0" w14:textId="6195E01A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Sprawozdanie </w:t>
      </w:r>
      <w:proofErr w:type="spellStart"/>
      <w:r w:rsidRPr="00EB665E">
        <w:rPr>
          <w:sz w:val="24"/>
          <w:lang w:val="pl-PL"/>
        </w:rPr>
        <w:t>Draghiego</w:t>
      </w:r>
      <w:proofErr w:type="spellEnd"/>
      <w:r w:rsidRPr="00EB665E">
        <w:rPr>
          <w:sz w:val="24"/>
          <w:lang w:val="pl-PL"/>
        </w:rPr>
        <w:t>.</w:t>
      </w:r>
    </w:p>
  </w:footnote>
  <w:footnote w:id="4">
    <w:p w14:paraId="28802819" w14:textId="52E735EE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Sprawozdanie </w:t>
      </w:r>
      <w:proofErr w:type="spellStart"/>
      <w:r w:rsidRPr="00EB665E">
        <w:rPr>
          <w:sz w:val="24"/>
          <w:lang w:val="pl-PL"/>
        </w:rPr>
        <w:t>Draghiego</w:t>
      </w:r>
      <w:proofErr w:type="spellEnd"/>
      <w:r w:rsidRPr="00EB665E">
        <w:rPr>
          <w:sz w:val="24"/>
          <w:lang w:val="pl-PL"/>
        </w:rPr>
        <w:t>.</w:t>
      </w:r>
    </w:p>
  </w:footnote>
  <w:footnote w:id="5">
    <w:p w14:paraId="578F0DD0" w14:textId="05C5D7F5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Sprawozdanie </w:t>
      </w:r>
      <w:proofErr w:type="spellStart"/>
      <w:r w:rsidRPr="00EB665E">
        <w:rPr>
          <w:sz w:val="24"/>
          <w:lang w:val="pl-PL"/>
        </w:rPr>
        <w:t>Draghiego</w:t>
      </w:r>
      <w:proofErr w:type="spellEnd"/>
      <w:r w:rsidRPr="00EB665E">
        <w:rPr>
          <w:sz w:val="24"/>
          <w:lang w:val="pl-PL"/>
        </w:rPr>
        <w:t>.</w:t>
      </w:r>
    </w:p>
  </w:footnote>
  <w:footnote w:id="6">
    <w:p w14:paraId="2611D063" w14:textId="51BA5E8C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Amerykańskie Biuro Analiz Ekonomicznych, „Personal </w:t>
      </w:r>
      <w:proofErr w:type="spellStart"/>
      <w:r w:rsidRPr="00EB665E">
        <w:rPr>
          <w:sz w:val="24"/>
          <w:lang w:val="pl-PL"/>
        </w:rPr>
        <w:t>Income</w:t>
      </w:r>
      <w:proofErr w:type="spellEnd"/>
      <w:r w:rsidRPr="00EB665E">
        <w:rPr>
          <w:sz w:val="24"/>
          <w:lang w:val="pl-PL"/>
        </w:rPr>
        <w:t xml:space="preserve"> and </w:t>
      </w:r>
      <w:proofErr w:type="spellStart"/>
      <w:r w:rsidRPr="00EB665E">
        <w:rPr>
          <w:sz w:val="24"/>
          <w:lang w:val="pl-PL"/>
        </w:rPr>
        <w:t>Its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Disposition</w:t>
      </w:r>
      <w:proofErr w:type="spellEnd"/>
      <w:r w:rsidRPr="00EB665E">
        <w:rPr>
          <w:sz w:val="24"/>
          <w:lang w:val="pl-PL"/>
        </w:rPr>
        <w:t xml:space="preserve">, </w:t>
      </w:r>
      <w:proofErr w:type="spellStart"/>
      <w:r w:rsidRPr="00EB665E">
        <w:rPr>
          <w:sz w:val="24"/>
          <w:lang w:val="pl-PL"/>
        </w:rPr>
        <w:t>Monthly</w:t>
      </w:r>
      <w:proofErr w:type="spellEnd"/>
      <w:r w:rsidRPr="00EB665E">
        <w:rPr>
          <w:sz w:val="24"/>
          <w:lang w:val="pl-PL"/>
        </w:rPr>
        <w:t>” [Dochód osobisty i jego rozdysponowanie, miesięcznie], 2025 r.</w:t>
      </w:r>
    </w:p>
  </w:footnote>
  <w:footnote w:id="7">
    <w:p w14:paraId="1474280E" w14:textId="6052FA52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="006172D5">
        <w:fldChar w:fldCharType="begin"/>
      </w:r>
      <w:r w:rsidR="006172D5" w:rsidRPr="006172D5">
        <w:rPr>
          <w:lang w:val="pl-PL"/>
        </w:rPr>
        <w:instrText>HYPERLINK "https:\\ec.europa.eu\\eurostat\\databrowser\\view\\NASA_10_F_BS__custom_13650774\\default\\table?lang=en."</w:instrText>
      </w:r>
      <w:r w:rsidR="006172D5">
        <w:fldChar w:fldCharType="separate"/>
      </w:r>
      <w:r w:rsidRPr="00EB665E">
        <w:rPr>
          <w:rStyle w:val="Hyperlink"/>
          <w:sz w:val="24"/>
          <w:lang w:val="pl-PL"/>
        </w:rPr>
        <w:t>Eurostat, Przepływy i stany finansowe, 2023 https://ec.europa.eu/eurostat/databrowser/view/NASA_10_F_BS__custom_13650774/default/table?lang=en.</w:t>
      </w:r>
      <w:r w:rsidR="006172D5">
        <w:rPr>
          <w:rStyle w:val="Hyperlink"/>
          <w:sz w:val="24"/>
          <w:lang w:val="pl-PL"/>
        </w:rPr>
        <w:fldChar w:fldCharType="end"/>
      </w:r>
    </w:p>
  </w:footnote>
  <w:footnote w:id="8">
    <w:p w14:paraId="47315C81" w14:textId="1830F32A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Europejski Bank Centralny, „</w:t>
      </w:r>
      <w:proofErr w:type="spellStart"/>
      <w:r w:rsidRPr="00EB665E">
        <w:rPr>
          <w:sz w:val="24"/>
          <w:lang w:val="pl-PL"/>
        </w:rPr>
        <w:t>Follow</w:t>
      </w:r>
      <w:proofErr w:type="spellEnd"/>
      <w:r w:rsidRPr="00EB665E">
        <w:rPr>
          <w:sz w:val="24"/>
          <w:lang w:val="pl-PL"/>
        </w:rPr>
        <w:t xml:space="preserve"> the </w:t>
      </w:r>
      <w:proofErr w:type="spellStart"/>
      <w:r w:rsidRPr="00EB665E">
        <w:rPr>
          <w:sz w:val="24"/>
          <w:lang w:val="pl-PL"/>
        </w:rPr>
        <w:t>money</w:t>
      </w:r>
      <w:proofErr w:type="spellEnd"/>
      <w:r w:rsidRPr="00EB665E">
        <w:rPr>
          <w:sz w:val="24"/>
          <w:lang w:val="pl-PL"/>
        </w:rPr>
        <w:t xml:space="preserve">: </w:t>
      </w:r>
      <w:proofErr w:type="spellStart"/>
      <w:r w:rsidRPr="00EB665E">
        <w:rPr>
          <w:sz w:val="24"/>
          <w:lang w:val="pl-PL"/>
        </w:rPr>
        <w:t>channelling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savings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into</w:t>
      </w:r>
      <w:proofErr w:type="spellEnd"/>
      <w:r w:rsidRPr="00EB665E">
        <w:rPr>
          <w:sz w:val="24"/>
          <w:lang w:val="pl-PL"/>
        </w:rPr>
        <w:t xml:space="preserve"> investment and </w:t>
      </w:r>
      <w:proofErr w:type="spellStart"/>
      <w:r w:rsidRPr="00EB665E">
        <w:rPr>
          <w:sz w:val="24"/>
          <w:lang w:val="pl-PL"/>
        </w:rPr>
        <w:t>innovation</w:t>
      </w:r>
      <w:proofErr w:type="spellEnd"/>
      <w:r w:rsidRPr="00EB665E">
        <w:rPr>
          <w:sz w:val="24"/>
          <w:lang w:val="pl-PL"/>
        </w:rPr>
        <w:t xml:space="preserve"> in Europe” [Podążanie śladem pieniędzy: ukierunkowanie oszczędności na inwestycje i innowacje w Europie], przemówienie Christine </w:t>
      </w:r>
      <w:proofErr w:type="spellStart"/>
      <w:r w:rsidRPr="00EB665E">
        <w:rPr>
          <w:sz w:val="24"/>
          <w:lang w:val="pl-PL"/>
        </w:rPr>
        <w:t>Lagarde</w:t>
      </w:r>
      <w:proofErr w:type="spellEnd"/>
      <w:r w:rsidRPr="00EB665E">
        <w:rPr>
          <w:sz w:val="24"/>
          <w:lang w:val="pl-PL"/>
        </w:rPr>
        <w:t>, prezes Europejskiego Banku Centralnego, 22 listopada 2024 r.</w:t>
      </w:r>
    </w:p>
  </w:footnote>
  <w:footnote w:id="9">
    <w:p w14:paraId="4BB69C47" w14:textId="3187CFBF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Raport E. </w:t>
      </w:r>
      <w:proofErr w:type="spellStart"/>
      <w:r w:rsidRPr="00EB665E">
        <w:rPr>
          <w:sz w:val="24"/>
          <w:lang w:val="pl-PL"/>
        </w:rPr>
        <w:t>Letty</w:t>
      </w:r>
      <w:proofErr w:type="spellEnd"/>
    </w:p>
  </w:footnote>
  <w:footnote w:id="10">
    <w:p w14:paraId="37961A59" w14:textId="7505BF09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Międzynarodowy Fundusz Walutowy, „</w:t>
      </w:r>
      <w:proofErr w:type="spellStart"/>
      <w:r w:rsidRPr="00EB665E">
        <w:rPr>
          <w:sz w:val="24"/>
          <w:lang w:val="pl-PL"/>
        </w:rPr>
        <w:t>Europe’s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Declining</w:t>
      </w:r>
      <w:proofErr w:type="spellEnd"/>
      <w:r w:rsidRPr="00EB665E">
        <w:rPr>
          <w:sz w:val="24"/>
          <w:lang w:val="pl-PL"/>
        </w:rPr>
        <w:t xml:space="preserve"> Productivity </w:t>
      </w:r>
      <w:proofErr w:type="spellStart"/>
      <w:r w:rsidRPr="00EB665E">
        <w:rPr>
          <w:sz w:val="24"/>
          <w:lang w:val="pl-PL"/>
        </w:rPr>
        <w:t>Growth</w:t>
      </w:r>
      <w:proofErr w:type="spellEnd"/>
      <w:r w:rsidRPr="00EB665E">
        <w:rPr>
          <w:sz w:val="24"/>
          <w:lang w:val="pl-PL"/>
        </w:rPr>
        <w:t xml:space="preserve">: </w:t>
      </w:r>
      <w:proofErr w:type="spellStart"/>
      <w:r w:rsidRPr="00EB665E">
        <w:rPr>
          <w:sz w:val="24"/>
          <w:lang w:val="pl-PL"/>
        </w:rPr>
        <w:t>Diagnoses</w:t>
      </w:r>
      <w:proofErr w:type="spellEnd"/>
      <w:r w:rsidRPr="00EB665E">
        <w:rPr>
          <w:sz w:val="24"/>
          <w:lang w:val="pl-PL"/>
        </w:rPr>
        <w:t xml:space="preserve"> and </w:t>
      </w:r>
      <w:proofErr w:type="spellStart"/>
      <w:r w:rsidRPr="00EB665E">
        <w:rPr>
          <w:sz w:val="24"/>
          <w:lang w:val="pl-PL"/>
        </w:rPr>
        <w:t>Remedies</w:t>
      </w:r>
      <w:proofErr w:type="spellEnd"/>
      <w:r w:rsidRPr="00EB665E">
        <w:rPr>
          <w:sz w:val="24"/>
          <w:lang w:val="pl-PL"/>
        </w:rPr>
        <w:t xml:space="preserve">” [Malejący wzrost produktywności Europy: diagnoza i środki zaradcze], </w:t>
      </w:r>
      <w:proofErr w:type="spellStart"/>
      <w:r w:rsidRPr="00EB665E">
        <w:rPr>
          <w:i/>
          <w:sz w:val="24"/>
          <w:lang w:val="pl-PL"/>
        </w:rPr>
        <w:t>Regional</w:t>
      </w:r>
      <w:proofErr w:type="spellEnd"/>
      <w:r w:rsidRPr="00EB665E">
        <w:rPr>
          <w:i/>
          <w:sz w:val="24"/>
          <w:lang w:val="pl-PL"/>
        </w:rPr>
        <w:t xml:space="preserve"> </w:t>
      </w:r>
      <w:proofErr w:type="spellStart"/>
      <w:r w:rsidRPr="00EB665E">
        <w:rPr>
          <w:i/>
          <w:sz w:val="24"/>
          <w:lang w:val="pl-PL"/>
        </w:rPr>
        <w:t>Economic</w:t>
      </w:r>
      <w:proofErr w:type="spellEnd"/>
      <w:r w:rsidRPr="00EB665E">
        <w:rPr>
          <w:i/>
          <w:sz w:val="24"/>
          <w:lang w:val="pl-PL"/>
        </w:rPr>
        <w:t xml:space="preserve"> Outlook Notes - Europe</w:t>
      </w:r>
      <w:r w:rsidRPr="00EB665E">
        <w:rPr>
          <w:sz w:val="24"/>
          <w:lang w:val="pl-PL"/>
        </w:rPr>
        <w:t xml:space="preserve">, listopad 2024 r., </w:t>
      </w:r>
      <w:r w:rsidR="006172D5">
        <w:fldChar w:fldCharType="begin"/>
      </w:r>
      <w:r w:rsidR="006172D5" w:rsidRPr="006172D5">
        <w:rPr>
          <w:lang w:val="pl-PL"/>
        </w:rPr>
        <w:instrText>HYPERLINK "https://www.elibrary.imf.org/supplemental/book/9798400287312/9798400287312.xml/REOEUREA2024002-S001_SOURCE_PDF.pdf"</w:instrText>
      </w:r>
      <w:r w:rsidR="006172D5">
        <w:fldChar w:fldCharType="separate"/>
      </w:r>
      <w:r w:rsidR="00686F62" w:rsidRPr="00C76067">
        <w:rPr>
          <w:rStyle w:val="Hyperlink"/>
          <w:sz w:val="24"/>
          <w:lang w:val="pl-PL"/>
        </w:rPr>
        <w:t>https://www.elibrary.imf.org/supplemental/book/9798400287312/9798400287312.xml/REOEUREA2024002-S001_SOURCE_PDF.pdf</w:t>
      </w:r>
      <w:r w:rsidR="006172D5">
        <w:rPr>
          <w:rStyle w:val="Hyperlink"/>
          <w:sz w:val="24"/>
          <w:lang w:val="pl-PL"/>
        </w:rPr>
        <w:fldChar w:fldCharType="end"/>
      </w:r>
      <w:r w:rsidRPr="00EB665E">
        <w:rPr>
          <w:sz w:val="24"/>
          <w:lang w:val="pl-PL"/>
        </w:rPr>
        <w:t>.</w:t>
      </w:r>
    </w:p>
  </w:footnote>
  <w:footnote w:id="11">
    <w:p w14:paraId="147D97E9" w14:textId="4EB6C85D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komunikat Komisji z </w:t>
      </w:r>
      <w:r w:rsidR="00686F62" w:rsidRPr="00633F18">
        <w:rPr>
          <w:lang w:val="pl-PL"/>
        </w:rPr>
        <w:t xml:space="preserve">dnia </w:t>
      </w:r>
      <w:r w:rsidRPr="00EB665E">
        <w:rPr>
          <w:sz w:val="24"/>
          <w:lang w:val="pl-PL"/>
        </w:rPr>
        <w:t>29 stycznia 2025 r. pt. „Roczne sprawozdanie dotyczące jednolitego rynku i konkurencyjności” (</w:t>
      </w:r>
      <w:proofErr w:type="gramStart"/>
      <w:r w:rsidRPr="00EB665E">
        <w:rPr>
          <w:sz w:val="24"/>
          <w:lang w:val="pl-PL"/>
        </w:rPr>
        <w:t>COM(</w:t>
      </w:r>
      <w:proofErr w:type="gramEnd"/>
      <w:r w:rsidRPr="00EB665E">
        <w:rPr>
          <w:sz w:val="24"/>
          <w:lang w:val="pl-PL"/>
        </w:rPr>
        <w:t>2025)0026).</w:t>
      </w:r>
    </w:p>
  </w:footnote>
  <w:footnote w:id="12">
    <w:p w14:paraId="31397560" w14:textId="258DDC5E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EBC, seria „</w:t>
      </w:r>
      <w:proofErr w:type="spellStart"/>
      <w:r w:rsidRPr="00EB665E">
        <w:rPr>
          <w:sz w:val="24"/>
          <w:lang w:val="pl-PL"/>
        </w:rPr>
        <w:t>Occasional</w:t>
      </w:r>
      <w:proofErr w:type="spellEnd"/>
      <w:r w:rsidRPr="00EB665E">
        <w:rPr>
          <w:sz w:val="24"/>
          <w:lang w:val="pl-PL"/>
        </w:rPr>
        <w:t xml:space="preserve"> Paper” nr 369.</w:t>
      </w:r>
    </w:p>
  </w:footnote>
  <w:footnote w:id="13">
    <w:p w14:paraId="0458B267" w14:textId="4A94A083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Sprawozdanie </w:t>
      </w:r>
      <w:proofErr w:type="spellStart"/>
      <w:r w:rsidRPr="00EB665E">
        <w:rPr>
          <w:sz w:val="24"/>
          <w:lang w:val="pl-PL"/>
        </w:rPr>
        <w:t>Letty</w:t>
      </w:r>
      <w:proofErr w:type="spellEnd"/>
      <w:r w:rsidRPr="00EB665E">
        <w:rPr>
          <w:sz w:val="24"/>
          <w:lang w:val="pl-PL"/>
        </w:rPr>
        <w:t>, s. 91 i 111.</w:t>
      </w:r>
    </w:p>
  </w:footnote>
  <w:footnote w:id="14">
    <w:p w14:paraId="59C0DAAE" w14:textId="6FBE8AFC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Kredyty bankowe stanowiły 50,43 % finansowania przedsiębiorstw niefinansowych (ESTAT, EBC, obliczenia DG FISMA 2023); zob. zaproszenie Komisji do zgłaszania uwag w związku z komunikatem w sprawie europejskiej unii oszczędności i inwestycji.</w:t>
      </w:r>
    </w:p>
  </w:footnote>
  <w:footnote w:id="15">
    <w:p w14:paraId="56922711" w14:textId="3F23C0B9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Dyrektor ds. finansowych Europejskiego Mechanizmu Stabilności, „Developing </w:t>
      </w:r>
      <w:proofErr w:type="spellStart"/>
      <w:r w:rsidRPr="00EB665E">
        <w:rPr>
          <w:sz w:val="24"/>
          <w:lang w:val="pl-PL"/>
        </w:rPr>
        <w:t>European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safe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assets</w:t>
      </w:r>
      <w:proofErr w:type="spellEnd"/>
      <w:r w:rsidRPr="00EB665E">
        <w:rPr>
          <w:sz w:val="24"/>
          <w:lang w:val="pl-PL"/>
        </w:rPr>
        <w:t xml:space="preserve">” [Rozwój europejskich bezpiecznych aktywów], </w:t>
      </w:r>
      <w:proofErr w:type="spellStart"/>
      <w:r w:rsidRPr="00EB665E">
        <w:rPr>
          <w:rStyle w:val="Italic"/>
          <w:sz w:val="24"/>
          <w:lang w:val="pl-PL"/>
        </w:rPr>
        <w:t>Intereconomics</w:t>
      </w:r>
      <w:proofErr w:type="spellEnd"/>
      <w:r w:rsidRPr="00EB665E">
        <w:rPr>
          <w:sz w:val="24"/>
          <w:lang w:val="pl-PL"/>
        </w:rPr>
        <w:t xml:space="preserve">, grudzień 2023 r., </w:t>
      </w:r>
      <w:r w:rsidR="006172D5">
        <w:fldChar w:fldCharType="begin"/>
      </w:r>
      <w:r w:rsidR="006172D5" w:rsidRPr="006172D5">
        <w:rPr>
          <w:lang w:val="pl-PL"/>
        </w:rPr>
        <w:instrText>HYPERLINK "https://www.esm.europa.eu/articles-and-op-eds/developing-european-safe-assets-article-intereconomics"</w:instrText>
      </w:r>
      <w:r w:rsidR="006172D5">
        <w:fldChar w:fldCharType="separate"/>
      </w:r>
      <w:r w:rsidR="00686F62" w:rsidRPr="00C76067">
        <w:rPr>
          <w:rStyle w:val="Hyperlink"/>
          <w:sz w:val="24"/>
          <w:lang w:val="pl-PL"/>
        </w:rPr>
        <w:t>https://www.esm.europa.eu/articles-and-op-eds/developing-european-safe-assets-article-intereconomics</w:t>
      </w:r>
      <w:r w:rsidR="006172D5">
        <w:rPr>
          <w:rStyle w:val="Hyperlink"/>
          <w:sz w:val="24"/>
          <w:lang w:val="pl-PL"/>
        </w:rPr>
        <w:fldChar w:fldCharType="end"/>
      </w:r>
      <w:r w:rsidRPr="00EB665E">
        <w:rPr>
          <w:sz w:val="24"/>
          <w:lang w:val="pl-PL"/>
        </w:rPr>
        <w:t>.</w:t>
      </w:r>
    </w:p>
  </w:footnote>
  <w:footnote w:id="16">
    <w:p w14:paraId="3FF1998F" w14:textId="33D4E309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MFW, „World </w:t>
      </w:r>
      <w:proofErr w:type="spellStart"/>
      <w:r w:rsidRPr="00EB665E">
        <w:rPr>
          <w:sz w:val="24"/>
          <w:lang w:val="pl-PL"/>
        </w:rPr>
        <w:t>Economic</w:t>
      </w:r>
      <w:proofErr w:type="spellEnd"/>
      <w:r w:rsidRPr="00EB665E">
        <w:rPr>
          <w:sz w:val="24"/>
          <w:lang w:val="pl-PL"/>
        </w:rPr>
        <w:t xml:space="preserve"> Outlook” [Światowa prognoza gospodarcza], kwiecień 2025</w:t>
      </w:r>
      <w:r w:rsidR="00686F62">
        <w:rPr>
          <w:sz w:val="24"/>
          <w:lang w:val="pl-PL"/>
        </w:rPr>
        <w:t> </w:t>
      </w:r>
      <w:r w:rsidRPr="00EB665E">
        <w:rPr>
          <w:sz w:val="24"/>
          <w:lang w:val="pl-PL"/>
        </w:rPr>
        <w:t>r.</w:t>
      </w:r>
    </w:p>
  </w:footnote>
  <w:footnote w:id="17">
    <w:p w14:paraId="329CC962" w14:textId="61EBE3E7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Centrum Studiów nad Polityką Europejską, „</w:t>
      </w:r>
      <w:proofErr w:type="spellStart"/>
      <w:r w:rsidRPr="00EB665E">
        <w:rPr>
          <w:sz w:val="24"/>
          <w:lang w:val="pl-PL"/>
        </w:rPr>
        <w:t>It’s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finally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time</w:t>
      </w:r>
      <w:proofErr w:type="spellEnd"/>
      <w:r w:rsidRPr="00EB665E">
        <w:rPr>
          <w:sz w:val="24"/>
          <w:lang w:val="pl-PL"/>
        </w:rPr>
        <w:t xml:space="preserve"> to </w:t>
      </w:r>
      <w:proofErr w:type="spellStart"/>
      <w:r w:rsidRPr="00EB665E">
        <w:rPr>
          <w:sz w:val="24"/>
          <w:lang w:val="pl-PL"/>
        </w:rPr>
        <w:t>leverage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pension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funds</w:t>
      </w:r>
      <w:proofErr w:type="spellEnd"/>
      <w:r w:rsidRPr="00EB665E">
        <w:rPr>
          <w:sz w:val="24"/>
          <w:lang w:val="pl-PL"/>
        </w:rPr>
        <w:t xml:space="preserve"> to </w:t>
      </w:r>
      <w:proofErr w:type="spellStart"/>
      <w:r w:rsidRPr="00EB665E">
        <w:rPr>
          <w:sz w:val="24"/>
          <w:lang w:val="pl-PL"/>
        </w:rPr>
        <w:t>foster</w:t>
      </w:r>
      <w:proofErr w:type="spellEnd"/>
      <w:r w:rsidRPr="00EB665E">
        <w:rPr>
          <w:sz w:val="24"/>
          <w:lang w:val="pl-PL"/>
        </w:rPr>
        <w:t xml:space="preserve"> EU </w:t>
      </w:r>
      <w:proofErr w:type="spellStart"/>
      <w:r w:rsidRPr="00EB665E">
        <w:rPr>
          <w:sz w:val="24"/>
          <w:lang w:val="pl-PL"/>
        </w:rPr>
        <w:t>productivity</w:t>
      </w:r>
      <w:proofErr w:type="spellEnd"/>
      <w:r w:rsidRPr="00EB665E">
        <w:rPr>
          <w:sz w:val="24"/>
          <w:lang w:val="pl-PL"/>
        </w:rPr>
        <w:t xml:space="preserve"> and benefit </w:t>
      </w:r>
      <w:proofErr w:type="spellStart"/>
      <w:r w:rsidRPr="00EB665E">
        <w:rPr>
          <w:sz w:val="24"/>
          <w:lang w:val="pl-PL"/>
        </w:rPr>
        <w:t>pensioners</w:t>
      </w:r>
      <w:proofErr w:type="spellEnd"/>
      <w:r w:rsidRPr="00EB665E">
        <w:rPr>
          <w:sz w:val="24"/>
          <w:lang w:val="pl-PL"/>
        </w:rPr>
        <w:t xml:space="preserve">” [Nadszedł czas, by wykorzystać fundusze emerytalne do zwiększenia produktywności w UE, z korzyścią dla emerytów], 10 lutego 2025 r., </w:t>
      </w:r>
      <w:r w:rsidR="006172D5">
        <w:fldChar w:fldCharType="begin"/>
      </w:r>
      <w:r w:rsidR="006172D5" w:rsidRPr="006172D5">
        <w:rPr>
          <w:lang w:val="pl-PL"/>
        </w:rPr>
        <w:instrText>HYPERLINK "https://www.ceps.eu/its-finally-time-to-leverage-pension-funds-to-foster-eu-productivity-and-benefit-pensioners/"</w:instrText>
      </w:r>
      <w:r w:rsidR="006172D5">
        <w:fldChar w:fldCharType="separate"/>
      </w:r>
      <w:r w:rsidRPr="00EB665E">
        <w:rPr>
          <w:rStyle w:val="Hyperlink"/>
          <w:sz w:val="24"/>
          <w:lang w:val="pl-PL"/>
        </w:rPr>
        <w:t>https://www.ceps.eu/its-finally-time-to-leverage-pension-funds-to-foster-eu-productivity-and-benefit-pensioners/</w:t>
      </w:r>
      <w:r w:rsidR="006172D5">
        <w:rPr>
          <w:rStyle w:val="Hyperlink"/>
          <w:sz w:val="24"/>
          <w:lang w:val="pl-PL"/>
        </w:rPr>
        <w:fldChar w:fldCharType="end"/>
      </w:r>
      <w:r w:rsidRPr="00EB665E">
        <w:rPr>
          <w:sz w:val="24"/>
          <w:lang w:val="pl-PL"/>
        </w:rPr>
        <w:t>.</w:t>
      </w:r>
    </w:p>
  </w:footnote>
  <w:footnote w:id="18">
    <w:p w14:paraId="43E6848D" w14:textId="7195A3D4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Sprawozdanie </w:t>
      </w:r>
      <w:proofErr w:type="spellStart"/>
      <w:r w:rsidRPr="00EB665E">
        <w:rPr>
          <w:sz w:val="24"/>
          <w:lang w:val="pl-PL"/>
        </w:rPr>
        <w:t>Noyera</w:t>
      </w:r>
      <w:proofErr w:type="spellEnd"/>
      <w:r w:rsidRPr="00EB665E">
        <w:rPr>
          <w:sz w:val="24"/>
          <w:lang w:val="pl-PL"/>
        </w:rPr>
        <w:t>, s. 62.</w:t>
      </w:r>
    </w:p>
  </w:footnote>
  <w:footnote w:id="19">
    <w:p w14:paraId="7D77E7CA" w14:textId="45048BCB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Rozporządzenie Europejskiego Banku Centralnego (UE) nr 795/2014 z dnia 3 lipca 2014 r. w sprawie wymogów nadzorczych w odniesieniu do systemów płatności o znaczeniu systemowym (Dz.U. L 217 z </w:t>
      </w:r>
      <w:proofErr w:type="gramStart"/>
      <w:r w:rsidRPr="00EB665E">
        <w:rPr>
          <w:sz w:val="24"/>
          <w:lang w:val="pl-PL"/>
        </w:rPr>
        <w:t>23.7.2014</w:t>
      </w:r>
      <w:proofErr w:type="gramEnd"/>
      <w:r w:rsidRPr="00EB665E">
        <w:rPr>
          <w:sz w:val="24"/>
          <w:lang w:val="pl-PL"/>
        </w:rPr>
        <w:t xml:space="preserve">, s. 16, ELI: </w:t>
      </w:r>
      <w:r w:rsidR="006172D5">
        <w:fldChar w:fldCharType="begin"/>
      </w:r>
      <w:r w:rsidR="006172D5" w:rsidRPr="006172D5">
        <w:rPr>
          <w:lang w:val="pl-PL"/>
        </w:rPr>
        <w:instrText>HYPERLINK "http://data.europa.eu/eli/reg/2014/795/oj" \o "Gives access to this document through its ELI URI."</w:instrText>
      </w:r>
      <w:r w:rsidR="006172D5">
        <w:fldChar w:fldCharType="separate"/>
      </w:r>
      <w:r w:rsidRPr="00EB665E">
        <w:rPr>
          <w:sz w:val="24"/>
          <w:u w:val="single"/>
          <w:lang w:val="pl-PL"/>
        </w:rPr>
        <w:t>http://data.europa.eu/eli/reg/2014/795/oj</w:t>
      </w:r>
      <w:r w:rsidR="006172D5">
        <w:rPr>
          <w:sz w:val="24"/>
          <w:u w:val="single"/>
          <w:lang w:val="pl-PL"/>
        </w:rPr>
        <w:fldChar w:fldCharType="end"/>
      </w:r>
      <w:r w:rsidRPr="00EB665E">
        <w:rPr>
          <w:sz w:val="24"/>
          <w:lang w:val="pl-PL"/>
        </w:rPr>
        <w:t xml:space="preserve">). </w:t>
      </w:r>
    </w:p>
  </w:footnote>
  <w:footnote w:id="20">
    <w:p w14:paraId="7C043707" w14:textId="69A1A533" w:rsidR="00C00A91" w:rsidRPr="00EB665E" w:rsidRDefault="00C00A91" w:rsidP="00EB665E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 w:rsidRPr="00EB665E">
        <w:rPr>
          <w:rStyle w:val="FootnoteReference"/>
        </w:rPr>
        <w:footnoteRef/>
      </w:r>
      <w:r w:rsidR="00EB665E" w:rsidRPr="00EB665E">
        <w:rPr>
          <w:snapToGrid w:val="0"/>
        </w:rPr>
        <w:t xml:space="preserve"> </w:t>
      </w:r>
      <w:r w:rsidR="00EB665E" w:rsidRPr="00EB665E">
        <w:rPr>
          <w:snapToGrid w:val="0"/>
        </w:rPr>
        <w:tab/>
      </w:r>
      <w:r w:rsidRPr="00EB665E">
        <w:rPr>
          <w:snapToGrid w:val="0"/>
        </w:rPr>
        <w:t>Rozporządzenie Parlamentu Europejskiego i Rady (UE) nr 600/2014 z dnia 15 maja 2014 r. w sprawie rynków instrumentów finansowych oraz zmieniające rozporządzenie (UE) nr 648/2012 (Dz.U. L 173 z </w:t>
      </w:r>
      <w:proofErr w:type="gramStart"/>
      <w:r w:rsidRPr="00EB665E">
        <w:rPr>
          <w:snapToGrid w:val="0"/>
        </w:rPr>
        <w:t>12.6.2014</w:t>
      </w:r>
      <w:proofErr w:type="gramEnd"/>
      <w:r w:rsidRPr="00EB665E">
        <w:rPr>
          <w:snapToGrid w:val="0"/>
        </w:rPr>
        <w:t>, s. 84,</w:t>
      </w:r>
      <w:r w:rsidRPr="00EB665E">
        <w:t xml:space="preserve"> ELI:</w:t>
      </w:r>
      <w:r w:rsidRPr="00EB665E">
        <w:rPr>
          <w:snapToGrid w:val="0"/>
        </w:rPr>
        <w:t xml:space="preserve"> </w:t>
      </w:r>
      <w:hyperlink r:id="rId1" w:tooltip="Gives access to this document through its ELI URI." w:history="1">
        <w:r w:rsidRPr="00EB665E">
          <w:rPr>
            <w:u w:val="single"/>
          </w:rPr>
          <w:t>http://data.europa.eu/eli/reg/2014/600/oj</w:t>
        </w:r>
      </w:hyperlink>
      <w:r w:rsidRPr="00EB665E">
        <w:t>)</w:t>
      </w:r>
      <w:r w:rsidRPr="00EB665E">
        <w:rPr>
          <w:i/>
          <w:snapToGrid w:val="0"/>
        </w:rPr>
        <w:t>.</w:t>
      </w:r>
    </w:p>
  </w:footnote>
  <w:footnote w:id="21">
    <w:p w14:paraId="48BFF11E" w14:textId="620437DB" w:rsidR="00C00A91" w:rsidRPr="00EB665E" w:rsidRDefault="00C00A91" w:rsidP="00EB665E">
      <w:pPr>
        <w:pStyle w:val="title-bold"/>
        <w:shd w:val="clear" w:color="auto" w:fill="FFFFFF"/>
        <w:spacing w:before="0" w:beforeAutospacing="0" w:after="75" w:afterAutospacing="0"/>
        <w:ind w:left="567" w:hanging="567"/>
      </w:pPr>
      <w:r w:rsidRPr="00EB665E">
        <w:rPr>
          <w:rStyle w:val="FootnoteReference"/>
        </w:rPr>
        <w:footnoteRef/>
      </w:r>
      <w:r w:rsidR="00EB665E" w:rsidRPr="00EB665E">
        <w:rPr>
          <w:snapToGrid w:val="0"/>
        </w:rPr>
        <w:t xml:space="preserve"> </w:t>
      </w:r>
      <w:r w:rsidR="00EB665E" w:rsidRPr="00EB665E">
        <w:rPr>
          <w:snapToGrid w:val="0"/>
        </w:rPr>
        <w:tab/>
      </w:r>
      <w:r w:rsidRPr="00EB665E">
        <w:rPr>
          <w:snapToGrid w:val="0"/>
        </w:rPr>
        <w:t>Rozporządzenie Parlamentu Europejskiego i Rady (UE) nr 648/2012 z dnia 4 lipca 2012 r. w sprawie instrumentów pochodnych będących przedmiotem obrotu poza rynkiem regulowanym, kontrahentów centralnych i repozytoriów transakcji, Dz.U. L 201 z </w:t>
      </w:r>
      <w:proofErr w:type="gramStart"/>
      <w:r w:rsidRPr="00EB665E">
        <w:rPr>
          <w:snapToGrid w:val="0"/>
        </w:rPr>
        <w:t>27.7.2012</w:t>
      </w:r>
      <w:proofErr w:type="gramEnd"/>
      <w:r w:rsidRPr="00EB665E">
        <w:rPr>
          <w:snapToGrid w:val="0"/>
        </w:rPr>
        <w:t xml:space="preserve">, s. 1, ELI: </w:t>
      </w:r>
      <w:hyperlink r:id="rId2" w:tooltip="Gives access to this document through its ELI URI." w:history="1">
        <w:r w:rsidRPr="00EB665E">
          <w:rPr>
            <w:u w:val="single"/>
          </w:rPr>
          <w:t>http://data.europa.eu/eli/reg/2012/648/oj</w:t>
        </w:r>
      </w:hyperlink>
      <w:r w:rsidRPr="00EB665E">
        <w:rPr>
          <w:snapToGrid w:val="0"/>
        </w:rPr>
        <w:t>).</w:t>
      </w:r>
    </w:p>
  </w:footnote>
  <w:footnote w:id="22">
    <w:p w14:paraId="0691E332" w14:textId="5E415A3E" w:rsidR="00C00A91" w:rsidRPr="00EB665E" w:rsidRDefault="00C00A91" w:rsidP="00EB665E">
      <w:pPr>
        <w:pStyle w:val="FootnoteText"/>
        <w:ind w:left="567" w:hanging="567"/>
        <w:rPr>
          <w:i/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Rozporządzenie Parlamentu Europejskiego i Rady (UE) nr 909/2014 z dnia 23 lipca 2014 r. w sprawie usprawnienia rozrachunku papierów wartościowych w Unii Europejskiej i w sprawie centralnych depozytów papierów wartościowych, zmieniające dyrektywy 98/26/WE i 2014/65/UE oraz rozporządzenie (UE) nr 236/2012 (Dz.U. L 257 z </w:t>
      </w:r>
      <w:proofErr w:type="gramStart"/>
      <w:r w:rsidRPr="00EB665E">
        <w:rPr>
          <w:sz w:val="24"/>
          <w:lang w:val="pl-PL"/>
        </w:rPr>
        <w:t>28.8.2014</w:t>
      </w:r>
      <w:proofErr w:type="gramEnd"/>
      <w:r w:rsidRPr="00EB665E">
        <w:rPr>
          <w:sz w:val="24"/>
          <w:lang w:val="pl-PL"/>
        </w:rPr>
        <w:t xml:space="preserve">, s. 1, </w:t>
      </w:r>
      <w:r w:rsidRPr="00EB665E">
        <w:rPr>
          <w:sz w:val="24"/>
          <w:u w:val="single"/>
          <w:lang w:val="pl-PL"/>
        </w:rPr>
        <w:t>ELI: </w:t>
      </w:r>
      <w:r w:rsidR="006172D5">
        <w:fldChar w:fldCharType="begin"/>
      </w:r>
      <w:r w:rsidR="006172D5" w:rsidRPr="006172D5">
        <w:rPr>
          <w:lang w:val="pl-PL"/>
        </w:rPr>
        <w:instrText>HYPERLINK "http://data.europa.eu/eli/reg/2014/909/oj" \o "Gives access to this document through its ELI URI."</w:instrText>
      </w:r>
      <w:r w:rsidR="006172D5">
        <w:fldChar w:fldCharType="separate"/>
      </w:r>
      <w:r w:rsidRPr="00EB665E">
        <w:rPr>
          <w:sz w:val="24"/>
          <w:u w:val="single"/>
          <w:lang w:val="pl-PL"/>
        </w:rPr>
        <w:t>http://data.europa.eu/eli/reg/2014/909/oj</w:t>
      </w:r>
      <w:r w:rsidR="006172D5">
        <w:rPr>
          <w:sz w:val="24"/>
          <w:u w:val="single"/>
          <w:lang w:val="pl-PL"/>
        </w:rPr>
        <w:fldChar w:fldCharType="end"/>
      </w:r>
      <w:r w:rsidRPr="00EB665E">
        <w:rPr>
          <w:sz w:val="24"/>
          <w:lang w:val="pl-PL"/>
        </w:rPr>
        <w:t>).</w:t>
      </w:r>
    </w:p>
  </w:footnote>
  <w:footnote w:id="23">
    <w:p w14:paraId="25C599BB" w14:textId="2200424E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Rozporządzenie Parlamentu Europejskiego i Rady (UE) 2019/2088 z dnia 27 listopada 2019 r. w sprawie ujawniania informacji związanych ze zrównoważonym rozwojem w sektorze usług finansowych (Dz.U. L 317 z 9.12.2019, s. 1, ELI: </w:t>
      </w:r>
      <w:r w:rsidR="006172D5">
        <w:fldChar w:fldCharType="begin"/>
      </w:r>
      <w:r w:rsidR="006172D5" w:rsidRPr="006172D5">
        <w:rPr>
          <w:lang w:val="pl-PL"/>
        </w:rPr>
        <w:instrText>HYPERLINK "http://data.europa.eu/eli/reg/2019/2088/oj" \o "Gives access to this document through its ELI URI."</w:instrText>
      </w:r>
      <w:r w:rsidR="006172D5">
        <w:fldChar w:fldCharType="separate"/>
      </w:r>
      <w:r w:rsidRPr="00EB665E">
        <w:rPr>
          <w:sz w:val="24"/>
          <w:u w:val="single"/>
          <w:lang w:val="pl-PL"/>
        </w:rPr>
        <w:t>http://data.europa.eu/eli/reg/2019/2088/oj</w:t>
      </w:r>
      <w:r w:rsidR="006172D5">
        <w:rPr>
          <w:sz w:val="24"/>
          <w:u w:val="single"/>
          <w:lang w:val="pl-PL"/>
        </w:rPr>
        <w:fldChar w:fldCharType="end"/>
      </w:r>
      <w:r w:rsidRPr="00EB665E">
        <w:rPr>
          <w:sz w:val="24"/>
          <w:lang w:val="pl-PL"/>
        </w:rPr>
        <w:t>).</w:t>
      </w:r>
    </w:p>
  </w:footnote>
  <w:footnote w:id="24">
    <w:p w14:paraId="28A766FD" w14:textId="34AD2EF5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Wniosek Komisji z 12 września 2023 r. dotyczący dyrektywy Rady w sprawie działalności gospodarczej w Europie: ramy opodatkowania dochodu (BEFIT)(</w:t>
      </w:r>
      <w:proofErr w:type="gramStart"/>
      <w:r w:rsidRPr="00EB665E">
        <w:rPr>
          <w:sz w:val="24"/>
          <w:lang w:val="pl-PL"/>
        </w:rPr>
        <w:t>COM(</w:t>
      </w:r>
      <w:proofErr w:type="gramEnd"/>
      <w:r w:rsidRPr="00EB665E">
        <w:rPr>
          <w:sz w:val="24"/>
          <w:lang w:val="pl-PL"/>
        </w:rPr>
        <w:t>2023)0532), uzasadnienie, s. 8.</w:t>
      </w:r>
    </w:p>
  </w:footnote>
  <w:footnote w:id="25">
    <w:p w14:paraId="3926B966" w14:textId="5E83B4E7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>Francuskie Ministerstwo Gospodarki, Finansów oraz Suwerenności Przemysłowej i Cyfrowej, „</w:t>
      </w:r>
      <w:proofErr w:type="spellStart"/>
      <w:r w:rsidRPr="00EB665E">
        <w:rPr>
          <w:sz w:val="24"/>
          <w:lang w:val="pl-PL"/>
        </w:rPr>
        <w:t>Launch</w:t>
      </w:r>
      <w:proofErr w:type="spellEnd"/>
      <w:r w:rsidRPr="00EB665E">
        <w:rPr>
          <w:sz w:val="24"/>
          <w:lang w:val="pl-PL"/>
        </w:rPr>
        <w:t xml:space="preserve"> of the ‘Finance Europe’ </w:t>
      </w:r>
      <w:proofErr w:type="spellStart"/>
      <w:r w:rsidRPr="00EB665E">
        <w:rPr>
          <w:sz w:val="24"/>
          <w:lang w:val="pl-PL"/>
        </w:rPr>
        <w:t>Label</w:t>
      </w:r>
      <w:proofErr w:type="spellEnd"/>
      <w:r w:rsidRPr="00EB665E">
        <w:rPr>
          <w:sz w:val="24"/>
          <w:lang w:val="pl-PL"/>
        </w:rPr>
        <w:t xml:space="preserve">: </w:t>
      </w:r>
      <w:proofErr w:type="spellStart"/>
      <w:r w:rsidRPr="00EB665E">
        <w:rPr>
          <w:sz w:val="24"/>
          <w:lang w:val="pl-PL"/>
        </w:rPr>
        <w:t>creating</w:t>
      </w:r>
      <w:proofErr w:type="spellEnd"/>
      <w:r w:rsidRPr="00EB665E">
        <w:rPr>
          <w:sz w:val="24"/>
          <w:lang w:val="pl-PL"/>
        </w:rPr>
        <w:t xml:space="preserve"> investment </w:t>
      </w:r>
      <w:proofErr w:type="spellStart"/>
      <w:r w:rsidRPr="00EB665E">
        <w:rPr>
          <w:sz w:val="24"/>
          <w:lang w:val="pl-PL"/>
        </w:rPr>
        <w:t>opportunities</w:t>
      </w:r>
      <w:proofErr w:type="spellEnd"/>
      <w:r w:rsidRPr="00EB665E">
        <w:rPr>
          <w:sz w:val="24"/>
          <w:lang w:val="pl-PL"/>
        </w:rPr>
        <w:t xml:space="preserve"> for </w:t>
      </w:r>
      <w:proofErr w:type="spellStart"/>
      <w:r w:rsidRPr="00EB665E">
        <w:rPr>
          <w:sz w:val="24"/>
          <w:lang w:val="pl-PL"/>
        </w:rPr>
        <w:t>financing</w:t>
      </w:r>
      <w:proofErr w:type="spellEnd"/>
      <w:r w:rsidRPr="00EB665E">
        <w:rPr>
          <w:sz w:val="24"/>
          <w:lang w:val="pl-PL"/>
        </w:rPr>
        <w:t xml:space="preserve"> the </w:t>
      </w:r>
      <w:proofErr w:type="spellStart"/>
      <w:r w:rsidRPr="00EB665E">
        <w:rPr>
          <w:sz w:val="24"/>
          <w:lang w:val="pl-PL"/>
        </w:rPr>
        <w:t>European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economy</w:t>
      </w:r>
      <w:proofErr w:type="spellEnd"/>
      <w:r w:rsidRPr="00EB665E">
        <w:rPr>
          <w:sz w:val="24"/>
          <w:lang w:val="pl-PL"/>
        </w:rPr>
        <w:t>” [Utworzenie oznakowania „Finance Europe”: stworzenie możliwości inwestycyjnych w celu finansowania europejskiej gospodarki], komunikat prasowy z 6 czerwca 2025 r.,</w:t>
      </w:r>
      <w:r w:rsidR="006172D5">
        <w:fldChar w:fldCharType="begin"/>
      </w:r>
      <w:r w:rsidR="006172D5" w:rsidRPr="006172D5">
        <w:rPr>
          <w:lang w:val="pl-PL"/>
        </w:rPr>
        <w:instrText>HYPERLINK "https://presse.economie.gouv.fr/lancement-du-label-europeen-finance-europe-pour-que-lepargne-des-europeens-contribue-au-financement-de-leconomie-europeenne/"</w:instrText>
      </w:r>
      <w:r w:rsidR="006172D5">
        <w:fldChar w:fldCharType="separate"/>
      </w:r>
      <w:r w:rsidRPr="00EB665E">
        <w:rPr>
          <w:rStyle w:val="Hyperlink"/>
          <w:sz w:val="24"/>
          <w:lang w:val="pl-PL"/>
        </w:rPr>
        <w:t>https://presse.economie.gouv.fr/lancement-du-label-europeen-finance-europe-pour-que-lepargne-des-europeens-contribue-au-financement-de-leconomie-europeenne/</w:t>
      </w:r>
      <w:r w:rsidR="006172D5">
        <w:rPr>
          <w:rStyle w:val="Hyperlink"/>
          <w:sz w:val="24"/>
          <w:lang w:val="pl-PL"/>
        </w:rPr>
        <w:fldChar w:fldCharType="end"/>
      </w:r>
      <w:r w:rsidRPr="00EB665E">
        <w:rPr>
          <w:sz w:val="24"/>
          <w:lang w:val="pl-PL"/>
        </w:rPr>
        <w:t xml:space="preserve">. </w:t>
      </w:r>
    </w:p>
  </w:footnote>
  <w:footnote w:id="26">
    <w:p w14:paraId="1DA34E75" w14:textId="0BC15940" w:rsidR="00C00A91" w:rsidRPr="00EB665E" w:rsidRDefault="00C00A91" w:rsidP="00EB665E">
      <w:pPr>
        <w:pStyle w:val="FootnoteText"/>
        <w:ind w:left="567" w:hanging="567"/>
        <w:rPr>
          <w:sz w:val="24"/>
          <w:lang w:val="pl-PL"/>
        </w:rPr>
      </w:pPr>
      <w:r w:rsidRPr="00EB665E">
        <w:rPr>
          <w:rStyle w:val="FootnoteReference"/>
          <w:sz w:val="24"/>
          <w:lang w:val="pl-PL"/>
        </w:rPr>
        <w:footnoteRef/>
      </w:r>
      <w:r w:rsidR="00EB665E" w:rsidRPr="00EB665E">
        <w:rPr>
          <w:sz w:val="24"/>
          <w:lang w:val="pl-PL"/>
        </w:rPr>
        <w:t xml:space="preserve"> </w:t>
      </w:r>
      <w:r w:rsidR="00EB665E" w:rsidRPr="00EB665E">
        <w:rPr>
          <w:sz w:val="24"/>
          <w:lang w:val="pl-PL"/>
        </w:rPr>
        <w:tab/>
      </w:r>
      <w:r w:rsidRPr="00EB665E">
        <w:rPr>
          <w:sz w:val="24"/>
          <w:lang w:val="pl-PL"/>
        </w:rPr>
        <w:t xml:space="preserve">Komisja Europejska, </w:t>
      </w:r>
      <w:proofErr w:type="spellStart"/>
      <w:r w:rsidRPr="00EB665E">
        <w:rPr>
          <w:sz w:val="24"/>
          <w:lang w:val="pl-PL"/>
        </w:rPr>
        <w:t>Feasibility</w:t>
      </w:r>
      <w:proofErr w:type="spellEnd"/>
      <w:r w:rsidRPr="00EB665E">
        <w:rPr>
          <w:sz w:val="24"/>
          <w:lang w:val="pl-PL"/>
        </w:rPr>
        <w:t xml:space="preserve"> </w:t>
      </w:r>
      <w:proofErr w:type="spellStart"/>
      <w:r w:rsidRPr="00EB665E">
        <w:rPr>
          <w:sz w:val="24"/>
          <w:lang w:val="pl-PL"/>
        </w:rPr>
        <w:t>study</w:t>
      </w:r>
      <w:proofErr w:type="spellEnd"/>
      <w:r w:rsidRPr="00EB665E">
        <w:rPr>
          <w:sz w:val="24"/>
          <w:lang w:val="pl-PL"/>
        </w:rPr>
        <w:t xml:space="preserve"> for the </w:t>
      </w:r>
      <w:proofErr w:type="spellStart"/>
      <w:r w:rsidRPr="00EB665E">
        <w:rPr>
          <w:sz w:val="24"/>
          <w:lang w:val="pl-PL"/>
        </w:rPr>
        <w:t>creation</w:t>
      </w:r>
      <w:proofErr w:type="spellEnd"/>
      <w:r w:rsidRPr="00EB665E">
        <w:rPr>
          <w:sz w:val="24"/>
          <w:lang w:val="pl-PL"/>
        </w:rPr>
        <w:t xml:space="preserve"> of a CMU equity market index family [Badanie wykonalności dotyczące utworzenia rodziny indeksów rynku akcji na potrzeby unii rynków kapitałowych], 2020 r., </w:t>
      </w:r>
      <w:r w:rsidR="006172D5">
        <w:fldChar w:fldCharType="begin"/>
      </w:r>
      <w:r w:rsidR="006172D5" w:rsidRPr="006172D5">
        <w:rPr>
          <w:lang w:val="pl-PL"/>
        </w:rPr>
        <w:instrText>HYPERLINK "https://op.europa.eu/pl/publication-detail/-/publication/1562efbd-cbc6-11ea-adf7-01aa75ed71a1/language-en/"</w:instrText>
      </w:r>
      <w:r w:rsidR="006172D5">
        <w:fldChar w:fldCharType="separate"/>
      </w:r>
      <w:r w:rsidR="00686F62" w:rsidRPr="00C76067">
        <w:rPr>
          <w:rStyle w:val="Hyperlink"/>
          <w:sz w:val="24"/>
          <w:lang w:val="pl-PL"/>
        </w:rPr>
        <w:t>https://op.europa.eu/pl/publication-detail/-/publication/1562efbd-cbc6-11ea-adf7-01aa75ed71a1/language-en/</w:t>
      </w:r>
      <w:r w:rsidR="006172D5">
        <w:rPr>
          <w:rStyle w:val="Hyperlink"/>
          <w:sz w:val="24"/>
          <w:lang w:val="pl-PL"/>
        </w:rPr>
        <w:fldChar w:fldCharType="end"/>
      </w:r>
      <w:r w:rsidRPr="00EB665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655E3" w14:textId="77777777" w:rsidR="00064002" w:rsidRPr="00EB665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56383" w14:textId="77777777" w:rsidR="00064002" w:rsidRPr="00EB665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826DF" w14:textId="77777777" w:rsidR="00064002" w:rsidRPr="00EB665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0012604">
    <w:abstractNumId w:val="9"/>
  </w:num>
  <w:num w:numId="2" w16cid:durableId="178588525">
    <w:abstractNumId w:val="9"/>
  </w:num>
  <w:num w:numId="3" w16cid:durableId="2085292473">
    <w:abstractNumId w:val="7"/>
  </w:num>
  <w:num w:numId="4" w16cid:durableId="1425107716">
    <w:abstractNumId w:val="7"/>
  </w:num>
  <w:num w:numId="5" w16cid:durableId="2045206212">
    <w:abstractNumId w:val="6"/>
  </w:num>
  <w:num w:numId="6" w16cid:durableId="680014585">
    <w:abstractNumId w:val="6"/>
  </w:num>
  <w:num w:numId="7" w16cid:durableId="455760960">
    <w:abstractNumId w:val="5"/>
  </w:num>
  <w:num w:numId="8" w16cid:durableId="1937328751">
    <w:abstractNumId w:val="5"/>
  </w:num>
  <w:num w:numId="9" w16cid:durableId="1037504488">
    <w:abstractNumId w:val="4"/>
  </w:num>
  <w:num w:numId="10" w16cid:durableId="848369589">
    <w:abstractNumId w:val="4"/>
  </w:num>
  <w:num w:numId="11" w16cid:durableId="1166090558">
    <w:abstractNumId w:val="8"/>
  </w:num>
  <w:num w:numId="12" w16cid:durableId="1638799516">
    <w:abstractNumId w:val="8"/>
  </w:num>
  <w:num w:numId="13" w16cid:durableId="658115245">
    <w:abstractNumId w:val="3"/>
  </w:num>
  <w:num w:numId="14" w16cid:durableId="1973712131">
    <w:abstractNumId w:val="3"/>
  </w:num>
  <w:num w:numId="15" w16cid:durableId="1948348260">
    <w:abstractNumId w:val="2"/>
  </w:num>
  <w:num w:numId="16" w16cid:durableId="1997681024">
    <w:abstractNumId w:val="2"/>
  </w:num>
  <w:num w:numId="17" w16cid:durableId="354383694">
    <w:abstractNumId w:val="1"/>
  </w:num>
  <w:num w:numId="18" w16cid:durableId="652175825">
    <w:abstractNumId w:val="1"/>
  </w:num>
  <w:num w:numId="19" w16cid:durableId="828135859">
    <w:abstractNumId w:val="0"/>
  </w:num>
  <w:num w:numId="20" w16cid:durableId="866648408">
    <w:abstractNumId w:val="0"/>
  </w:num>
  <w:num w:numId="21" w16cid:durableId="48919881">
    <w:abstractNumId w:val="9"/>
  </w:num>
  <w:num w:numId="22" w16cid:durableId="1219635821">
    <w:abstractNumId w:val="7"/>
  </w:num>
  <w:num w:numId="23" w16cid:durableId="774054844">
    <w:abstractNumId w:val="6"/>
  </w:num>
  <w:num w:numId="24" w16cid:durableId="225727459">
    <w:abstractNumId w:val="5"/>
  </w:num>
  <w:num w:numId="25" w16cid:durableId="108353959">
    <w:abstractNumId w:val="4"/>
  </w:num>
  <w:num w:numId="26" w16cid:durableId="1138649627">
    <w:abstractNumId w:val="8"/>
  </w:num>
  <w:num w:numId="27" w16cid:durableId="363212761">
    <w:abstractNumId w:val="3"/>
  </w:num>
  <w:num w:numId="28" w16cid:durableId="1730111083">
    <w:abstractNumId w:val="2"/>
  </w:num>
  <w:num w:numId="29" w16cid:durableId="1604344253">
    <w:abstractNumId w:val="1"/>
  </w:num>
  <w:num w:numId="30" w16cid:durableId="1428385241">
    <w:abstractNumId w:val="0"/>
  </w:num>
  <w:num w:numId="31" w16cid:durableId="370570096">
    <w:abstractNumId w:val="9"/>
  </w:num>
  <w:num w:numId="32" w16cid:durableId="1091466594">
    <w:abstractNumId w:val="7"/>
  </w:num>
  <w:num w:numId="33" w16cid:durableId="786780963">
    <w:abstractNumId w:val="6"/>
  </w:num>
  <w:num w:numId="34" w16cid:durableId="558831329">
    <w:abstractNumId w:val="5"/>
  </w:num>
  <w:num w:numId="35" w16cid:durableId="843478175">
    <w:abstractNumId w:val="4"/>
  </w:num>
  <w:num w:numId="36" w16cid:durableId="1729376541">
    <w:abstractNumId w:val="8"/>
  </w:num>
  <w:num w:numId="37" w16cid:durableId="1199663754">
    <w:abstractNumId w:val="3"/>
  </w:num>
  <w:num w:numId="38" w16cid:durableId="1193954892">
    <w:abstractNumId w:val="2"/>
  </w:num>
  <w:num w:numId="39" w16cid:durableId="667051374">
    <w:abstractNumId w:val="1"/>
  </w:num>
  <w:num w:numId="40" w16cid:durableId="1123382137">
    <w:abstractNumId w:val="0"/>
  </w:num>
  <w:num w:numId="41" w16cid:durableId="1110853798">
    <w:abstractNumId w:val="10"/>
  </w:num>
  <w:num w:numId="42" w16cid:durableId="194394282">
    <w:abstractNumId w:val="10"/>
  </w:num>
  <w:num w:numId="43" w16cid:durableId="1232616536">
    <w:abstractNumId w:val="10"/>
  </w:num>
  <w:num w:numId="44" w16cid:durableId="21382601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4/2025"/>
    <w:docVar w:name="dvlangue" w:val="PL"/>
    <w:docVar w:name="dvnumam" w:val="30"/>
    <w:docVar w:name="dvpe" w:val="770.112"/>
    <w:docVar w:name="dvrapporteur" w:val="Sprawozdawca: "/>
    <w:docVar w:name="dvstar" w:val="??"/>
    <w:docVar w:name="dvtitre" w:val="Rezolucja Parlamentu Europejskiego z dnia  2025 r. w sprawie ułatwienia finansowania inwestycji i reform mających na celu poprawę konkurencyjności Europy i stworzenie unii rynków kapitałowych (sprawozdanie Draghiego)(2024/2116(INI))"/>
  </w:docVars>
  <w:rsids>
    <w:rsidRoot w:val="00EB708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72D5"/>
    <w:rsid w:val="00633F18"/>
    <w:rsid w:val="006631B6"/>
    <w:rsid w:val="00680577"/>
    <w:rsid w:val="00686F6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C3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988"/>
    <w:rsid w:val="00BD48FE"/>
    <w:rsid w:val="00BD7BD8"/>
    <w:rsid w:val="00BE6ADC"/>
    <w:rsid w:val="00C00A91"/>
    <w:rsid w:val="00C0414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45B"/>
    <w:rsid w:val="00DA7FCD"/>
    <w:rsid w:val="00E365E1"/>
    <w:rsid w:val="00E820A4"/>
    <w:rsid w:val="00EB006A"/>
    <w:rsid w:val="00EB4772"/>
    <w:rsid w:val="00EB665E"/>
    <w:rsid w:val="00EB7088"/>
    <w:rsid w:val="00EC248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BC9D17"/>
  <w15:chartTrackingRefBased/>
  <w15:docId w15:val="{1203784A-E306-47A2-A88A-0157E22F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0A91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C00A91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C00A91"/>
    <w:pPr>
      <w:spacing w:after="240"/>
      <w:jc w:val="center"/>
    </w:pPr>
  </w:style>
  <w:style w:type="character" w:customStyle="1" w:styleId="BoldItalic">
    <w:name w:val="BoldItalic"/>
    <w:uiPriority w:val="1"/>
    <w:rsid w:val="00C00A91"/>
    <w:rPr>
      <w:b/>
      <w:i/>
      <w:u w:val="none"/>
    </w:rPr>
  </w:style>
  <w:style w:type="character" w:customStyle="1" w:styleId="Italic">
    <w:name w:val="Italic"/>
    <w:uiPriority w:val="1"/>
    <w:rsid w:val="00C00A91"/>
    <w:rPr>
      <w:i/>
    </w:rPr>
  </w:style>
  <w:style w:type="paragraph" w:customStyle="1" w:styleId="Normal12a24b">
    <w:name w:val="Normal12a24b"/>
    <w:basedOn w:val="Normal"/>
    <w:rsid w:val="00C00A91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C00A91"/>
    <w:rPr>
      <w:color w:val="0000FF"/>
      <w:u w:val="single"/>
    </w:rPr>
  </w:style>
  <w:style w:type="paragraph" w:customStyle="1" w:styleId="title-bold">
    <w:name w:val="title-bold"/>
    <w:basedOn w:val="Normal"/>
    <w:rsid w:val="00C00A91"/>
    <w:pPr>
      <w:widowControl/>
      <w:spacing w:before="100" w:beforeAutospacing="1" w:after="100" w:afterAutospacing="1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86F6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33F1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2/648/oj" TargetMode="External"/><Relationship Id="rId1" Type="http://schemas.openxmlformats.org/officeDocument/2006/relationships/hyperlink" Target="http://data.europa.eu/eli/reg/2014/6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8507</Words>
  <Characters>57942</Characters>
  <Application>Microsoft Office Word</Application>
  <DocSecurity>0</DocSecurity>
  <Lines>482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KLIMKOWSKI Andrzej</cp:lastModifiedBy>
  <cp:revision>2</cp:revision>
  <cp:lastPrinted>2004-11-19T15:42:00Z</cp:lastPrinted>
  <dcterms:created xsi:type="dcterms:W3CDTF">2025-10-17T09:03:00Z</dcterms:created>
  <dcterms:modified xsi:type="dcterms:W3CDTF">2025-10-17T09:03:00Z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A10-0124/2025</vt:lpwstr>
  </property>
  <property fmtid="{D5CDD505-2E9C-101B-9397-08002B2CF9AE}" pid="4" name="&lt;Type&gt;">
    <vt:lpwstr>RR</vt:lpwstr>
  </property>
</Properties>
</file>